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 2026</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7" w:lineRule="exact"/>
        <w:rPr>
          <w:sz w:val="20"/>
          <w:szCs w:val="20"/>
          <w:color w:val="auto"/>
        </w:rPr>
      </w:pPr>
    </w:p>
    <w:p>
      <w:pPr>
        <w:jc w:val="both"/>
        <w:ind w:lef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156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28,438,252 shares of its common stock outstanding as of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310"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9"/>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10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May 2, 2026 and January 31, 2026</w:t>
            </w:r>
          </w:p>
        </w:tc>
        <w:tc>
          <w:tcPr>
            <w:tcW w:w="4220" w:type="dxa"/>
            <w:vAlign w:val="bottom"/>
            <w:gridSpan w:val="5"/>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Thirteen Weeks Ended May 2, 2026 and May 3, 2025</w:t>
            </w:r>
          </w:p>
        </w:tc>
        <w:tc>
          <w:tcPr>
            <w:tcW w:w="196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Thirteen Weeks Ended May 2, 2026 and May 3, 2025</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7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Thirteen Weeks Ended May 2, 2026 and May 3, 2025</w:t>
            </w:r>
          </w:p>
        </w:tc>
        <w:tc>
          <w:tcPr>
            <w:tcW w:w="13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Thirteen Weeks Ended May 2, 2026 and May 3,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960" w:type="dxa"/>
            <w:vAlign w:val="bottom"/>
            <w:gridSpan w:val="3"/>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2"/>
                <w:szCs w:val="22"/>
                <w:color w:val="auto"/>
              </w:rPr>
            </w:pPr>
          </w:p>
        </w:tc>
        <w:tc>
          <w:tcPr>
            <w:tcW w:w="3640" w:type="dxa"/>
            <w:vAlign w:val="bottom"/>
            <w:gridSpan w:val="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8320" w:type="dxa"/>
            <w:vAlign w:val="bottom"/>
            <w:gridSpan w:val="1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63"/>
        </w:trPr>
        <w:tc>
          <w:tcPr>
            <w:tcW w:w="20" w:type="dxa"/>
            <w:vAlign w:val="bottom"/>
          </w:tcPr>
          <w:p>
            <w:pPr>
              <w:spacing w:after="0"/>
              <w:rPr>
                <w:sz w:val="22"/>
                <w:szCs w:val="22"/>
                <w:color w:val="auto"/>
              </w:rPr>
            </w:pPr>
          </w:p>
        </w:tc>
        <w:tc>
          <w:tcPr>
            <w:tcW w:w="110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1"/>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3"/>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7"/>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2"/>
                <w:szCs w:val="22"/>
                <w:color w:val="auto"/>
              </w:rPr>
            </w:pPr>
          </w:p>
        </w:tc>
        <w:tc>
          <w:tcPr>
            <w:tcW w:w="878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31, 2026,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75,951</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contingent consideration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234,005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51,914</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102,366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44,273 and 43,800 shares issued and 28,438 and 27,966</w:t>
            </w:r>
          </w:p>
        </w:tc>
        <w:tc>
          <w:tcPr>
            <w:tcW w:w="3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116,152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172,439</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127,049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131,639</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234,005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00" w:type="dxa"/>
            <w:vAlign w:val="bottom"/>
          </w:tcPr>
          <w:p>
            <w:pPr>
              <w:spacing w:after="0"/>
              <w:rPr>
                <w:sz w:val="11"/>
                <w:szCs w:val="11"/>
                <w:color w:val="auto"/>
              </w:rPr>
            </w:pPr>
          </w:p>
        </w:tc>
        <w:tc>
          <w:tcPr>
            <w:tcW w:w="1140" w:type="dxa"/>
            <w:vAlign w:val="bottom"/>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28,885</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r>
      <w:tr>
        <w:trPr>
          <w:trHeight w:val="270"/>
        </w:trPr>
        <w:tc>
          <w:tcPr>
            <w:tcW w:w="8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34"/>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00" w:type="dxa"/>
            <w:vAlign w:val="bottom"/>
          </w:tcPr>
          <w:p>
            <w:pPr>
              <w:spacing w:after="0"/>
              <w:rPr>
                <w:sz w:val="11"/>
                <w:szCs w:val="11"/>
                <w:color w:val="auto"/>
              </w:rPr>
            </w:pPr>
          </w:p>
        </w:tc>
        <w:tc>
          <w:tcPr>
            <w:tcW w:w="1140" w:type="dxa"/>
            <w:vAlign w:val="bottom"/>
          </w:tcPr>
          <w:p>
            <w:pPr>
              <w:jc w:val="right"/>
              <w:ind w:right="437"/>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31, 2026</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27,965,520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172,439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(156,820)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131,639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472,914</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May 2, 2026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28,438,434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116,399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167,614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 xml:space="preserve"> (156,820)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127,049</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4240" w:type="dxa"/>
            <w:vAlign w:val="bottom"/>
          </w:tcPr>
          <w:p>
            <w:pPr>
              <w:spacing w:after="0"/>
              <w:rPr>
                <w:sz w:val="24"/>
                <w:szCs w:val="24"/>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27,700,900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(156,820)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178,955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217,422</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May 3,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27,918,322</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116,098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186,819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 xml:space="preserve"> (156,820)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146,034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00" w:type="dxa"/>
            <w:vAlign w:val="bottom"/>
          </w:tcPr>
          <w:p>
            <w:pPr>
              <w:spacing w:after="0"/>
              <w:rPr>
                <w:sz w:val="11"/>
                <w:szCs w:val="11"/>
                <w:color w:val="auto"/>
              </w:rPr>
            </w:pPr>
          </w:p>
        </w:tc>
        <w:tc>
          <w:tcPr>
            <w:tcW w:w="1140" w:type="dxa"/>
            <w:vAlign w:val="bottom"/>
          </w:tcPr>
          <w:p>
            <w:pPr>
              <w:jc w:val="right"/>
              <w:ind w:right="431"/>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loss,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9"/>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29"/>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29"/>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30"/>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business, net of cash disposed</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under asset-based revolving credit agreement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borrowings under asset-based revolving credit agreement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00" w:type="dxa"/>
            <w:vAlign w:val="bottom"/>
          </w:tcPr>
          <w:p>
            <w:pPr>
              <w:spacing w:after="0"/>
              <w:rPr>
                <w:sz w:val="11"/>
                <w:szCs w:val="11"/>
                <w:color w:val="auto"/>
              </w:rPr>
            </w:pPr>
          </w:p>
        </w:tc>
        <w:tc>
          <w:tcPr>
            <w:tcW w:w="1140" w:type="dxa"/>
            <w:vAlign w:val="bottom"/>
          </w:tcPr>
          <w:p>
            <w:pPr>
              <w:jc w:val="right"/>
              <w:ind w:right="436"/>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195"/>
        </w:trPr>
        <w:tc>
          <w:tcPr>
            <w:tcW w:w="8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 incurred but not yet paid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related to sale of business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left="360" w:right="280"/>
        <w:spacing w:after="0" w:line="282" w:lineRule="auto"/>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 Refer to Note 13 herein for supplemental cash flow information regarding the discontinued operations.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March 11, 2025, the Company entered into an Interest Purchase Agreement (the “Agreement”) to sell one hundred percent (100%) of Creative Genius, Inc. (“Creative Genius”), which operates under the name Pura Vida Bracelets. The sale consummated on March 31, 2025. As a result, the operations of Pura Vida have been classified as discontinued operations in the consolidated financial statements in accordance with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Prior period amounts have been retrospectively adjusted to conform to the current period presentation.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disclosures in these condensed consolidated financial statements reflect continuing operations only.</w:t>
      </w:r>
    </w:p>
    <w:p>
      <w:pPr>
        <w:spacing w:after="0" w:line="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sale, Pura Vida is no longer included in the Company’s consolidated financial results. Refer to Note 13 for additional information.</w:t>
      </w:r>
    </w:p>
    <w:p>
      <w:pPr>
        <w:spacing w:after="0" w:line="90"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reportable segments: Direct and Indirect. During the thirteen weeks ended May 3, 2025, the Company completed the sale of Pura Vida, which was previously considered a reportable segment.</w:t>
      </w:r>
    </w:p>
    <w:p>
      <w:pPr>
        <w:spacing w:after="0" w:line="40" w:lineRule="exact"/>
        <w:rPr>
          <w:rFonts w:ascii="Times New Roman" w:cs="Times New Roman" w:eastAsia="Times New Roman" w:hAnsi="Times New Roman"/>
          <w:sz w:val="18"/>
          <w:szCs w:val="18"/>
          <w:b w:val="1"/>
          <w:bCs w:val="1"/>
          <w:color w:val="auto"/>
        </w:rPr>
      </w:pPr>
    </w:p>
    <w:p>
      <w:pPr>
        <w:ind w:left="980" w:right="60" w:hanging="324"/>
        <w:spacing w:after="0" w:line="289" w:lineRule="auto"/>
        <w:tabs>
          <w:tab w:leader="none" w:pos="97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segment consists of sales of Vera Bradley products through Vera Bradley full-line and outlet stores in the United States; e-commerce sites (verabradley.com, verabradleyoutlet.com, and international.verabradley.com); direct to consumer marketplaces; and typically the Vera Bradley annual outlet sale in Fort Wayne, Indiana. As of May 2, 2026, the Company operated 26 full-line stores and 86 outlet stores.</w:t>
      </w:r>
    </w:p>
    <w:p>
      <w:pPr>
        <w:spacing w:after="0" w:line="36" w:lineRule="exact"/>
        <w:rPr>
          <w:rFonts w:ascii="Times New Roman" w:cs="Times New Roman" w:eastAsia="Times New Roman" w:hAnsi="Times New Roman"/>
          <w:sz w:val="17"/>
          <w:szCs w:val="17"/>
          <w:color w:val="auto"/>
        </w:rPr>
      </w:pPr>
    </w:p>
    <w:p>
      <w:pPr>
        <w:ind w:left="980" w:right="18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Indirect segment consists of revenues generated through the distribution of Vera Bradley-branded products to specialty retailers representing approximately 1,200 locations, substantially all of which are located in the United States; key accounts, which include department stores, national accounts, and third-party inventory liquidators; and royalties recognized through licensing agreements related to the Vera Bradley brand.</w:t>
      </w:r>
    </w:p>
    <w:p>
      <w:pPr>
        <w:spacing w:after="0" w:line="4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31, 2026, filed with the SEC.</w:t>
      </w:r>
    </w:p>
    <w:p>
      <w:pPr>
        <w:spacing w:after="0" w:line="6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2, 2026,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40"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3, 2025, the Company completed the sale of its wholly owned subsidiary, Creative Genius, also referred to as Pura Vida. As a result, the operations of Pura Vida have been classified as discontinued operations in the consolidated financial statements in accordance with ASC 205-20.</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May 2, 2026 and May 3, 2025 refer to the thirteen week periods ended on those dates.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(the Company’s fiscal year 2028) and interim reporting periods beginning after December 15, 2027 (interim periods for the Company’s fiscal year 2029). Public business entities are required to apply the guidance prospectively, however, retrospective application is permitted. The Company is currently evaluating the impact of this ASU but expects the impact to be limited to financial statement footnote disclosures.</w:t>
      </w:r>
    </w:p>
    <w:p>
      <w:pPr>
        <w:spacing w:after="0" w:line="6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94" w:lineRule="exact"/>
        <w:rPr>
          <w:sz w:val="20"/>
          <w:szCs w:val="20"/>
          <w:color w:val="auto"/>
        </w:rPr>
      </w:pPr>
    </w:p>
    <w:p>
      <w:pPr>
        <w:jc w:val="both"/>
        <w:ind w:left="660" w:right="340"/>
        <w:spacing w:after="0" w:line="266" w:lineRule="auto"/>
        <w:rPr>
          <w:sz w:val="20"/>
          <w:szCs w:val="20"/>
          <w:color w:val="auto"/>
        </w:rPr>
      </w:pPr>
      <w:r>
        <w:rPr>
          <w:rFonts w:ascii="Times New Roman" w:cs="Times New Roman" w:eastAsia="Times New Roman" w:hAnsi="Times New Roman"/>
          <w:sz w:val="18"/>
          <w:szCs w:val="18"/>
          <w:color w:val="auto"/>
        </w:rPr>
        <w:t>In February 2026, the U.S. Supreme Court issued a ruling striking down certain tariffs previously imposed under the International Emergency Economic Powers Act (“IEEPA”). In response, the U.S. Customs and Border Protection agency established a process for importers to submit refund claims for certain previously paid IEEPA tariffs.</w:t>
      </w:r>
    </w:p>
    <w:p>
      <w:pPr>
        <w:spacing w:after="0" w:line="54" w:lineRule="exact"/>
        <w:rPr>
          <w:sz w:val="20"/>
          <w:szCs w:val="20"/>
          <w:color w:val="auto"/>
        </w:rPr>
      </w:pPr>
    </w:p>
    <w:p>
      <w:pPr>
        <w:jc w:val="both"/>
        <w:ind w:left="660" w:right="300"/>
        <w:spacing w:after="0" w:line="266" w:lineRule="auto"/>
        <w:rPr>
          <w:sz w:val="20"/>
          <w:szCs w:val="20"/>
          <w:color w:val="auto"/>
        </w:rPr>
      </w:pPr>
      <w:r>
        <w:rPr>
          <w:rFonts w:ascii="Times New Roman" w:cs="Times New Roman" w:eastAsia="Times New Roman" w:hAnsi="Times New Roman"/>
          <w:sz w:val="18"/>
          <w:szCs w:val="18"/>
          <w:color w:val="auto"/>
        </w:rPr>
        <w:t>The Company has submitted, or may submit, refund requests related to certain previously paid IEEPA tariffs. The timing of claim acceptance, resolution and payment remains uncertain, therefore the Company will recognize any related refunds and interest when cash is received. As of May 2, 2026, no refunds had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weeks ended May 2, 2026 and May 3, 2025 (in thousands):</w:t>
      </w:r>
    </w:p>
    <w:p>
      <w:pPr>
        <w:spacing w:after="0" w:line="30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right"/>
              <w:ind w:right="394"/>
              <w:spacing w:after="0" w:line="137" w:lineRule="exact"/>
              <w:rPr>
                <w:sz w:val="20"/>
                <w:szCs w:val="20"/>
                <w:color w:val="auto"/>
              </w:rPr>
            </w:pPr>
            <w:r>
              <w:rPr>
                <w:rFonts w:ascii="Times New Roman" w:cs="Times New Roman" w:eastAsia="Times New Roman" w:hAnsi="Times New Roman"/>
                <w:sz w:val="14"/>
                <w:szCs w:val="14"/>
                <w:b w:val="1"/>
                <w:bCs w:val="1"/>
                <w:color w:val="auto"/>
              </w:rPr>
              <w:t>Direct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Indirect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940" w:hanging="6"/>
        <w:spacing w:after="0" w:line="245"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of net revenues related to product sales recognized at a point in time and $0.9 million of net revenues related to sales-based royalties recognized over time.</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jc w:val="right"/>
              <w:ind w:right="414"/>
              <w:spacing w:after="0" w:line="135" w:lineRule="exact"/>
              <w:rPr>
                <w:sz w:val="20"/>
                <w:szCs w:val="20"/>
                <w:color w:val="auto"/>
              </w:rPr>
            </w:pPr>
            <w:r>
              <w:rPr>
                <w:rFonts w:ascii="Times New Roman" w:cs="Times New Roman" w:eastAsia="Times New Roman" w:hAnsi="Times New Roman"/>
                <w:sz w:val="14"/>
                <w:szCs w:val="14"/>
                <w:b w:val="1"/>
                <w:bCs w:val="1"/>
                <w:color w:val="auto"/>
              </w:rPr>
              <w:t>Direct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Indirect Segment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94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of net revenues related to product sales recognized at a point in time and $0.6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Contract liabilities as of May 2, 2026 and January 31, 2026, were $1.6 million. The balance as of May 2, 2026 and January 31, 2026 consisted primarily of unredeemed gift cards. These contract liabilities are recognized within other accrued liabilities on the Company’s Condensed Consolidated Balance Sheets. Substantially all contract liabilities are recognized within one year. The Company did not have contract assets as of May 2, 2026 and January 31, 2026.</w:t>
      </w:r>
    </w:p>
    <w:p>
      <w:pPr>
        <w:spacing w:after="0" w:line="45"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May 2, 2026 and January 31, 2026, was $16.2 million and $16.4 million, respectively, which is recognized within accounts receivable, net, on the Company’s Condensed Consolidated Balance Sheets. The provision for doubtful accounts was $0.5 million as of May 2, 2026 and January 31, 2026,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performance obligations for the Direct and Indirect segments include the promise to transfer distinct goods (or a bundle of distinct goods).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Indirect segment also includes the right to access intellectual property (“IP”) related to the Vera Bradley brand.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May 2, 2026.</w:t>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Discount Rate</w:t>
      </w:r>
    </w:p>
    <w:p>
      <w:pPr>
        <w:spacing w:after="0" w:line="107"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weighted-average discount rate as of May 2, 2026, and May 3, 2025 was 5.1% and 5.0%,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19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Not Yet Commenced</w:t>
      </w:r>
    </w:p>
    <w:p>
      <w:pPr>
        <w:spacing w:after="0" w:line="107"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May 2, 2026, the Company had one lease which was executed but for which it did not have control of the underlying asset; therefore, the lease liability and right-of-use asset are not recorded on the Condensed Consolidated Balance Sheet. This lease contains undiscounted lease payments, which will be included in the determination of the lease liability, totaling approximately $1.2 million and has a term of approximately 3 years commencing in fiscal year 2027.</w:t>
      </w:r>
    </w:p>
    <w:p>
      <w:pPr>
        <w:spacing w:after="0" w:line="4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107" w:lineRule="exact"/>
        <w:rPr>
          <w:rFonts w:ascii="Times New Roman" w:cs="Times New Roman" w:eastAsia="Times New Roman" w:hAnsi="Times New Roman"/>
          <w:sz w:val="18"/>
          <w:szCs w:val="18"/>
          <w:b w:val="1"/>
          <w:bCs w:val="1"/>
          <w:color w:val="auto"/>
        </w:rPr>
      </w:pPr>
    </w:p>
    <w:p>
      <w:pPr>
        <w:jc w:val="both"/>
        <w:ind w:left="660" w:right="12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weeks ended May 2, 2026 and May 3, 2025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4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5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50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6,358</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7,449</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tc>
        <w:tc>
          <w:tcPr>
            <w:tcW w:w="126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60" w:type="dxa"/>
            <w:vAlign w:val="bottom"/>
          </w:tcPr>
          <w:p>
            <w:pPr>
              <w:spacing w:after="0"/>
              <w:rPr>
                <w:sz w:val="15"/>
                <w:szCs w:val="15"/>
                <w:color w:val="auto"/>
              </w:rPr>
            </w:pPr>
          </w:p>
        </w:tc>
        <w:tc>
          <w:tcPr>
            <w:tcW w:w="45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0"/>
        </w:trPr>
        <w:tc>
          <w:tcPr>
            <w:tcW w:w="6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May 2, 2026 and May 3, 2025 was 3.9 years and 4.5 years,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20" w:type="dxa"/>
            <w:vAlign w:val="bottom"/>
            <w:gridSpan w:val="4"/>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340" w:type="dxa"/>
            <w:vAlign w:val="bottom"/>
          </w:tcPr>
          <w:p>
            <w:pPr>
              <w:spacing w:after="0"/>
              <w:rPr>
                <w:sz w:val="16"/>
                <w:szCs w:val="16"/>
                <w:color w:val="auto"/>
              </w:rPr>
            </w:pPr>
          </w:p>
        </w:tc>
        <w:tc>
          <w:tcPr>
            <w:tcW w:w="15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r>
      <w:tr>
        <w:trPr>
          <w:trHeight w:val="176"/>
        </w:trPr>
        <w:tc>
          <w:tcPr>
            <w:tcW w:w="6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bl>
    <w:p>
      <w:pPr>
        <w:spacing w:after="0" w:line="49" w:lineRule="exact"/>
        <w:rPr>
          <w:sz w:val="20"/>
          <w:szCs w:val="20"/>
          <w:color w:val="auto"/>
        </w:rPr>
      </w:pPr>
    </w:p>
    <w:p>
      <w:pPr>
        <w:ind w:left="680" w:right="1080" w:hanging="6"/>
        <w:spacing w:after="0" w:line="263" w:lineRule="auto"/>
        <w:tabs>
          <w:tab w:leader="none" w:pos="93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million and $2.7 million of lease liabilities were recorded within accounts payable on the Company's Consolidated Balance Sheets as of May 2, 2026 and May 3, 2025, and were subsequently paid in the month following the end of each respective period.</w:t>
      </w:r>
    </w:p>
    <w:p>
      <w:pPr>
        <w:spacing w:after="0" w:line="296"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rFonts w:ascii="Times New Roman" w:cs="Times New Roman" w:eastAsia="Times New Roman" w:hAnsi="Times New Roman"/>
          <w:sz w:val="18"/>
          <w:szCs w:val="18"/>
          <w:b w:val="1"/>
          <w:bCs w:val="1"/>
          <w:color w:val="auto"/>
        </w:rPr>
      </w:pPr>
    </w:p>
    <w:p>
      <w:pPr>
        <w:ind w:left="660" w:right="1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3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31"/>
        </w:trPr>
        <w:tc>
          <w:tcPr>
            <w:tcW w:w="7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240" w:type="dxa"/>
            <w:vAlign w:val="bottom"/>
          </w:tcPr>
          <w:p>
            <w:pPr>
              <w:spacing w:after="0"/>
              <w:rPr>
                <w:sz w:val="11"/>
                <w:szCs w:val="11"/>
                <w:color w:val="auto"/>
              </w:rPr>
            </w:pPr>
          </w:p>
        </w:tc>
        <w:tc>
          <w:tcPr>
            <w:tcW w:w="92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7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196"/>
        </w:trPr>
        <w:tc>
          <w:tcPr>
            <w:tcW w:w="7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(33,460)</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7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Basic net loss per share: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net loss per share: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34"/>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31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2, 2026 and May 3, 2025,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7"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May 2, 2026 and January 31, 2026, approximated their fair values.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instruments as of May 2, 2026 and January 31, 2026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24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4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12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160" w:type="dxa"/>
            <w:vAlign w:val="bottom"/>
          </w:tcPr>
          <w:p>
            <w:pPr>
              <w:spacing w:after="0"/>
              <w:rPr>
                <w:sz w:val="11"/>
                <w:szCs w:val="11"/>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1"/>
                <w:szCs w:val="11"/>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62"/>
        </w:trPr>
        <w:tc>
          <w:tcPr>
            <w:tcW w:w="31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Contingent consideration related to sale of</w:t>
            </w: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business</w:t>
            </w:r>
            <w:r>
              <w:rPr>
                <w:rFonts w:ascii="Times New Roman" w:cs="Times New Roman" w:eastAsia="Times New Roman" w:hAnsi="Times New Roman"/>
                <w:sz w:val="23"/>
                <w:szCs w:val="23"/>
                <w:color w:val="auto"/>
                <w:vertAlign w:val="superscript"/>
              </w:rPr>
              <w:t>(1)</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Established during the thirteen weeks ended May 3, 2025. Refer to Note 13 herein for additional information.</w:t>
      </w:r>
    </w:p>
    <w:p>
      <w:pPr>
        <w:spacing w:after="0" w:line="185"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No impairment charges were recorded for the thirteen weeks ended May 2, 2026. There were $1.0 million impairment charges recorded for the thirteen weeks ended May 3, 2025 for store property, plant, and equipment. These charges are included in selling, general, and administrative ("SG&amp;A") expenses in the Consolidated Statements of Operations and in impairment charges in the Consolidated Statements of Cash Flows.</w:t>
      </w:r>
    </w:p>
    <w:p>
      <w:pPr>
        <w:spacing w:after="0" w:line="57"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6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Credit Agreement</w:t>
      </w:r>
    </w:p>
    <w:p>
      <w:pPr>
        <w:spacing w:after="0" w:line="17" w:lineRule="exact"/>
        <w:rPr>
          <w:rFonts w:ascii="Times New Roman" w:cs="Times New Roman" w:eastAsia="Times New Roman" w:hAnsi="Times New Roman"/>
          <w:sz w:val="18"/>
          <w:szCs w:val="18"/>
          <w:b w:val="1"/>
          <w:bCs w:val="1"/>
          <w:color w:val="auto"/>
        </w:rPr>
      </w:pPr>
    </w:p>
    <w:p>
      <w:pPr>
        <w:ind w:left="660" w:right="2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JPMorgan Chase Bank, N.A., as the administrative agent, and lenders from time to time party thereto, entered into a Fourth Amendment (the “Fourth Amendment”) to the Credit Agreement dated September 7, 2018.</w:t>
      </w:r>
    </w:p>
    <w:p>
      <w:pPr>
        <w:spacing w:after="0" w:line="63"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 The Fourth Amendment allowed for the sale of Creative Genius and irrevocably released Creative Genius from the loan documents upon completion of the sale.</w:t>
      </w:r>
    </w:p>
    <w:p>
      <w:pPr>
        <w:spacing w:after="0" w:line="65"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66" w:lineRule="exact"/>
        <w:rPr>
          <w:rFonts w:ascii="Times New Roman" w:cs="Times New Roman" w:eastAsia="Times New Roman" w:hAnsi="Times New Roman"/>
          <w:sz w:val="18"/>
          <w:szCs w:val="18"/>
          <w:b w:val="1"/>
          <w:bCs w:val="1"/>
          <w:color w:val="auto"/>
        </w:rPr>
      </w:pPr>
    </w:p>
    <w:p>
      <w:pPr>
        <w:ind w:left="6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0"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$25.0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58" w:lineRule="exact"/>
        <w:rPr>
          <w:rFonts w:ascii="Times New Roman" w:cs="Times New Roman" w:eastAsia="Times New Roman" w:hAnsi="Times New Roman"/>
          <w:sz w:val="18"/>
          <w:szCs w:val="18"/>
          <w:b w:val="1"/>
          <w:bCs w:val="1"/>
          <w:color w:val="auto"/>
        </w:rPr>
      </w:pPr>
    </w:p>
    <w:p>
      <w:pPr>
        <w:ind w:left="660" w:right="12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1" w:lineRule="exact"/>
        <w:rPr>
          <w:rFonts w:ascii="Times New Roman" w:cs="Times New Roman" w:eastAsia="Times New Roman" w:hAnsi="Times New Roman"/>
          <w:sz w:val="18"/>
          <w:szCs w:val="18"/>
          <w:b w:val="1"/>
          <w:bCs w:val="1"/>
          <w:color w:val="auto"/>
        </w:rPr>
      </w:pPr>
    </w:p>
    <w:p>
      <w:pPr>
        <w:ind w:left="660" w:righ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51"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On October 21, 2025, VBD amended the agreement to include, among other things, to: (i) permit the sale of certain real property assets without requiring the application of the proceeds from such sale to be used to repay amounts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outstanding under the Credit Agreement, (ii) remove the prohibition against sale and leaseback transactions and (iii) increase the amount of Company assets permitted to be disposed of in any fiscal year outside the ordinary course of business from $5,000,000 to $10,000,000.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2, 2026 and January 31, 2026, the Company had no borrowings outstanding under its Credit Agreement and availability of</w:t>
      </w:r>
    </w:p>
    <w:p>
      <w:pPr>
        <w:spacing w:after="0" w:line="27" w:lineRule="exact"/>
        <w:rPr>
          <w:sz w:val="20"/>
          <w:szCs w:val="20"/>
          <w:color w:val="auto"/>
        </w:rPr>
      </w:pPr>
    </w:p>
    <w:p>
      <w:pPr>
        <w:ind w:left="660" w:right="480"/>
        <w:spacing w:after="0" w:line="255" w:lineRule="auto"/>
        <w:rPr>
          <w:sz w:val="20"/>
          <w:szCs w:val="20"/>
          <w:color w:val="auto"/>
        </w:rPr>
      </w:pPr>
      <w:r>
        <w:rPr>
          <w:rFonts w:ascii="Times New Roman" w:cs="Times New Roman" w:eastAsia="Times New Roman" w:hAnsi="Times New Roman"/>
          <w:sz w:val="18"/>
          <w:szCs w:val="18"/>
          <w:color w:val="auto"/>
        </w:rPr>
        <w:t>$68.0 million and $58.6 million, respectively. Availability under the Credit Agreement is driven by a borrowing base comprised primarily of eligible accounts receivable and inventory, each subject to advance rates, eligibility criteria, and applicable reserves. As a result, borrowing capacity may fluctuate based on the level and quality of receivables and the composition and valuation of inventory.</w:t>
      </w:r>
    </w:p>
    <w:p>
      <w:pPr>
        <w:spacing w:after="0" w:line="20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480"/>
        <w:spacing w:after="0" w:line="3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effective tax rate for the thirteen weeks ended May 2, 2026, was (2.4)%, compared to (2.3)% for the thirteen weeks ended May 3, 2025. Refer to Note 13 herein for the information regarding the income tax impact associated with the sale of Pura Vida on March 31, 2025.</w:t>
      </w: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4, 2025, the One Big Beautiful Bill Act (“OBBBA”) was signed into law, making permanent certain provisions of the Tax Cuts and Jobs Act, including 100% bonus depreciation, domestic research cost expensing, and the business interest expense limitation. In accordance with ASC 740, the Company has recognized the effects of the new tax law in fiscal 2026. As the Company maintains a full valuation allowance on its U.S. deferred tax assets, the legislation does not have a material impact on our consolidated financial statements.</w:t>
      </w:r>
    </w:p>
    <w:p>
      <w:pPr>
        <w:spacing w:after="0" w:line="2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40" w:lineRule="exact"/>
        <w:rPr>
          <w:rFonts w:ascii="Times New Roman" w:cs="Times New Roman" w:eastAsia="Times New Roman" w:hAnsi="Times New Roman"/>
          <w:sz w:val="18"/>
          <w:szCs w:val="18"/>
          <w:b w:val="1"/>
          <w:bCs w:val="1"/>
          <w:color w:val="auto"/>
        </w:rPr>
      </w:pPr>
    </w:p>
    <w:p>
      <w:pPr>
        <w:ind w:left="6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May 2, 2026, the Company’s stockholders approved an amendment to the Company’s 2020 Equity and Incentive Plan to increase the number of shares of common stock authorized for issuance thereunder by 3,000,000 shares.</w:t>
      </w:r>
    </w:p>
    <w:p>
      <w:pPr>
        <w:spacing w:after="0" w:line="3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Executive Short-Term Incentive Plan</w:t>
      </w:r>
    </w:p>
    <w:p>
      <w:pPr>
        <w:spacing w:after="0" w:line="105"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May 2, 2026, the Company initiated a new executive short-term incentive plan that provides for settlement in both equity and cash based on the achievement of certain performance objectives. Awards earned at or below 100% of target are settled entirely in shares of the Company's common stock. For awards earned in excess of 100% of target, the portion up to 100% of target is settled in shares of the Company's common stock, with any excess amount settled in cash. Shares issued under the plan vest immediately upon grant.</w:t>
      </w:r>
    </w:p>
    <w:p>
      <w:pPr>
        <w:spacing w:after="0" w:line="44" w:lineRule="exact"/>
        <w:rPr>
          <w:rFonts w:ascii="Times New Roman" w:cs="Times New Roman" w:eastAsia="Times New Roman" w:hAnsi="Times New Roman"/>
          <w:sz w:val="18"/>
          <w:szCs w:val="18"/>
          <w:b w:val="1"/>
          <w:bCs w:val="1"/>
          <w:color w:val="auto"/>
        </w:rPr>
      </w:pPr>
    </w:p>
    <w:p>
      <w:pPr>
        <w:ind w:left="6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portion of awards that is settled in shares of the Company's common stock results in a variable number of shares based on achievement of Company performance metrics. Accordingly, this portion of the awards is accounted for as liability-classified share-based awards.</w:t>
      </w:r>
    </w:p>
    <w:p>
      <w:pPr>
        <w:spacing w:after="0" w:line="4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previous executive short-term incentive plan in the prior-year period, all incentive compensation was paid solely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Awards of Restricted Stock Units</w:t>
      </w:r>
    </w:p>
    <w:p>
      <w:pPr>
        <w:spacing w:after="0" w:line="92"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May 2, 2026, the Company granted 1,347,047 time-based and performance-based restricted stock units with an aggregate fair value of $4.6 million to certain employees and non-employee directors under the 2020 Equity and Incentive Plan, compared to 1,503,502 time-based and performance-based restricted stock units with an aggregate fair value of $3.2 million in the same period of the prior year.</w:t>
      </w:r>
    </w:p>
    <w:p>
      <w:pPr>
        <w:spacing w:after="0" w:line="5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Time-based restricted stock units vest and settle in shares of the Company’s common stock, on a one-for-one basis, with most vesting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58"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thirteen weeks ended May 2, 2026 (units in thousands):</w:t>
      </w:r>
    </w:p>
    <w:p>
      <w:pPr>
        <w:spacing w:after="0" w:line="3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8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74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6"/>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9"/>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31, 2026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May 2, 2026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180"/>
        <w:spacing w:after="0" w:line="312" w:lineRule="auto"/>
        <w:rPr>
          <w:sz w:val="20"/>
          <w:szCs w:val="20"/>
          <w:color w:val="auto"/>
        </w:rPr>
      </w:pPr>
      <w:r>
        <w:rPr>
          <w:rFonts w:ascii="Times New Roman" w:cs="Times New Roman" w:eastAsia="Times New Roman" w:hAnsi="Times New Roman"/>
          <w:sz w:val="17"/>
          <w:szCs w:val="17"/>
          <w:color w:val="auto"/>
        </w:rPr>
        <w:t>As of May 2, 2026, there was $6.5 million of total unrecognized compensation cost, net of estimated forfeitures, related to nonvested restricted stock units. That cost is expected to be recognized over a weighted-average period of 2.4 years, subject to meeting performance conditions.</w:t>
      </w: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of 2025, the Company received a notice from the buyer of Creative Genius requesting a purchase price adjustment of approximately</w:t>
      </w:r>
    </w:p>
    <w:p>
      <w:pPr>
        <w:spacing w:after="0" w:line="15" w:lineRule="exact"/>
        <w:rPr>
          <w:rFonts w:ascii="Times New Roman" w:cs="Times New Roman" w:eastAsia="Times New Roman" w:hAnsi="Times New Roman"/>
          <w:sz w:val="18"/>
          <w:szCs w:val="18"/>
          <w:b w:val="1"/>
          <w:bCs w:val="1"/>
          <w:color w:val="auto"/>
        </w:rPr>
      </w:pPr>
    </w:p>
    <w:p>
      <w:pPr>
        <w:ind w:left="660" w:right="40"/>
        <w:spacing w:after="0" w:line="2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The Company has filed for summary judgment in that action.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w:t>
      </w:r>
    </w:p>
    <w:p>
      <w:pPr>
        <w:spacing w:after="0" w:line="214"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also subject to other legal proceedings from time to time in the ordinary course of business but does not believe any of these such claims would have a material adverse impact on the Company at this time.</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94" w:lineRule="exact"/>
        <w:rPr>
          <w:rFonts w:ascii="Times New Roman" w:cs="Times New Roman" w:eastAsia="Times New Roman" w:hAnsi="Times New Roman"/>
          <w:sz w:val="18"/>
          <w:szCs w:val="18"/>
          <w:b w:val="1"/>
          <w:bCs w:val="1"/>
          <w:color w:val="auto"/>
        </w:rPr>
      </w:pPr>
    </w:p>
    <w:p>
      <w:pPr>
        <w:ind w:left="660" w:right="6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fiscal 2025,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49" w:lineRule="exact"/>
        <w:rPr>
          <w:rFonts w:ascii="Times New Roman" w:cs="Times New Roman" w:eastAsia="Times New Roman" w:hAnsi="Times New Roman"/>
          <w:sz w:val="18"/>
          <w:szCs w:val="18"/>
          <w:b w:val="1"/>
          <w:bCs w:val="1"/>
          <w:color w:val="auto"/>
        </w:rPr>
      </w:pPr>
    </w:p>
    <w:p>
      <w:pPr>
        <w:ind w:left="660" w:right="4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May 2, 2026, there was $30.0 million remaining available to repurchase shares of the Company's common stock under the 2024 Share Repurchase Program.</w:t>
      </w:r>
    </w:p>
    <w:p>
      <w:pPr>
        <w:spacing w:after="0" w:line="54" w:lineRule="exact"/>
        <w:rPr>
          <w:rFonts w:ascii="Times New Roman" w:cs="Times New Roman" w:eastAsia="Times New Roman" w:hAnsi="Times New Roman"/>
          <w:sz w:val="18"/>
          <w:szCs w:val="18"/>
          <w:b w:val="1"/>
          <w:bCs w:val="1"/>
          <w:color w:val="auto"/>
        </w:rPr>
      </w:pPr>
    </w:p>
    <w:p>
      <w:pPr>
        <w:ind w:left="660" w:right="1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May 2, 2026, the Company held as treasury shares 15,834,579 shares of its common stock at an average price of $9.90 per share, excluding commissions, for an aggregate carrying amount of $156.8 million. The Company’s treasury shares may be issued under the 2010 Equity and Incentive Plan (with respect to outstanding awards under that plan), under the 2020 Equity and Incentive Plan, or for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660" w:right="7040" w:hanging="652"/>
        <w:spacing w:after="0" w:line="375" w:lineRule="auto"/>
        <w:tabs>
          <w:tab w:leader="none" w:pos="645"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ind w:left="6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fiscal 2023, the Company began implementation of its targeted cost reductions, which were expected to be fully realized in fiscal 2025. In late fiscal 2025, additional cost optimization initiatives were identified and are expected to be fully realized in fiscal 2027. Expense savings are being derived across various areas of the Company, including retail store efficiencies, marketing expenses, information technology contracts, professional services, logistics and operational costs, and corporate payroll.</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May 2, 2026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70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Indirect</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selling, general, and administrative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2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January 31,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 charges</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Liability as of May 2, 2026</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May 3, 2025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74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Indirect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Recorded within SG&amp;A expenses</w:t>
            </w: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50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62407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Fiscal 2026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07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40780" cy="14541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May 3, 2025</w:t>
      </w:r>
      <w:r>
        <w:rPr>
          <w:rFonts w:ascii="Times New Roman" w:cs="Times New Roman" w:eastAsia="Times New Roman" w:hAnsi="Times New Roman"/>
          <w:sz w:val="23"/>
          <w:szCs w:val="23"/>
          <w:color w:val="auto"/>
          <w:vertAlign w:val="superscript"/>
        </w:rPr>
        <w:t>(1)</w:t>
      </w:r>
    </w:p>
    <w:p>
      <w:pPr>
        <w:spacing w:after="0" w:line="39" w:lineRule="exact"/>
        <w:rPr>
          <w:sz w:val="20"/>
          <w:szCs w:val="20"/>
          <w:color w:val="auto"/>
        </w:rPr>
      </w:pPr>
    </w:p>
    <w:p>
      <w:pPr>
        <w:ind w:left="920" w:hanging="246"/>
        <w:spacing w:after="0"/>
        <w:tabs>
          <w:tab w:leader="none" w:pos="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p>
      <w:pPr>
        <w:jc w:val="center"/>
        <w:ind w:right="760"/>
        <w:spacing w:after="0" w:line="215" w:lineRule="auto"/>
        <w:rPr>
          <w:sz w:val="20"/>
          <w:szCs w:val="20"/>
          <w:color w:val="auto"/>
        </w:rPr>
      </w:pPr>
      <w:r>
        <w:rPr>
          <w:rFonts w:ascii="Times New Roman" w:cs="Times New Roman" w:eastAsia="Times New Roman" w:hAnsi="Times New Roman"/>
          <w:sz w:val="14"/>
          <w:szCs w:val="14"/>
          <w:b w:val="1"/>
          <w:bCs w:val="1"/>
          <w:color w:val="auto"/>
        </w:rPr>
        <w:t>Retention Payment Acceleration</w:t>
      </w:r>
    </w:p>
    <w:p>
      <w:pPr>
        <w:jc w:val="center"/>
        <w:ind w:right="760"/>
        <w:spacing w:after="0" w:line="222" w:lineRule="auto"/>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29"/>
        </w:trPr>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4"/>
        </w:trPr>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67" w:lineRule="exact"/>
        <w:rPr>
          <w:sz w:val="20"/>
          <w:szCs w:val="20"/>
          <w:color w:val="auto"/>
        </w:rPr>
      </w:pPr>
    </w:p>
    <w:p>
      <w:pPr>
        <w:sectPr>
          <w:pgSz w:w="11900" w:h="16838" w:orient="portrait"/>
          <w:cols w:equalWidth="0" w:num="2">
            <w:col w:w="7680" w:space="720"/>
            <w:col w:w="2840"/>
          </w:cols>
          <w:pgMar w:left="320" w:top="117" w:right="339" w:bottom="1440" w:gutter="0" w:footer="0" w:header="0"/>
          <w:type w:val="continuous"/>
        </w:sect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Company has two operating segments, which are also its reportable segments: Direct and Indirect. During the thirteen weeks ended May 3, 2025, the Company completed the sale of its wholly owned subsidiary, Creative Genius, also referred to as Pura Vida which was the Company's third reporting segment. Refer to Note 13 for additional information. These operating segments are components of the Company for which separate financial information is available and for which operating results are evaluated on a regular basis by the chief operating decision maker ("CODM") in deciding how to allocate resources and in assessing the performance of the segments. The Company's CODM is our Chief Executive Officer &amp; Chairman.</w:t>
      </w:r>
    </w:p>
    <w:p>
      <w:pPr>
        <w:spacing w:after="0" w:line="66"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The Direct segment includes Vera Bradley full-line and outlet stores; e-commerce sites (verabradley.com, verabradleyoutlet.com, and international.verabradley.com); direct to consumer marketplaces; and typically the Vera Bradley annual outlet sale. Revenues generated from this segment are driven through the sale of Vera Bradley-branded products from Vera Bradley to end consumers.</w:t>
      </w:r>
    </w:p>
    <w:p>
      <w:pPr>
        <w:spacing w:after="0" w:line="54"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The Indirect segment represents revenues generated through the distribution of Vera Bradley-branded products to specialty retailers representing approximately 1,200 locations, substantially all of which are located in the United States; key accounts, which include department stores, national accounts, and third-party inventory liquidators; and royalties recognized through licensing agreements related to the Vera Bradley brand.</w:t>
      </w:r>
    </w:p>
    <w:p>
      <w:pPr>
        <w:spacing w:after="0" w:line="41"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Income earned under the Transition Services Agreement ("TSA") resulting from the sale of Creative Genius is netted against these unallocated corporate expenses. All intercompany-related activities are eliminated in consolidation and are excluded from the segment reporting.</w:t>
      </w:r>
    </w:p>
    <w:p>
      <w:pPr>
        <w:spacing w:after="0" w:line="62" w:lineRule="exact"/>
        <w:rPr>
          <w:sz w:val="20"/>
          <w:szCs w:val="20"/>
          <w:color w:val="auto"/>
        </w:rPr>
      </w:pPr>
    </w:p>
    <w:p>
      <w:pPr>
        <w:ind w:left="660" w:right="120"/>
        <w:spacing w:after="0" w:line="256" w:lineRule="auto"/>
        <w:rPr>
          <w:sz w:val="20"/>
          <w:szCs w:val="20"/>
          <w:color w:val="auto"/>
        </w:rPr>
      </w:pPr>
      <w:r>
        <w:rPr>
          <w:rFonts w:ascii="Times New Roman" w:cs="Times New Roman" w:eastAsia="Times New Roman" w:hAnsi="Times New Roman"/>
          <w:sz w:val="18"/>
          <w:szCs w:val="18"/>
          <w:color w:val="auto"/>
        </w:rPr>
        <w:t>The CODM’s primary or key performance indicator for evaluating segment operating results is operating income. The CODM uses operating income for each segment predominantly in the annual budget and forecasting process. The CODM considers budget-to-actual variances on a quarterly basis for this key performance operating measure when making decisions about the allocation of operating and capital resources to each segment. The CODM also uses segment operating income to assess the performance of each segment by comparing the results of each segment with one another and in determining the compensation of certain employees. The CODM reviews cost of sales and SG&amp;A expense on a consolidated basis.</w:t>
      </w:r>
    </w:p>
    <w:p>
      <w:pPr>
        <w:spacing w:after="0" w:line="66" w:lineRule="exact"/>
        <w:rPr>
          <w:sz w:val="20"/>
          <w:szCs w:val="20"/>
          <w:color w:val="auto"/>
        </w:rPr>
      </w:pPr>
    </w:p>
    <w:p>
      <w:pPr>
        <w:jc w:val="both"/>
        <w:ind w:left="660" w:right="360"/>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63" w:lineRule="auto"/>
        <w:rPr>
          <w:sz w:val="20"/>
          <w:szCs w:val="20"/>
          <w:color w:val="auto"/>
        </w:rPr>
      </w:pPr>
      <w:r>
        <w:rPr>
          <w:rFonts w:ascii="Times New Roman" w:cs="Times New Roman" w:eastAsia="Times New Roman" w:hAnsi="Times New Roman"/>
          <w:sz w:val="18"/>
          <w:szCs w:val="18"/>
          <w:color w:val="auto"/>
        </w:rPr>
        <w:t>Net revenues, cost of sales, other segment expenses, and operating income information for the Company’s reportable segments, as well as a reconciliation to loss from continuing operations before income taxes during the thirteen weeks ended May 2, 2026 and May 3, 2025,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6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May 2,</w:t>
            </w:r>
          </w:p>
        </w:tc>
        <w:tc>
          <w:tcPr>
            <w:tcW w:w="340" w:type="dxa"/>
            <w:vAlign w:val="bottom"/>
          </w:tcPr>
          <w:p>
            <w:pPr>
              <w:spacing w:after="0"/>
              <w:rPr>
                <w:sz w:val="11"/>
                <w:szCs w:val="11"/>
                <w:color w:val="auto"/>
              </w:rPr>
            </w:pPr>
          </w:p>
        </w:tc>
        <w:tc>
          <w:tcPr>
            <w:tcW w:w="1240" w:type="dxa"/>
            <w:vAlign w:val="bottom"/>
          </w:tcPr>
          <w:p>
            <w:pPr>
              <w:jc w:val="right"/>
              <w:ind w:right="492"/>
              <w:spacing w:after="0" w:line="129"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6"/>
        </w:trPr>
        <w:tc>
          <w:tcPr>
            <w:tcW w:w="65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43,083</w:t>
            </w: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Indirect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w:t>
            </w:r>
          </w:p>
        </w:tc>
      </w:tr>
      <w:tr>
        <w:trPr>
          <w:trHeight w:val="223"/>
        </w:trPr>
        <w:tc>
          <w:tcPr>
            <w:tcW w:w="6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51,652</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23,877</w:t>
            </w:r>
          </w:p>
        </w:tc>
      </w:tr>
      <w:tr>
        <w:trPr>
          <w:trHeight w:val="22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Indirect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28,885</w:t>
            </w:r>
          </w:p>
        </w:tc>
      </w:tr>
      <w:tr>
        <w:trPr>
          <w:trHeight w:val="209"/>
        </w:trPr>
        <w:tc>
          <w:tcPr>
            <w:tcW w:w="65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Other segment expenses, net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r>
      <w:tr>
        <w:trPr>
          <w:trHeight w:val="22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Indirect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26,323</w:t>
            </w: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Indirect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3"/>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r>
      <w:tr>
        <w:trPr>
          <w:trHeight w:val="22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income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r>
    </w:tbl>
    <w:p>
      <w:pPr>
        <w:ind w:left="920" w:hanging="246"/>
        <w:spacing w:after="0"/>
        <w:tabs>
          <w:tab w:leader="none" w:pos="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net include SG&amp;A expenses and are net of other income.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07" w:lineRule="exact"/>
        <w:rPr>
          <w:rFonts w:ascii="Times New Roman" w:cs="Times New Roman" w:eastAsia="Times New Roman" w:hAnsi="Times New Roman"/>
          <w:sz w:val="18"/>
          <w:szCs w:val="18"/>
          <w:b w:val="1"/>
          <w:bCs w:val="1"/>
          <w:color w:val="auto"/>
        </w:rPr>
      </w:pPr>
    </w:p>
    <w:p>
      <w:pPr>
        <w:ind w:left="6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11, 2025, the Company completed the sale of Creative Genius pursuant to an Interest Purchase Agreement (the “Agreement”) to sell one hundred percent (100%) of Creative Genius, which operates under the name Pura Vida Bracelets. The sale consummated on March 31, 2025. In connection with the transaction, the Company received total consideration of $3.5 million, consisting of a combination of cash consideration, subject to net working capital and net cash adjustments, as well as contingent consideration.</w:t>
      </w:r>
    </w:p>
    <w:p>
      <w:pPr>
        <w:spacing w:after="0" w:line="44"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closing, the Company received cash proceeds of $0.9 million, in addition, the Company is entitled to receive contingent consideration with an estimated fair value of $2.5 million, based on the present value of expected future payments. The remaining contingent consideration receivable was $1.8 million as of May 2, 2026. The contingent consideration is calculated as 5% of total sales generated by the divested business, as operated by the buyer, net of customary shipping costs, during the earn-out period specified in the agreement. The earn-out period and related terms are consistent with customary provisions for transactions of this nature. The fair value of the contingent consideration was determined using a probability-weighted discounted cash flow analysis based on internal projections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-2028825</wp:posOffset>
            </wp:positionV>
            <wp:extent cx="2049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buyer’s expected future sales. The fair value measurement is classified as Level 3 within the fair value hierarchy due to the use of unobservable inputs.</w:t>
      </w:r>
    </w:p>
    <w:p>
      <w:pPr>
        <w:spacing w:after="0" w:line="27"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The Company will assess changes in the fair value of the contingent consideration at each reporting date, with any adjustments recognized in earnings in the period in which such changes are identified.</w:t>
      </w:r>
    </w:p>
    <w:p>
      <w:pPr>
        <w:spacing w:after="0" w:line="17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 recorded a net loss on disposal of $15.2 million for the thirteen weeks ended May 3, 2025. The loss on sale is presented as part of results of the discontinued operations.</w:t>
      </w:r>
    </w:p>
    <w:p>
      <w:pPr>
        <w:spacing w:after="0" w:line="54"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Pura Vida business is reported as discontinued operations in the Consolidated Statements of Operations for all periods presented in this Form 10-Q. This business was historically presented as its own reportable segment.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Results of discontinued operations were as follows for the thirteen weeks ended May 2, 2026 and May 3, 2025:</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820" w:type="dxa"/>
            <w:vAlign w:val="bottom"/>
            <w:gridSpan w:val="5"/>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6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1"/>
        </w:trPr>
        <w:tc>
          <w:tcPr>
            <w:tcW w:w="6960" w:type="dxa"/>
            <w:vAlign w:val="bottom"/>
          </w:tcPr>
          <w:p>
            <w:pPr>
              <w:spacing w:after="0"/>
              <w:rPr>
                <w:sz w:val="11"/>
                <w:szCs w:val="11"/>
                <w:color w:val="auto"/>
              </w:rPr>
            </w:pPr>
          </w:p>
        </w:tc>
        <w:tc>
          <w:tcPr>
            <w:tcW w:w="1000" w:type="dxa"/>
            <w:vAlign w:val="bottom"/>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right"/>
              <w:ind w:right="373"/>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69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tcPr>
          <w:p>
            <w:pPr>
              <w:spacing w:after="0"/>
              <w:rPr>
                <w:sz w:val="19"/>
                <w:szCs w:val="19"/>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23"/>
        </w:trPr>
        <w:tc>
          <w:tcPr>
            <w:tcW w:w="6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tcPr>
          <w:p>
            <w:pPr>
              <w:spacing w:after="0"/>
              <w:rPr>
                <w:sz w:val="19"/>
                <w:szCs w:val="19"/>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29"/>
        </w:trPr>
        <w:tc>
          <w:tcPr>
            <w:tcW w:w="6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r>
      <w:tr>
        <w:trPr>
          <w:trHeight w:val="223"/>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r>
    </w:tbl>
    <w:p>
      <w:pPr>
        <w:ind w:left="680"/>
        <w:spacing w:after="0"/>
        <w:rPr>
          <w:sz w:val="20"/>
          <w:szCs w:val="20"/>
          <w:color w:val="auto"/>
        </w:rPr>
      </w:pPr>
      <w:r>
        <w:rPr>
          <w:rFonts w:ascii="Times New Roman" w:cs="Times New Roman" w:eastAsia="Times New Roman" w:hAnsi="Times New Roman"/>
          <w:sz w:val="18"/>
          <w:szCs w:val="18"/>
          <w:color w:val="auto"/>
        </w:rPr>
        <w:t>(1) Includes $15.2 million loss on sale of discontinued operations recorded during the thirteen weeks ended May 3, 2025.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provides certain transition services to support the divested business in accordance with the Interest Purchase Agreement.</w:t>
      </w:r>
    </w:p>
    <w:p>
      <w:pPr>
        <w:spacing w:after="0" w:line="252" w:lineRule="exact"/>
        <w:rPr>
          <w:sz w:val="20"/>
          <w:szCs w:val="20"/>
          <w:color w:val="auto"/>
        </w:rPr>
      </w:pPr>
    </w:p>
    <w:p>
      <w:pPr>
        <w:ind w:left="660" w:right="40"/>
        <w:spacing w:after="0" w:line="270" w:lineRule="auto"/>
        <w:rPr>
          <w:sz w:val="20"/>
          <w:szCs w:val="20"/>
          <w:color w:val="auto"/>
        </w:rPr>
      </w:pPr>
      <w:r>
        <w:rPr>
          <w:rFonts w:ascii="Times New Roman" w:cs="Times New Roman" w:eastAsia="Times New Roman" w:hAnsi="Times New Roman"/>
          <w:sz w:val="18"/>
          <w:szCs w:val="18"/>
          <w:color w:val="auto"/>
        </w:rPr>
        <w:t>The following table presents cash flows from operating and investing activities for discontinued operations for the thirteen weeks ended May 2, 2026 and May 3, 2025:</w:t>
      </w:r>
    </w:p>
    <w:tbl>
      <w:tblPr>
        <w:tblLayout w:type="fixed"/>
        <w:tblInd w:w="66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820" w:type="dxa"/>
            <w:vAlign w:val="bottom"/>
            <w:gridSpan w:val="4"/>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1"/>
        </w:trPr>
        <w:tc>
          <w:tcPr>
            <w:tcW w:w="7000" w:type="dxa"/>
            <w:vAlign w:val="bottom"/>
          </w:tcPr>
          <w:p>
            <w:pPr>
              <w:spacing w:after="0"/>
              <w:rPr>
                <w:sz w:val="11"/>
                <w:szCs w:val="11"/>
                <w:color w:val="auto"/>
              </w:rPr>
            </w:pPr>
          </w:p>
        </w:tc>
        <w:tc>
          <w:tcPr>
            <w:tcW w:w="1000" w:type="dxa"/>
            <w:vAlign w:val="bottom"/>
          </w:tcPr>
          <w:p>
            <w:pPr>
              <w:jc w:val="center"/>
              <w:ind w:left="266"/>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7000" w:type="dxa"/>
            <w:vAlign w:val="bottom"/>
          </w:tcPr>
          <w:p>
            <w:pPr>
              <w:spacing w:after="0"/>
              <w:rPr>
                <w:sz w:val="16"/>
                <w:szCs w:val="16"/>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 discontinued operations</w:t>
            </w:r>
          </w:p>
        </w:tc>
        <w:tc>
          <w:tcPr>
            <w:tcW w:w="100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investing activities - discontinued operations</w:t>
            </w:r>
          </w:p>
        </w:tc>
        <w:tc>
          <w:tcPr>
            <w:tcW w:w="10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weeks ended May 2, 2026 and May 3, 2025. The following discussion should be read in conjunction with our Annual Report on Form 10-K for the fiscal year ended January 31, 2026, and our unaudited condensed consolidated financial statements and the related notes included in Item 1 of this Quarterly Report. The results of operations for the thirteen weeks ended May 2, 2026,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Progress, Macroeconomic Factors, and Other Factors Impacting our Financial Condition and Results of Operations</w:t>
      </w:r>
    </w:p>
    <w:p>
      <w:pPr>
        <w:spacing w:after="0" w:line="2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Strategic Progress. </w:t>
      </w:r>
      <w:r>
        <w:rPr>
          <w:rFonts w:ascii="Times New Roman" w:cs="Times New Roman" w:eastAsia="Times New Roman" w:hAnsi="Times New Roman"/>
          <w:sz w:val="18"/>
          <w:szCs w:val="18"/>
          <w:color w:val="auto"/>
        </w:rPr>
        <w:t>We are continuing execution of Project Sunshine, a comprehensive strategy to strengthen our market position by tapping into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strong emotional connection with consumers. We are simplifying decision-making, removing organizational complexity, and focusing resources on high-impact initiatives. This operational focus, paired with prudent cost management, will allow us to invest in the brand, innovation, and customer experiences, all while driving shareholder value. These improvements are about agility — building a responsive organization to fully leverage our unique brand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five key initiatives of Project Sunshine are:</w:t>
      </w:r>
    </w:p>
    <w:p>
      <w:pPr>
        <w:spacing w:after="0" w:line="9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Sharpening Our Brand Focus</w:t>
      </w:r>
      <w:r>
        <w:rPr>
          <w:rFonts w:ascii="Times New Roman" w:cs="Times New Roman" w:eastAsia="Times New Roman" w:hAnsi="Times New Roman"/>
          <w:sz w:val="18"/>
          <w:szCs w:val="18"/>
          <w:color w:val="auto"/>
        </w:rPr>
        <w:t>: We are restoring Vera Bradley’s distinctive, joyful brand positioning by strengthening product, emphasis on social-first marketing, storytelling, and partnering selectively across wholesale and IP to rebuild relevance and demand.</w:t>
      </w:r>
    </w:p>
    <w:p>
      <w:pPr>
        <w:spacing w:after="0" w:line="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u w:val="single" w:color="auto"/>
          <w:color w:val="auto"/>
        </w:rPr>
        <w:t>Resetting Our Go-to-Market Model</w:t>
      </w:r>
      <w:r>
        <w:rPr>
          <w:rFonts w:ascii="Times New Roman" w:cs="Times New Roman" w:eastAsia="Times New Roman" w:hAnsi="Times New Roman"/>
          <w:sz w:val="18"/>
          <w:szCs w:val="18"/>
          <w:color w:val="auto"/>
        </w:rPr>
        <w:t>: We are rebuilding our commercial engine with sharper hero product focus, disciplined pricing and promotions, improved inventory planning, and integrated, insight-led execution across channels.</w:t>
      </w:r>
    </w:p>
    <w:p>
      <w:pPr>
        <w:spacing w:after="0" w:line="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u w:val="single" w:color="auto"/>
          <w:color w:val="auto"/>
        </w:rPr>
        <w:t>Rewiring the Digital Ecosystem</w:t>
      </w:r>
      <w:r>
        <w:rPr>
          <w:rFonts w:ascii="Times New Roman" w:cs="Times New Roman" w:eastAsia="Times New Roman" w:hAnsi="Times New Roman"/>
          <w:sz w:val="18"/>
          <w:szCs w:val="18"/>
          <w:color w:val="auto"/>
        </w:rPr>
        <w:t>: We are integrating our digital commerce platforms to create a seamless customer journey, supported by enhanced site functionality, data-driven decisions, and improved conversion and profitability.</w:t>
      </w:r>
    </w:p>
    <w:p>
      <w:pPr>
        <w:spacing w:after="0" w:line="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Outlet 2.0</w:t>
      </w:r>
      <w:r>
        <w:rPr>
          <w:rFonts w:ascii="Times New Roman" w:cs="Times New Roman" w:eastAsia="Times New Roman" w:hAnsi="Times New Roman"/>
          <w:sz w:val="18"/>
          <w:szCs w:val="18"/>
          <w:color w:val="auto"/>
        </w:rPr>
        <w:t>: We are transforming our outlet channel from discount driven to a curated, brand-building smart-value experience that is delivering higher sales, conversion, and profitability.</w:t>
      </w:r>
    </w:p>
    <w:p>
      <w:pPr>
        <w:spacing w:after="0" w:line="4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u w:val="single" w:color="auto"/>
          <w:color w:val="auto"/>
        </w:rPr>
        <w:t>Reimagining How We Work</w:t>
      </w:r>
      <w:r>
        <w:rPr>
          <w:rFonts w:ascii="Times New Roman" w:cs="Times New Roman" w:eastAsia="Times New Roman" w:hAnsi="Times New Roman"/>
          <w:sz w:val="18"/>
          <w:szCs w:val="18"/>
          <w:color w:val="auto"/>
        </w:rPr>
        <w:t>: We are streamlining the organization while investing in critical talent and capabilities to create a more agile, future-fit company positioned for sustainable long-term growth.</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Macroeconomic and Other Factors. </w:t>
      </w:r>
      <w:r>
        <w:rPr>
          <w:rFonts w:ascii="Times New Roman" w:cs="Times New Roman" w:eastAsia="Times New Roman" w:hAnsi="Times New Roman"/>
          <w:sz w:val="18"/>
          <w:szCs w:val="18"/>
          <w:color w:val="auto"/>
        </w:rPr>
        <w:t>We continue to closely monitor the dynamic economic landscape and are actively managing the impact of changing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 costs. While ongoing inflationary pressures and related macroeconomic factors continue to influence consumer discretionary spending, our business has demonstrated resilience to start the fiscal year. We delivered a strong start to fiscal 2027 and remain focused on executing our strategic initiatives and adapting to current market conditions to support sustained long-term growth.</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Transition</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June 2025, the Company announced the departure of its former Chief Executive Officer (“CEO”), Jacqueline Ardrey. In March 2026, Board member Ian Bickley was appointed permanent CEO and Executive Chairman after serving as our Interim CEO since July 2025. Martin Layding was named Chief Financial Officer in June 2025 and was promoted to also serve as the Chief Operating Officer in March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sale of Pura Vida was completed on March 31, 2025. See Note 13 to the Notes to the Condensed Consolidated Financial Statements herein for additional information. The loss on sale was presented as part of results of the discontinued operations. We have reflected the results of operations of the Pura Vida business as discontinued operations in the Consolidated Statement of Operations. This business was historically presented as its own reporting unit.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Direct segment reflect sales through full-line and outlet stores; e-commerce sites (verabradley.com, verabradleyoutlet.com, and international.verabradley.com); direct to consumer marketplaces; and typically the Vera Bradley annual outlet sale. Revenues for the Indirect segment reflect sales of Vera Bradley-branded products to specialty retail partners; key accounts consisting of department stores, national accounts, and third-party inventory liquidators; and royalties recognized through licensing agreements related to the Vera Bradley brand.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as well as timing and level of promotions;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spacing w:after="0" w:line="12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Gross profit can be impacted by changes in volume; fluctuations in sales price; inbound freight and other logistical costs; outbound freight; operational efficiencies, such as leveraging of fixed costs; promotional activities, including free shipping; commodity prices, such as for cotton; tariffs; and labor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9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business expenses, such as store expenses, employee compensation, and store occupancy and supply costs;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business expenses consisting primarily of employee compensation and other expenses associated with sales to Indirect retailers; and</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11 to the Notes to the Condensed Consolidated Financial Statements herein.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472"/>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8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51,652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26,871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28,885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(18,260)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8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(loss) by operating segment, both in dollars and as a percentage of associated net revenues, and store data for the periods indicated ($ in thousands, except as otherwise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73"/>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79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44,853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43,083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Indirect</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10,849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55,702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51,652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Indirect</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0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3"/>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194"/>
        </w:trPr>
        <w:tc>
          <w:tcPr>
            <w:tcW w:w="7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3,107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(5,536)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4,009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(11,764)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(14,301)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(4,648)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(17,857)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 by Segment: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354,709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386,091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increase (decrease) </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60" w:hanging="552"/>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Times New Roman" w:cs="Times New Roman" w:eastAsia="Times New Roman" w:hAnsi="Times New Roman"/>
          <w:sz w:val="18"/>
          <w:szCs w:val="18"/>
          <w:color w:val="auto"/>
        </w:rPr>
      </w:pPr>
    </w:p>
    <w:p>
      <w:pPr>
        <w:ind w:left="580" w:right="340" w:hanging="572"/>
        <w:spacing w:after="0" w:line="253"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Comparable sales increase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May 2, 2026, Compared to Thirteen Weeks Ended May 3,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2, 2026, net revenues increased $4.0 million, or 7.8%, to $55.7 million, from $51.7 million in the comparable prior-year period.</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thirteen weeks ended May 2, 2026, net revenues in the Direct segment increased $1.8 million, or 4.1%, to $44.9 million, from $43.1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comparable prior-year period. Vera Bradley comparable sales increased 13.4%, which includes an 11.6% increase in comparable store sales as well as an increase in e-commerce sales of 15.5%. In addition, non-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comparable revenue decreased $3.5 million, primarily attributable to not hosting the Vera Bradley annual outlet sale in the current year period. The increase in comparable sales and comparable store sales was primarily due to improved e-commerce conversion and average ticket price, as well as increased traffic in outlet and full-line stores.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thirteen weeks ended May 2, 2026, net revenues in the Indirect segment increased $2.3 million, or 26.6%, to $10.8 million, from</w:t>
      </w:r>
    </w:p>
    <w:p>
      <w:pPr>
        <w:spacing w:after="0" w:line="1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$8.6 million in the comparable prior-year period. The increase was primarily due to improvement in specialty and department stores, while cut-to-order sales enabled continued growth across key accounts.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the thirteen weeks ended May 2, 2026, gross profit increased $6.0 million, or 26.6%, to $28.8 million, from $22.8 million in the comparable prior-year period. As a percentage of net revenues, gross profit increased to 51.8% for the thirteen weeks ended May 2, 2026, from 44.1% in the comparable prior-year period. The year over year margin rate improvement was driven by favorable sales mix and lower freight and duty costs in the current year period, as well as reduction in costs related to inventory write-offs associated with the sale of Pura Vida, purchase order cancellation fees, and professional fees in the prior-year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For the thirteen weeks ended May 2, 2026, SG&amp;A expenses decreased $6.7 million, or 16.4%, to $34.1 million, from $40.8 million in the comparable prior-year period. As a percentage of net revenues, SG&amp;A expenses decreased to 61.3% for the thirteen weeks ended May 2, 2026, from 79.0% in the comparable prior-year period. For the thirteen weeks ended May 2, 2026, consolidated SG&amp;A expenses decreased primarily due to a $2.9 million reduction in advertising costs, driven by cost optimization efforts including reduction and phasing of advertising spend throughout the year; a $1.3 million reduction in building expenses resulting from store closures and favorable lease negotiations; $1.0 property, plant, &amp; equipment charges in the prior-year period that did not recur in the current year period; a $0.7 million reduction in employee-related costs, including reduced headcount, partially offset by an increase in variable compensation; a $0.3 million reduction in professional fees; and a $0.5 million reduction in net other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May 2, 2026, net other income increased $0.4 million to $0.6 million, from $0.2 million in the comparable prior-year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other income was primarily due to income from the TSA resulting from the sale of Creative Genius.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from Continuing Operations</w:t>
      </w:r>
    </w:p>
    <w:p>
      <w:pPr>
        <w:spacing w:after="0" w:line="10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For the thirteen weeks ended May 2, 2026, operating loss from continuing operations decreased $13.3 million, or 74.0%, to $(4.6) million, from $(17.9) million in the comparable prior-year period. As a percentage of net revenues, operating loss from continuing operations was (8.3)% and (34.6)% for the thirteen weeks ended May 2, 2026 and May 3, 2025, respectively. Operating loss from continuing operations decreased due to the factors described above.</w:t>
      </w:r>
    </w:p>
    <w:p>
      <w:pPr>
        <w:spacing w:after="0" w:line="10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i w:val="1"/>
          <w:iCs w:val="1"/>
          <w:color w:val="auto"/>
        </w:rPr>
        <w:t>Direct</w:t>
      </w:r>
      <w:r>
        <w:rPr>
          <w:rFonts w:ascii="Times New Roman" w:cs="Times New Roman" w:eastAsia="Times New Roman" w:hAnsi="Times New Roman"/>
          <w:sz w:val="17"/>
          <w:szCs w:val="17"/>
          <w:color w:val="auto"/>
        </w:rPr>
        <w:t>. For the thirteen weeks ended May 2, 2026, operating income in the Direct segment increased $8.6 million, or 156.1%, to $3.1 million, from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loss of $(5.5) million in the comparable prior-year period. As a percentage of Direct segment net revenues, operating income (loss) in the Direct segment was 6.9% and (12.8)% for the thirteen weeks ended May 2, 2026 and May 3, 2025, respectively. The increase in operating income as a percentage of Direct segment net revenues was primarily due to an increase in gross margin as a percentage of net revenues as described above, expense reductions of $1.6 million in advertising costs and $1.1 million in building expenses resulting from store closures and favorable lease negotiations, the absence of $1.0 million of property, plant, and equipment impairment charges recognized in the prior-year period, as well as improved leverage of SG&amp;A expenses.</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thirteen weeks ended May 2, 2026, operating income in the Indirect segment increased $2.0 million, or 102.5%, to $4.0 million from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Indirect segment net revenues, operating income in the Indirect segment was 37.0% and 23.1% for the thirteen weeks ended May 2, 2026 and May 3, 2025, respectively. The increase in operating income as a percentage of Indirect segment net revenues was due to an increase in gross margin as a percentage of net revenues as well as improved leverage of SG&amp;A expenses.</w:t>
      </w:r>
    </w:p>
    <w:p>
      <w:pPr>
        <w:spacing w:after="0" w:line="12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Unallocated</w:t>
      </w:r>
      <w:r>
        <w:rPr>
          <w:rFonts w:ascii="Times New Roman" w:cs="Times New Roman" w:eastAsia="Times New Roman" w:hAnsi="Times New Roman"/>
          <w:sz w:val="17"/>
          <w:szCs w:val="17"/>
          <w:color w:val="auto"/>
        </w:rPr>
        <w:t>. For the thirteen weeks ended May 2, 2026, unallocated expenses decreased $2.5 million, or 17.7%, to $11.8 million from $14.3 million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comparable prior-year period. The decrease in unallocated expenses was primarily due to a $1.0 million decrease in advertising expenses, a $0.5 million reduction in professional fees, and a $0.4 million reduction in employee-related costs, partially offset by a $0.6 million increase in net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17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2, 2026, interest expense increased $0.1 million, to $(0.1) million from interest income of $4.0 thousand in the comparable prior-year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7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May 2, 2026, was (2.4)%, compared to (2.3)% for the thirteen weeks ended May 3, 2025. See Note 7 "Income Taxes" of the Notes to the Condensed Consolidated Financial Statements for additional information about the Company's interim provision for income taxes.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2, 2026, there was a net loss from continuing operations of $(4.8) million, a $13.5 million decrease, from $(18.3) million in the comparable prior-year period due to the factors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Availability under the Credit Agreement is driven by a borrowing base comprised primarily of eligible accounts receivable and inventory, each subject to advance rates, eligibility criteria, and applicable reserves. As a result, borrowing capacity may fluctuate based on the level and quality of receivables and the composition and valuation of inventory. There was no debt outstanding under the Credit Agreement as of May 2, 2026. The Company also owns two real estate properties that are unencumbered, which provide additional financial flexibility and may serve as a potential source of liquidity or collateral if needed.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00" w:type="dxa"/>
            <w:vAlign w:val="bottom"/>
          </w:tcPr>
          <w:p>
            <w:pPr>
              <w:spacing w:after="0"/>
              <w:rPr>
                <w:sz w:val="11"/>
                <w:szCs w:val="11"/>
                <w:color w:val="auto"/>
              </w:rPr>
            </w:pPr>
          </w:p>
        </w:tc>
        <w:tc>
          <w:tcPr>
            <w:tcW w:w="1140" w:type="dxa"/>
            <w:vAlign w:val="bottom"/>
          </w:tcPr>
          <w:p>
            <w:pPr>
              <w:jc w:val="right"/>
              <w:ind w:right="437"/>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net loss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Net cash used in operating activities for the thirteen weeks ended May 2, 2026 was $5.3 million, compared to $17.9 million for the thirteen weeks ended May 3, 2025. The decrease in cash used in operating activities was primarily attributable to a net loss of $(4.8) million, a $28.6 million improvement, from the comparable prior-year period, net of the $15.2 million loss on sale of business recognized in the prior-year period. Operating cash flows also benefited from continued inventory management initiatives, which resulted in a $2.9 million source of cash from inventories during the current year period compared to a $7.4 million use of cash in the prior-year period. These favorable impacts were partially offset by changes in accounts payable and accrued liabilities, which represented a $5.2 million net use of cash in the current year period, primarily attributable to the timing of payments at the end of fiscal 2026.</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$0.3 million for the thirteen weeks ended May 2, 2026, compared to $1.0 million for the thirteen weeks ended May 3, 2025. The decrease in cash used in investing activities was primarily attributable to a decrease in property, plant, and equipment spending of $1.6 million in the current year period, partially offset by $0.9 million proceeds from the sale of Pura Vida recognized in the prior-year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$0.4 million for the thirteen weeks ended May 2, 2026, compared to $0.2 million for the thirteen weeks ended May 3, 2025. The increase in cash used in financing activities was primarily attributable to higher tax withholding payments related to equity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JPMorgan Chase Bank, N.A., as the administrative agent, and lenders from time to time party thereto, entered into a Fourth Amendment (the “Fourth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The Credit Agreement also contains an option for VBD to arrange with lenders to increase the aggregate principal amount by up to $50.0 million.</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21, 2025, VBD amended the agreement to include, among other things, to: (i) permit the sale of certain real property assets without requiring the application of the proceeds from such sale to be used to repay amounts outstanding under the Credit Agreement, (ii) remove the prohibition against sale and leaseback transactions and (iii) increase the amount of Company assets permitted to be disposed of in any fiscal year outside the ordinary course of business from $5,000,000 to $10,000,000.</w:t>
      </w:r>
    </w:p>
    <w:p>
      <w:pPr>
        <w:spacing w:after="0" w:line="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May 2, 2026 and January 31, 2026, the Company had no borrowings outstanding and availability of $68.0 million and $58.6 million, respectively, under the Credit Agreement, subject to the borrowing base provisions of the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Condensed Consolidated Financial Statements herein.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May 2, 2026, there were no material changes outside the ordinary course of business to material cash requirements, as disclosed in our Annual Report on Form 10-K for the fiscal year ended January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31, 2026.</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fiscal year ended January 31, 2026. There were no significant changes to any of the critical accounting policies and estimates described in the Annual Report as of May 2,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2, 2026, there was no material change in the market risks described in “Quantitative and Qualitative Disclosures About Market Risks” in the Company’s Annual Report on Form 10-K for the fiscal year ended January 31, 2026.</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Operating &amp; Financial Officer, of the effectiveness of the design and operation of the Company’s disclosure controls and procedures pursuant to Rule 13a-15 of the Securities Exchange Act of 1934. Based on that evaluation, the Chief Executive Officer and Chief Operating &amp; Financial Officer concluded that the Company’s disclosure controls and procedures were effective as of May 2, 2026.</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June of 2025, the Company received a notice from the buyer of Creative Genius requesting a purchase price adjustment of approximately $4.6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The Company has filed for summary judgment in that action.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w:t>
      </w:r>
    </w:p>
    <w:p>
      <w:pPr>
        <w:spacing w:after="0" w:line="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also subject to other legal proceedings from time to time in the ordinary course of business but does not believe any of these such claims would have a material adverse impact on the Company at this time.</w:t>
      </w:r>
    </w:p>
    <w:p>
      <w:pPr>
        <w:spacing w:after="0" w:line="2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set forth in the Company’s Annual Report on Form 10-K for the fiscal year ended January 31, 2026.</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December 2024,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 2026, there were no purchases made under the 2024 Share Repurchase Program.</w:t>
      </w:r>
    </w:p>
    <w:p>
      <w:pPr>
        <w:spacing w:after="0" w:line="3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2,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8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Fiscal 2027 Annual Incentive Compensation Plan (Executives)</w:t>
            </w:r>
          </w:p>
        </w:tc>
        <w:tc>
          <w:tcPr>
            <w:tcW w:w="5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CEO Section 302 Certification</w:t>
            </w:r>
          </w:p>
        </w:tc>
        <w:tc>
          <w:tcPr>
            <w:tcW w:w="76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CFO Section 302 Certification</w:t>
            </w:r>
          </w:p>
        </w:tc>
        <w:tc>
          <w:tcPr>
            <w:tcW w:w="77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300" w:hanging="127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June 11, 2026</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Layding</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Martin Layding</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&amp;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17" w:right="359" w:bottom="1440" w:gutter="0" w:footer="0" w:header="0"/>
        </w:sectPr>
      </w:pPr>
    </w:p>
    <w:bookmarkStart w:id="37" w:name="page38"/>
    <w:bookmarkEnd w:id="3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Annual Incentive Compensation Plan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Officer - Fiscal 2027</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Overview</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Awards under this Annual Incentive Compensation Plan ("Annual Plan") are granted under and governed by the terms and conditions of the Vera Bradley, Inc. 2020 Equity and Incentive Plan (the “2020 Plan”), as amended. Any term capitalized herein but not defined will have the meaning set forth in the 2020 Plan.</w:t>
      </w:r>
    </w:p>
    <w:p>
      <w:pPr>
        <w:spacing w:after="0" w:line="19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This Annual Plan is designed to give each eligible Participant (as defined in the attached Administrative Guidelines) an opportunity to share in the Company's success for the fiscal year ending January 30, 2027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two independent performance measures: (1) Company Performance (Adjusted EBITDA) and (2) Company Performance (Cash Management). Collectively, these are referred to as the “FY27 Performance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Incentive Opportunity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incentive opportunity for each Participant is determined based on a percentage of each Participant's Base Salary (as defined below) based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level:</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5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7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Opportunity as a Percentage of Base Salary</w:t>
            </w:r>
          </w:p>
        </w:tc>
      </w:tr>
      <w:tr>
        <w:trPr>
          <w:trHeight w:val="223"/>
        </w:trPr>
        <w:tc>
          <w:tcPr>
            <w:tcW w:w="6500" w:type="dxa"/>
            <w:vAlign w:val="bottom"/>
            <w:tcBorders>
              <w:left w:val="single" w:sz="8" w:color="auto"/>
              <w:bottom w:val="single" w:sz="8" w:color="auto"/>
              <w:right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17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Excellence</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Operating &amp; Financial Officer</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23"/>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Brand Officer</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bl>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 Salary" is defined as the Participant's gross base salary (before taxes and deductions) paid by the Company to the Participant during the Performance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Participant will have the opportunity to earn the incentive set forth above based on the level of achievement against the FY27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3206115" cy="471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471805"/>
                    </a:xfrm>
                    <a:prstGeom prst="rect">
                      <a:avLst/>
                    </a:prstGeom>
                    <a:noFill/>
                  </pic:spPr>
                </pic:pic>
              </a:graphicData>
            </a:graphic>
          </wp:anchor>
        </w:drawing>
      </w:r>
    </w:p>
    <w:p>
      <w:pPr>
        <w:spacing w:after="0" w:line="2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Company Performance Measures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Adjusted EBITDA</w:t>
            </w:r>
          </w:p>
        </w:tc>
        <w:tc>
          <w:tcPr>
            <w:tcW w:w="2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Cash Management</w:t>
            </w:r>
          </w:p>
        </w:tc>
      </w:tr>
      <w:tr>
        <w:trPr>
          <w:trHeight w:val="223"/>
        </w:trPr>
        <w:tc>
          <w:tcPr>
            <w:tcW w:w="254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50%</w:t>
            </w:r>
          </w:p>
        </w:tc>
        <w:tc>
          <w:tcPr>
            <w:tcW w:w="25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Payouts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Payouts for Financial Performance are based on meeting two independent financial metrics, which are Adjusted EBITDA and Cash Management. Assuming at least threshold levels of performance against the Performance goals are met during the Performance Period, the actual payout levels will range from 25%-200% of target.</w:t>
      </w:r>
    </w:p>
    <w:p>
      <w:pPr>
        <w:sectPr>
          <w:pgSz w:w="11900" w:h="16838" w:orient="portrait"/>
          <w:cols w:equalWidth="0" w:num="1">
            <w:col w:w="11260"/>
          </w:cols>
          <w:pgMar w:left="320" w:top="1400" w:right="319" w:bottom="1440" w:gutter="0" w:footer="0" w:header="0"/>
        </w:sectPr>
      </w:pPr>
    </w:p>
    <w:bookmarkStart w:id="38" w:name="page39"/>
    <w:bookmarkEnd w:id="3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EBITDA Performance Level</w:t>
            </w:r>
          </w:p>
        </w:tc>
        <w:tc>
          <w:tcPr>
            <w:tcW w:w="58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 Corporate</w:t>
            </w:r>
          </w:p>
        </w:tc>
        <w:tc>
          <w:tcPr>
            <w:tcW w:w="0" w:type="dxa"/>
            <w:vAlign w:val="bottom"/>
          </w:tcPr>
          <w:p>
            <w:pPr>
              <w:spacing w:after="0"/>
              <w:rPr>
                <w:sz w:val="1"/>
                <w:szCs w:val="1"/>
                <w:color w:val="auto"/>
              </w:rPr>
            </w:pPr>
          </w:p>
        </w:tc>
      </w:tr>
      <w:tr>
        <w:trPr>
          <w:trHeight w:val="148"/>
        </w:trPr>
        <w:tc>
          <w:tcPr>
            <w:tcW w:w="5460" w:type="dxa"/>
            <w:vAlign w:val="bottom"/>
            <w:tcBorders>
              <w:left w:val="single" w:sz="8" w:color="auto"/>
              <w:right w:val="single" w:sz="8" w:color="auto"/>
            </w:tcBorders>
            <w:vMerge w:val="continue"/>
          </w:tcPr>
          <w:p>
            <w:pPr>
              <w:spacing w:after="0"/>
              <w:rPr>
                <w:sz w:val="12"/>
                <w:szCs w:val="12"/>
                <w:color w:val="auto"/>
              </w:rPr>
            </w:pPr>
          </w:p>
        </w:tc>
        <w:tc>
          <w:tcPr>
            <w:tcW w:w="5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92"/>
        </w:trPr>
        <w:tc>
          <w:tcPr>
            <w:tcW w:w="5460" w:type="dxa"/>
            <w:vAlign w:val="bottom"/>
            <w:tcBorders>
              <w:left w:val="single" w:sz="8" w:color="auto"/>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Excellence</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69"/>
        </w:trPr>
        <w:tc>
          <w:tcPr>
            <w:tcW w:w="54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Management Performance Level</w:t>
            </w:r>
          </w:p>
        </w:tc>
        <w:tc>
          <w:tcPr>
            <w:tcW w:w="58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 Corporate</w:t>
            </w:r>
          </w:p>
        </w:tc>
        <w:tc>
          <w:tcPr>
            <w:tcW w:w="0" w:type="dxa"/>
            <w:vAlign w:val="bottom"/>
          </w:tcPr>
          <w:p>
            <w:pPr>
              <w:spacing w:after="0"/>
              <w:rPr>
                <w:sz w:val="1"/>
                <w:szCs w:val="1"/>
                <w:color w:val="auto"/>
              </w:rPr>
            </w:pPr>
          </w:p>
        </w:tc>
      </w:tr>
      <w:tr>
        <w:trPr>
          <w:trHeight w:val="148"/>
        </w:trPr>
        <w:tc>
          <w:tcPr>
            <w:tcW w:w="5460" w:type="dxa"/>
            <w:vAlign w:val="bottom"/>
            <w:tcBorders>
              <w:left w:val="single" w:sz="8" w:color="auto"/>
              <w:right w:val="single" w:sz="8" w:color="auto"/>
            </w:tcBorders>
            <w:vMerge w:val="continue"/>
          </w:tcPr>
          <w:p>
            <w:pPr>
              <w:spacing w:after="0"/>
              <w:rPr>
                <w:sz w:val="12"/>
                <w:szCs w:val="12"/>
                <w:color w:val="auto"/>
              </w:rPr>
            </w:pPr>
          </w:p>
        </w:tc>
        <w:tc>
          <w:tcPr>
            <w:tcW w:w="5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0" w:type="dxa"/>
            <w:vAlign w:val="bottom"/>
          </w:tcPr>
          <w:p>
            <w:pPr>
              <w:spacing w:after="0"/>
              <w:rPr>
                <w:sz w:val="1"/>
                <w:szCs w:val="1"/>
                <w:color w:val="auto"/>
              </w:rPr>
            </w:pPr>
          </w:p>
        </w:tc>
      </w:tr>
      <w:tr>
        <w:trPr>
          <w:trHeight w:val="92"/>
        </w:trPr>
        <w:tc>
          <w:tcPr>
            <w:tcW w:w="5460" w:type="dxa"/>
            <w:vAlign w:val="bottom"/>
            <w:tcBorders>
              <w:left w:val="single" w:sz="8" w:color="auto"/>
              <w:bottom w:val="single" w:sz="8" w:color="auto"/>
              <w:right w:val="single" w:sz="8" w:color="auto"/>
            </w:tcBorders>
          </w:tcPr>
          <w:p>
            <w:pPr>
              <w:spacing w:after="0"/>
              <w:rPr>
                <w:sz w:val="8"/>
                <w:szCs w:val="8"/>
                <w:color w:val="auto"/>
              </w:rPr>
            </w:pPr>
          </w:p>
        </w:tc>
        <w:tc>
          <w:tcPr>
            <w:tcW w:w="58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3"/>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Excellence</w:t>
            </w:r>
          </w:p>
        </w:tc>
        <w:tc>
          <w:tcPr>
            <w:tcW w:w="5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*Payout levels are determined using linear interpolation for results falling between the three performance levels. All payouts are subject to Compensation Committee approval.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Payout Method</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Based on performance achieved during the Performance Period, incentive payouts will be made in cash, shares of Company stock, or a combination of both as indicated below. The form of payout for each performance measure (Adjusted EBITDA and Cash Management) will vary based on the level of performance attained. Any shares of Company stock earned under this Annual Plan are expected to be granted in April 2027 and will vest immediately upon grant. Provided however, that the Compensation Committee may, in its sole discretion, elect to make incentive payouts entirely in cash based on availability of Company stock. Payments of stock shall be valued based on the closing price of the Company’s stock on the day preceding when the stock is granted or otherwise paid.</w:t>
      </w:r>
    </w:p>
    <w:p>
      <w:pPr>
        <w:sectPr>
          <w:pgSz w:w="11900" w:h="16838" w:orient="portrait"/>
          <w:cols w:equalWidth="0" w:num="1">
            <w:col w:w="11260"/>
          </w:cols>
          <w:pgMar w:left="320" w:top="1440" w:right="319" w:bottom="1440" w:gutter="0" w:footer="0" w:header="0"/>
        </w:sectPr>
      </w:pPr>
    </w:p>
    <w:tbl>
      <w:tblPr>
        <w:tblLayout w:type="fixed"/>
        <w:tblInd w:w="10" w:type="dxa"/>
        <w:tblCellMar>
          <w:top w:w="0" w:type="dxa"/>
          <w:left w:w="0" w:type="dxa"/>
          <w:bottom w:w="0" w:type="dxa"/>
          <w:right w:w="0" w:type="dxa"/>
        </w:tblCellMar>
      </w:tblPr>
      <w:tr>
        <w:trPr>
          <w:trHeight w:val="262"/>
        </w:trPr>
        <w:tc>
          <w:tcPr>
            <w:tcW w:w="1400" w:type="dxa"/>
            <w:vAlign w:val="bottom"/>
            <w:tcBorders>
              <w:top w:val="single" w:sz="8" w:color="auto"/>
              <w:left w:val="single" w:sz="8" w:color="auto"/>
            </w:tcBorders>
          </w:tcPr>
          <w:p>
            <w:pPr>
              <w:spacing w:after="0"/>
              <w:rPr>
                <w:sz w:val="22"/>
                <w:szCs w:val="22"/>
                <w:color w:val="auto"/>
              </w:rPr>
            </w:pPr>
          </w:p>
        </w:tc>
        <w:tc>
          <w:tcPr>
            <w:tcW w:w="1760" w:type="dxa"/>
            <w:vAlign w:val="bottom"/>
            <w:tcBorders>
              <w:top w:val="single" w:sz="8" w:color="auto"/>
              <w:right w:val="single" w:sz="8" w:color="auto"/>
            </w:tcBorders>
          </w:tcPr>
          <w:p>
            <w:pPr>
              <w:spacing w:after="0"/>
              <w:rPr>
                <w:sz w:val="22"/>
                <w:szCs w:val="22"/>
                <w:color w:val="auto"/>
              </w:rPr>
            </w:pPr>
          </w:p>
        </w:tc>
        <w:tc>
          <w:tcPr>
            <w:tcW w:w="2060" w:type="dxa"/>
            <w:vAlign w:val="bottom"/>
            <w:tcBorders>
              <w:top w:val="single" w:sz="8" w:color="auto"/>
              <w:bottom w:val="single" w:sz="8" w:color="auto"/>
              <w:right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Adjusted EBITDA</w:t>
            </w:r>
          </w:p>
        </w:tc>
      </w:tr>
      <w:tr>
        <w:trPr>
          <w:trHeight w:val="324"/>
        </w:trPr>
        <w:tc>
          <w:tcPr>
            <w:tcW w:w="1400" w:type="dxa"/>
            <w:vAlign w:val="bottom"/>
            <w:tcBorders>
              <w:left w:val="single" w:sz="8" w:color="auto"/>
            </w:tcBorders>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Stock</w:t>
            </w:r>
          </w:p>
        </w:tc>
      </w:tr>
      <w:tr>
        <w:trPr>
          <w:trHeight w:val="95"/>
        </w:trPr>
        <w:tc>
          <w:tcPr>
            <w:tcW w:w="1400" w:type="dxa"/>
            <w:vAlign w:val="bottom"/>
            <w:tcBorders>
              <w:left w:val="single" w:sz="8" w:color="auto"/>
              <w:bottom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r>
      <w:tr>
        <w:trPr>
          <w:trHeight w:val="22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Excellence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($2.4M)</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($4.0M)</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($4.8M)</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62"/>
        </w:trPr>
        <w:tc>
          <w:tcPr>
            <w:tcW w:w="1400" w:type="dxa"/>
            <w:vAlign w:val="bottom"/>
            <w:tcBorders>
              <w:top w:val="single" w:sz="8" w:color="auto"/>
              <w:left w:val="single" w:sz="8" w:color="auto"/>
            </w:tcBorders>
          </w:tcPr>
          <w:p>
            <w:pPr>
              <w:spacing w:after="0"/>
              <w:rPr>
                <w:sz w:val="22"/>
                <w:szCs w:val="22"/>
                <w:color w:val="auto"/>
              </w:rPr>
            </w:pPr>
          </w:p>
        </w:tc>
        <w:tc>
          <w:tcPr>
            <w:tcW w:w="1780" w:type="dxa"/>
            <w:vAlign w:val="bottom"/>
            <w:tcBorders>
              <w:top w:val="single" w:sz="8" w:color="auto"/>
              <w:right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w:t>
            </w:r>
          </w:p>
        </w:tc>
      </w:tr>
      <w:tr>
        <w:trPr>
          <w:trHeight w:val="324"/>
        </w:trPr>
        <w:tc>
          <w:tcPr>
            <w:tcW w:w="1400" w:type="dxa"/>
            <w:vAlign w:val="bottom"/>
            <w:tcBorders>
              <w:lef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Stock</w:t>
            </w:r>
          </w:p>
        </w:tc>
      </w:tr>
      <w:tr>
        <w:trPr>
          <w:trHeight w:val="95"/>
        </w:trPr>
        <w:tc>
          <w:tcPr>
            <w:tcW w:w="1400" w:type="dxa"/>
            <w:vAlign w:val="bottom"/>
            <w:tcBorders>
              <w:left w:val="single" w:sz="8" w:color="auto"/>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r>
      <w:tr>
        <w:trPr>
          <w:trHeight w:val="22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$35M</w:t>
            </w:r>
          </w:p>
        </w:tc>
        <w:tc>
          <w:tcPr>
            <w:tcW w:w="7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w:t>
            </w:r>
          </w:p>
        </w:tc>
        <w:tc>
          <w:tcPr>
            <w:tcW w:w="3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Excellence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$31M</w:t>
            </w:r>
          </w:p>
        </w:tc>
        <w:tc>
          <w:tcPr>
            <w:tcW w:w="7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$25.6M</w:t>
            </w:r>
          </w:p>
        </w:tc>
        <w:tc>
          <w:tcPr>
            <w:tcW w:w="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0%</w:t>
            </w:r>
          </w:p>
        </w:tc>
        <w:tc>
          <w:tcPr>
            <w:tcW w:w="3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$18.5M</w:t>
            </w:r>
          </w:p>
        </w:tc>
        <w:tc>
          <w:tcPr>
            <w:tcW w:w="7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0%</w:t>
            </w:r>
          </w:p>
        </w:tc>
        <w:tc>
          <w:tcPr>
            <w:tcW w:w="3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*Net of debt</w:t>
      </w:r>
    </w:p>
    <w:p>
      <w:pPr>
        <w:sectPr>
          <w:pgSz w:w="11900" w:h="16838" w:orient="portrait"/>
          <w:cols w:equalWidth="0" w:num="2">
            <w:col w:w="5220" w:space="720"/>
            <w:col w:w="5320"/>
          </w:cols>
          <w:pgMar w:left="320" w:top="1440" w:right="319" w:bottom="1440" w:gutter="0" w:footer="0" w:header="0"/>
          <w:type w:val="continuous"/>
        </w:sectPr>
      </w:pPr>
    </w:p>
    <w:bookmarkStart w:id="39" w:name="page40"/>
    <w:bookmarkEnd w:id="39"/>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Guidelines</w:t>
      </w:r>
    </w:p>
    <w:p>
      <w:pPr>
        <w:spacing w:after="0" w:line="229" w:lineRule="exact"/>
        <w:rPr>
          <w:sz w:val="20"/>
          <w:szCs w:val="20"/>
          <w:color w:val="auto"/>
        </w:rPr>
      </w:pPr>
    </w:p>
    <w:p>
      <w:pPr>
        <w:ind w:left="332" w:hanging="332"/>
        <w:spacing w:after="0" w:line="261" w:lineRule="auto"/>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CFO, and CBO are eligible to participate in this Annual Plan. Any question regarding eligibility for participation in this Annual Plan shall be resolved by the Compensation Committee, in the Committee’s sole discretion.</w:t>
      </w:r>
    </w:p>
    <w:p>
      <w:pPr>
        <w:ind w:left="332" w:right="340" w:hanging="332"/>
        <w:spacing w:after="0" w:line="250" w:lineRule="auto"/>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this Annual Plan neither gives any employee the right to be retained as an employee nor limits the Company's right to discharge or discipline any employee.</w:t>
      </w:r>
    </w:p>
    <w:p>
      <w:pPr>
        <w:ind w:left="332" w:hanging="332"/>
        <w:spacing w:after="0"/>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payout of any bonus under this Plan is subject to the final approval of the Vice President, Human Resources and the Compensation Committee.</w:t>
      </w:r>
    </w:p>
    <w:p>
      <w:pPr>
        <w:spacing w:after="0" w:line="9" w:lineRule="exact"/>
        <w:rPr>
          <w:rFonts w:ascii="Times New Roman" w:cs="Times New Roman" w:eastAsia="Times New Roman" w:hAnsi="Times New Roman"/>
          <w:sz w:val="18"/>
          <w:szCs w:val="18"/>
          <w:color w:val="auto"/>
        </w:rPr>
      </w:pPr>
    </w:p>
    <w:p>
      <w:pPr>
        <w:ind w:left="332" w:right="200" w:hanging="332"/>
        <w:spacing w:after="0" w:line="250" w:lineRule="auto"/>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placed on a Performance Improvement Plan or who are on Step 3 Probation within six months of when payment is made under this Plan will not be eligible for such payment.</w:t>
      </w:r>
    </w:p>
    <w:p>
      <w:pPr>
        <w:ind w:left="332" w:right="140" w:hanging="332"/>
        <w:spacing w:after="0" w:line="250" w:lineRule="auto"/>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Results. Before any Awards under the Annual Plan are deemed earned with respect to a Performance Period, the Compensation Committee shall certify, in accordance with Section 9.5 of the 2020 Plan, in writing (i) that the performance goals have been met for the Performance Period, and (ii) the calculation of "Adjusted EBITDA" and "Cash Management" for the Performance Period.</w:t>
      </w:r>
    </w:p>
    <w:p>
      <w:pPr>
        <w:spacing w:after="0" w:line="1" w:lineRule="exact"/>
        <w:rPr>
          <w:rFonts w:ascii="Times New Roman" w:cs="Times New Roman" w:eastAsia="Times New Roman" w:hAnsi="Times New Roman"/>
          <w:sz w:val="18"/>
          <w:szCs w:val="18"/>
          <w:color w:val="auto"/>
        </w:rPr>
      </w:pPr>
    </w:p>
    <w:p>
      <w:pPr>
        <w:ind w:left="972" w:hanging="324"/>
        <w:spacing w:after="0" w:line="250" w:lineRule="auto"/>
        <w:tabs>
          <w:tab w:leader="none" w:pos="96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"Adjusted EBITDA". For purposes of this Annual Plan, the term "Adjusted EBITDA" means, with respect to the Performance Period related to any Awards, the Company's consolidated earnings before interest, depreciation and amortization,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severance, special charges associated with the execution of strategic initiatives or other charges as approved by the Compensation Committee, and (iv) cumulative effect of changes to U.S. GAAP accounting.</w:t>
      </w:r>
    </w:p>
    <w:p>
      <w:pPr>
        <w:spacing w:after="0" w:line="3" w:lineRule="exact"/>
        <w:rPr>
          <w:rFonts w:ascii="Times New Roman" w:cs="Times New Roman" w:eastAsia="Times New Roman" w:hAnsi="Times New Roman"/>
          <w:sz w:val="18"/>
          <w:szCs w:val="18"/>
          <w:color w:val="auto"/>
        </w:rPr>
      </w:pPr>
    </w:p>
    <w:p>
      <w:pPr>
        <w:ind w:left="972" w:right="180" w:hanging="324"/>
        <w:spacing w:after="0" w:line="253" w:lineRule="auto"/>
        <w:tabs>
          <w:tab w:leader="none" w:pos="97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"Cash Management". For purposes of this Annual Plan, the term "Cash Management" means, with respect to the Performance Period related to any Awards, the Company's consolidated cash and cash equivalents, as determined in accordance with U.S. GAAP and as shown on the financial statements furnished as part of Form 8-K (announcing the Company’s fiscal year-end financial results) for any fiscal year of the Company ending with or within the Performance Period, adjusted for any borrowings on the Company’s asset-based lending (“ABL”) facility at the end of the fiscal year.</w:t>
      </w:r>
    </w:p>
    <w:p>
      <w:pPr>
        <w:spacing w:after="0" w:line="213" w:lineRule="exact"/>
        <w:rPr>
          <w:rFonts w:ascii="Times New Roman" w:cs="Times New Roman" w:eastAsia="Times New Roman" w:hAnsi="Times New Roman"/>
          <w:sz w:val="18"/>
          <w:szCs w:val="18"/>
          <w:color w:val="auto"/>
        </w:rPr>
      </w:pPr>
    </w:p>
    <w:p>
      <w:pPr>
        <w:ind w:left="332" w:hanging="332"/>
        <w:spacing w:after="0" w:line="255" w:lineRule="auto"/>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215" w:lineRule="exact"/>
        <w:rPr>
          <w:rFonts w:ascii="Times New Roman" w:cs="Times New Roman" w:eastAsia="Times New Roman" w:hAnsi="Times New Roman"/>
          <w:sz w:val="18"/>
          <w:szCs w:val="18"/>
          <w:color w:val="auto"/>
        </w:rPr>
      </w:pPr>
    </w:p>
    <w:p>
      <w:pPr>
        <w:ind w:left="652" w:right="40" w:hanging="328"/>
        <w:spacing w:after="0" w:line="266" w:lineRule="auto"/>
        <w:tabs>
          <w:tab w:leader="none" w:pos="63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202" w:lineRule="exact"/>
        <w:rPr>
          <w:rFonts w:ascii="Times New Roman" w:cs="Times New Roman" w:eastAsia="Times New Roman" w:hAnsi="Times New Roman"/>
          <w:sz w:val="18"/>
          <w:szCs w:val="18"/>
          <w:color w:val="auto"/>
        </w:rPr>
      </w:pPr>
    </w:p>
    <w:p>
      <w:pPr>
        <w:ind w:left="652" w:right="240" w:hanging="328"/>
        <w:spacing w:after="0" w:line="281" w:lineRule="auto"/>
        <w:tabs>
          <w:tab w:leader="none" w:pos="64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 Retirement age is defined as the individual’s early or normal retirement date as defined by the United States Social Security Administration.</w:t>
      </w:r>
    </w:p>
    <w:p>
      <w:pPr>
        <w:sectPr>
          <w:pgSz w:w="11900" w:h="16838" w:orient="portrait"/>
          <w:cols w:equalWidth="0" w:num="1">
            <w:col w:w="11212"/>
          </w:cols>
          <w:pgMar w:left="328" w:top="1400" w:right="359" w:bottom="1440" w:gutter="0" w:footer="0" w:header="0"/>
        </w:sectPr>
      </w:pPr>
    </w:p>
    <w:bookmarkStart w:id="40" w:name="page41"/>
    <w:bookmarkEnd w:id="40"/>
    <w:p>
      <w:pPr>
        <w:spacing w:after="0" w:line="221" w:lineRule="exact"/>
        <w:rPr>
          <w:sz w:val="20"/>
          <w:szCs w:val="20"/>
          <w:color w:val="auto"/>
        </w:rPr>
      </w:pPr>
    </w:p>
    <w:p>
      <w:pPr>
        <w:ind w:left="332" w:hanging="332"/>
        <w:spacing w:after="0" w:line="266" w:lineRule="auto"/>
        <w:tabs>
          <w:tab w:leader="none" w:pos="3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w:t>
      </w:r>
    </w:p>
    <w:p>
      <w:pPr>
        <w:spacing w:after="0" w:line="203" w:lineRule="exact"/>
        <w:rPr>
          <w:sz w:val="20"/>
          <w:szCs w:val="20"/>
          <w:color w:val="auto"/>
        </w:rPr>
      </w:pPr>
    </w:p>
    <w:p>
      <w:pPr>
        <w:ind w:left="652"/>
        <w:spacing w:after="0" w:line="252" w:lineRule="auto"/>
        <w:rPr>
          <w:sz w:val="20"/>
          <w:szCs w:val="20"/>
          <w:color w:val="auto"/>
        </w:rPr>
      </w:pPr>
      <w:r>
        <w:rPr>
          <w:rFonts w:ascii="Times New Roman" w:cs="Times New Roman" w:eastAsia="Times New Roman" w:hAnsi="Times New Roman"/>
          <w:sz w:val="18"/>
          <w:szCs w:val="18"/>
          <w:color w:val="auto"/>
        </w:rPr>
        <w:t>Awards becoming fully vested and paid out on a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23" w:lineRule="exact"/>
        <w:rPr>
          <w:sz w:val="20"/>
          <w:szCs w:val="20"/>
          <w:color w:val="auto"/>
        </w:rPr>
      </w:pPr>
    </w:p>
    <w:p>
      <w:pPr>
        <w:ind w:left="332" w:hanging="332"/>
        <w:spacing w:after="0"/>
        <w:tabs>
          <w:tab w:leader="none" w:pos="3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Participants will receive an award that is prorated based on Base Salary earned during the Performance Period.</w:t>
      </w:r>
    </w:p>
    <w:p>
      <w:pPr>
        <w:spacing w:after="0" w:line="252" w:lineRule="exact"/>
        <w:rPr>
          <w:rFonts w:ascii="Times New Roman" w:cs="Times New Roman" w:eastAsia="Times New Roman" w:hAnsi="Times New Roman"/>
          <w:sz w:val="18"/>
          <w:szCs w:val="18"/>
          <w:color w:val="auto"/>
        </w:rPr>
      </w:pPr>
    </w:p>
    <w:p>
      <w:pPr>
        <w:ind w:left="332" w:right="180" w:hanging="332"/>
        <w:spacing w:after="0" w:line="282" w:lineRule="auto"/>
        <w:tabs>
          <w:tab w:leader="none" w:pos="3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Participant joins the Company at any time during the final three fiscal months of the Performance Period, such participant will not be eligible to participate in this Plan.</w:t>
      </w:r>
    </w:p>
    <w:p>
      <w:pPr>
        <w:spacing w:after="0" w:line="18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goal attainment calculations will follow normal rounding guidelines (i.e., 93.1% to 93.49% = 93%; 93.5% to 93.9% = 94%).</w:t>
      </w:r>
    </w:p>
    <w:p>
      <w:pPr>
        <w:spacing w:after="0" w:line="252" w:lineRule="exact"/>
        <w:rPr>
          <w:rFonts w:ascii="Times New Roman" w:cs="Times New Roman" w:eastAsia="Times New Roman" w:hAnsi="Times New Roman"/>
          <w:sz w:val="18"/>
          <w:szCs w:val="18"/>
          <w:color w:val="auto"/>
        </w:rPr>
      </w:pPr>
    </w:p>
    <w:p>
      <w:pPr>
        <w:ind w:left="332" w:right="100" w:hanging="332"/>
        <w:spacing w:after="0" w:line="282" w:lineRule="auto"/>
        <w:tabs>
          <w:tab w:leader="none" w:pos="3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Annual Plan will be paid after the end of the Company's fiscal tax year but no later than the 15th day of the third month following the Company's fiscal tax year on which the annual incentives under this Annual Plan are based.</w:t>
      </w:r>
    </w:p>
    <w:p>
      <w:pPr>
        <w:spacing w:after="0" w:line="188" w:lineRule="exact"/>
        <w:rPr>
          <w:rFonts w:ascii="Times New Roman" w:cs="Times New Roman" w:eastAsia="Times New Roman" w:hAnsi="Times New Roman"/>
          <w:sz w:val="18"/>
          <w:szCs w:val="18"/>
          <w:color w:val="auto"/>
        </w:rPr>
      </w:pPr>
    </w:p>
    <w:p>
      <w:pPr>
        <w:ind w:left="332" w:right="560" w:hanging="332"/>
        <w:spacing w:after="0" w:line="282"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error in the bonus payout, the Company reserves the right to claw back any overpaid amounts. This may include deducting or requiring repayment of any funds mistakenly awarded.</w:t>
      </w:r>
    </w:p>
    <w:p>
      <w:pPr>
        <w:spacing w:after="0" w:line="188" w:lineRule="exact"/>
        <w:rPr>
          <w:rFonts w:ascii="Times New Roman" w:cs="Times New Roman" w:eastAsia="Times New Roman" w:hAnsi="Times New Roman"/>
          <w:sz w:val="18"/>
          <w:szCs w:val="18"/>
          <w:color w:val="auto"/>
        </w:rPr>
      </w:pPr>
    </w:p>
    <w:p>
      <w:pPr>
        <w:ind w:left="332" w:right="220" w:hanging="332"/>
        <w:spacing w:after="0" w:line="282"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8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computation required by this Annual Plan will be subject to review by third-party auditors, and by the Compensation Committee.</w:t>
      </w:r>
    </w:p>
    <w:p>
      <w:pPr>
        <w:spacing w:after="0" w:line="252" w:lineRule="exact"/>
        <w:rPr>
          <w:rFonts w:ascii="Times New Roman" w:cs="Times New Roman" w:eastAsia="Times New Roman" w:hAnsi="Times New Roman"/>
          <w:sz w:val="18"/>
          <w:szCs w:val="18"/>
          <w:color w:val="auto"/>
        </w:rPr>
      </w:pPr>
    </w:p>
    <w:p>
      <w:pPr>
        <w:ind w:left="332" w:right="20" w:hanging="332"/>
        <w:spacing w:after="0" w:line="266" w:lineRule="auto"/>
        <w:tabs>
          <w:tab w:leader="none" w:pos="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w:t>
      </w:r>
    </w:p>
    <w:p>
      <w:pPr>
        <w:sectPr>
          <w:pgSz w:w="11900" w:h="16838" w:orient="portrait"/>
          <w:cols w:equalWidth="0" w:num="1">
            <w:col w:w="11212"/>
          </w:cols>
          <w:pgMar w:left="328" w:top="1440" w:right="359" w:bottom="1440" w:gutter="0" w:footer="0" w:header="0"/>
        </w:sectPr>
      </w:pPr>
    </w:p>
    <w:bookmarkStart w:id="41" w:name="page42"/>
    <w:bookmarkEnd w:id="41"/>
    <w:p>
      <w:pPr>
        <w:ind w:left="332" w:right="280"/>
        <w:spacing w:after="0" w:line="312" w:lineRule="auto"/>
        <w:rPr>
          <w:sz w:val="20"/>
          <w:szCs w:val="20"/>
          <w:color w:val="auto"/>
        </w:rPr>
      </w:pPr>
      <w:r>
        <w:rPr>
          <w:rFonts w:ascii="Times New Roman" w:cs="Times New Roman" w:eastAsia="Times New Roman" w:hAnsi="Times New Roman"/>
          <w:sz w:val="17"/>
          <w:szCs w:val="17"/>
          <w:color w:val="auto"/>
        </w:rPr>
        <w:t>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167" w:lineRule="exact"/>
        <w:rPr>
          <w:sz w:val="20"/>
          <w:szCs w:val="20"/>
          <w:color w:val="auto"/>
        </w:rPr>
      </w:pPr>
    </w:p>
    <w:p>
      <w:pPr>
        <w:ind w:left="332" w:hanging="332"/>
        <w:spacing w:after="0" w:line="282"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the intent of the Company to continue this Annual Plan as stated herein, the Company reserves the right to amend or discontinue the plan at any time in its sole discretion.</w:t>
      </w:r>
    </w:p>
    <w:p>
      <w:pPr>
        <w:spacing w:after="0" w:line="188" w:lineRule="exact"/>
        <w:rPr>
          <w:rFonts w:ascii="Times New Roman" w:cs="Times New Roman" w:eastAsia="Times New Roman" w:hAnsi="Times New Roman"/>
          <w:sz w:val="18"/>
          <w:szCs w:val="18"/>
          <w:color w:val="auto"/>
        </w:rPr>
      </w:pPr>
    </w:p>
    <w:p>
      <w:pPr>
        <w:ind w:left="332" w:right="80" w:hanging="332"/>
        <w:spacing w:after="0" w:line="282"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88" w:lineRule="exact"/>
        <w:rPr>
          <w:rFonts w:ascii="Times New Roman" w:cs="Times New Roman" w:eastAsia="Times New Roman" w:hAnsi="Times New Roman"/>
          <w:sz w:val="18"/>
          <w:szCs w:val="18"/>
          <w:color w:val="auto"/>
        </w:rPr>
      </w:pPr>
    </w:p>
    <w:p>
      <w:pPr>
        <w:ind w:left="332" w:right="180" w:hanging="332"/>
        <w:spacing w:after="0" w:line="282"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under this document are in all respects subject to the provisions of the 2020 Plan to the same extent and with the same effect as if they were set forth fully therein. If the terms of this document or the Award conflict with the terms of the 2020 Plan, the 2020 Plan will control.</w:t>
      </w:r>
    </w:p>
    <w:p>
      <w:pPr>
        <w:spacing w:after="0" w:line="188" w:lineRule="exact"/>
        <w:rPr>
          <w:rFonts w:ascii="Times New Roman" w:cs="Times New Roman" w:eastAsia="Times New Roman" w:hAnsi="Times New Roman"/>
          <w:sz w:val="18"/>
          <w:szCs w:val="18"/>
          <w:color w:val="auto"/>
        </w:rPr>
      </w:pPr>
    </w:p>
    <w:p>
      <w:pPr>
        <w:ind w:left="332" w:right="500" w:hanging="332"/>
        <w:spacing w:after="0" w:line="282"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this Plan shall be subject to all other Company policies, as amended, including but not limited to the Vera Bradley Compensation Recoupment Policy.</w:t>
      </w:r>
    </w:p>
    <w:p>
      <w:pPr>
        <w:sectPr>
          <w:pgSz w:w="11900" w:h="16838" w:orient="portrait"/>
          <w:cols w:equalWidth="0" w:num="1">
            <w:col w:w="11152"/>
          </w:cols>
          <w:pgMar w:left="328" w:top="1417" w:right="4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Bickley, certify that:</w:t>
      </w:r>
    </w:p>
    <w:p>
      <w:pPr>
        <w:spacing w:after="0" w:line="10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June 11, 2026</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Ian Bickley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Bickley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&amp; Chairman</w:t>
            </w:r>
          </w:p>
        </w:tc>
      </w:tr>
    </w:tbl>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Layding, certify that:</w:t>
      </w:r>
    </w:p>
    <w:p>
      <w:pPr>
        <w:spacing w:after="0" w:line="104"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320"/>
        <w:spacing w:after="0"/>
        <w:tabs>
          <w:tab w:leader="none" w:pos="6300" w:val="left"/>
        </w:tabs>
        <w:rPr>
          <w:sz w:val="20"/>
          <w:szCs w:val="20"/>
          <w:color w:val="auto"/>
        </w:rPr>
      </w:pPr>
      <w:r>
        <w:rPr>
          <w:rFonts w:ascii="Times New Roman" w:cs="Times New Roman" w:eastAsia="Times New Roman" w:hAnsi="Times New Roman"/>
          <w:sz w:val="16"/>
          <w:szCs w:val="16"/>
          <w:b w:val="1"/>
          <w:bCs w:val="1"/>
          <w:color w:val="auto"/>
        </w:rPr>
        <w:t>Date: June 11, 2026</w:t>
      </w:r>
      <w:r>
        <w:rPr>
          <w:sz w:val="20"/>
          <w:szCs w:val="20"/>
          <w:color w:val="auto"/>
        </w:rPr>
        <w:tab/>
      </w:r>
      <w:r>
        <w:rPr>
          <w:rFonts w:ascii="Times New Roman" w:cs="Times New Roman" w:eastAsia="Times New Roman" w:hAnsi="Times New Roman"/>
          <w:sz w:val="17"/>
          <w:szCs w:val="17"/>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31203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2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Chief Operating &amp; Financial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Ian Bickley, the Chief Executive Officer &amp; Chairman of Vera Bradley, Inc., certify that (i) the quarterly report on Form 10-Q for the fiscal quarter ended May 2, 2026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Ian Bickley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Ian Bickley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 &amp; Chairman</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140" w:firstLine="180"/>
        <w:spacing w:after="0" w:line="261" w:lineRule="auto"/>
        <w:rPr>
          <w:sz w:val="20"/>
          <w:szCs w:val="20"/>
          <w:color w:val="auto"/>
        </w:rPr>
      </w:pPr>
      <w:r>
        <w:rPr>
          <w:rFonts w:ascii="Times New Roman" w:cs="Times New Roman" w:eastAsia="Times New Roman" w:hAnsi="Times New Roman"/>
          <w:sz w:val="18"/>
          <w:szCs w:val="18"/>
          <w:color w:val="auto"/>
        </w:rPr>
        <w:t>I, Martin Layding, the Chief Operating &amp; Financial Officer of Vera Bradley, Inc., certify that (i) the quarterly report on Form 10-Q for the fiscal quarter ended May 2, 2026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Operating &amp;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lvl w:ilvl="1">
      <w:lvlJc w:val="left"/>
      <w:lvlText w:val="•"/>
      <w:numFmt w:val="bullet"/>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1"/>
    </w:lvl>
    <w:lvl w:ilvl="1">
      <w:lvlJc w:val="left"/>
      <w:lvlText w:val="(%2)"/>
      <w:numFmt w:val="decimal"/>
      <w:start w:val="1"/>
    </w:lvl>
  </w:abstractNum>
  <w:abstractNum w:abstractNumId="9">
    <w:nsid w:val="257130A3"/>
    <w:multiLevelType w:val="hybridMultilevel"/>
    <w:lvl w:ilvl="0">
      <w:lvlJc w:val="left"/>
      <w:lvlText w:val="%1."/>
      <w:numFmt w:val="decimal"/>
      <w:start w:val="4"/>
    </w:lvl>
    <w:lvl w:ilvl="1">
      <w:lvlJc w:val="left"/>
      <w:lvlText w:val="%2"/>
      <w:numFmt w:val="decimal"/>
      <w:start w:val="1"/>
    </w:lvl>
  </w:abstractNum>
  <w:abstractNum w:abstractNumId="10">
    <w:nsid w:val="62BBD95A"/>
    <w:multiLevelType w:val="hybridMultilevel"/>
    <w:lvl w:ilvl="0">
      <w:lvlJc w:val="left"/>
      <w:lvlText w:val="%1."/>
      <w:numFmt w:val="decimal"/>
      <w:start w:val="5"/>
    </w:lvl>
    <w:lvl w:ilvl="1">
      <w:lvlJc w:val="left"/>
      <w:lvlText w:val="•"/>
      <w:numFmt w:val="bullet"/>
      <w:start w:val="1"/>
    </w:lvl>
  </w:abstractNum>
  <w:abstractNum w:abstractNumId="11">
    <w:nsid w:val="436C6125"/>
    <w:multiLevelType w:val="hybridMultilevel"/>
    <w:lvl w:ilvl="0">
      <w:lvlJc w:val="left"/>
      <w:lvlText w:val="%1."/>
      <w:numFmt w:val="decimal"/>
      <w:start w:val="6"/>
    </w:lvl>
  </w:abstractNum>
  <w:abstractNum w:abstractNumId="12">
    <w:nsid w:val="628C895D"/>
    <w:multiLevelType w:val="hybridMultilevel"/>
    <w:lvl w:ilvl="0">
      <w:lvlJc w:val="left"/>
      <w:lvlText w:val="%1."/>
      <w:numFmt w:val="decimal"/>
      <w:start w:val="7"/>
    </w:lvl>
  </w:abstractNum>
  <w:abstractNum w:abstractNumId="13">
    <w:nsid w:val="333AB105"/>
    <w:multiLevelType w:val="hybridMultilevel"/>
    <w:lvl w:ilvl="0">
      <w:lvlJc w:val="left"/>
      <w:lvlText w:val="%1."/>
      <w:numFmt w:val="decimal"/>
      <w:start w:val="9"/>
    </w:lvl>
  </w:abstractNum>
  <w:abstractNum w:abstractNumId="14">
    <w:nsid w:val="721DA317"/>
    <w:multiLevelType w:val="hybridMultilevel"/>
    <w:lvl w:ilvl="0">
      <w:lvlJc w:val="left"/>
      <w:lvlText w:val="%1."/>
      <w:numFmt w:val="decimal"/>
      <w:start w:val="11"/>
    </w:lvl>
  </w:abstractNum>
  <w:abstractNum w:abstractNumId="15">
    <w:nsid w:val="2443A858"/>
    <w:multiLevelType w:val="hybridMultilevel"/>
    <w:lvl w:ilvl="0">
      <w:lvlJc w:val="left"/>
      <w:lvlText w:val="%1"/>
      <w:numFmt w:val="decimal"/>
      <w:start w:val="1"/>
    </w:lvl>
    <w:lvl w:ilvl="1">
      <w:lvlJc w:val="left"/>
      <w:lvlText w:val="(%2)"/>
      <w:numFmt w:val="decimal"/>
      <w:start w:val="1"/>
    </w:lvl>
  </w:abstractNum>
  <w:abstractNum w:abstractNumId="16">
    <w:nsid w:val="2D1D5AE9"/>
    <w:multiLevelType w:val="hybridMultilevel"/>
    <w:lvl w:ilvl="0">
      <w:lvlJc w:val="left"/>
      <w:lvlText w:val="%1."/>
      <w:numFmt w:val="decimal"/>
      <w:start w:val="12"/>
    </w:lvl>
    <w:lvl w:ilvl="1">
      <w:lvlJc w:val="left"/>
      <w:lvlText w:val="%2"/>
      <w:numFmt w:val="decimal"/>
      <w:start w:val="1"/>
    </w:lvl>
  </w:abstractNum>
  <w:abstractNum w:abstractNumId="17">
    <w:nsid w:val="6763845E"/>
    <w:multiLevelType w:val="hybridMultilevel"/>
    <w:lvl w:ilvl="0">
      <w:lvlJc w:val="left"/>
      <w:lvlText w:val="%1"/>
      <w:numFmt w:val="decimal"/>
      <w:start w:val="1"/>
    </w:lvl>
    <w:lvl w:ilvl="1">
      <w:lvlJc w:val="left"/>
      <w:lvlText w:val="(%2)"/>
      <w:numFmt w:val="decimal"/>
      <w:start w:val="1"/>
    </w:lvl>
  </w:abstractNum>
  <w:abstractNum w:abstractNumId="18">
    <w:nsid w:val="75A2A8D4"/>
    <w:multiLevelType w:val="hybridMultilevel"/>
    <w:lvl w:ilvl="0">
      <w:lvlJc w:val="left"/>
      <w:lvlText w:val="%1."/>
      <w:numFmt w:val="decimal"/>
      <w:start w:val="13"/>
    </w:lvl>
    <w:lvl w:ilvl="1">
      <w:lvlJc w:val="left"/>
      <w:lvlText w:val="%2"/>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04"/>
    </w:lvl>
  </w:abstractNum>
  <w:abstractNum w:abstractNumId="23">
    <w:nsid w:val="189A769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4">
    <w:nsid w:val="54E49EB4"/>
    <w:multiLevelType w:val="hybridMultilevel"/>
    <w:lvl w:ilvl="0">
      <w:lvlJc w:val="left"/>
      <w:lvlText w:val="%1."/>
      <w:numFmt w:val="decimal"/>
      <w:start w:val="7"/>
    </w:lvl>
  </w:abstractNum>
  <w:abstractNum w:abstractNumId="25">
    <w:nsid w:val="71F32454"/>
    <w:multiLevelType w:val="hybridMultilevel"/>
    <w:lvl w:ilvl="0">
      <w:lvlJc w:val="left"/>
      <w:lvlText w:val="%1."/>
      <w:numFmt w:val="decimal"/>
      <w:start w:val="8"/>
    </w:lvl>
  </w:abstractNum>
  <w:abstractNum w:abstractNumId="26">
    <w:nsid w:val="2CA88611"/>
    <w:multiLevelType w:val="hybridMultilevel"/>
    <w:lvl w:ilvl="0">
      <w:lvlJc w:val="left"/>
      <w:lvlText w:val="%1."/>
      <w:numFmt w:val="decimal"/>
      <w:start w:val="16"/>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2026-06-11T12:42:32Z</dcterms:created>
  <dcterms:modified xsi:type="dcterms:W3CDTF">2026-06-11T12:42:32Z</dcterms:modified>
</cp:coreProperties>
</file>