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29, 2016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14605</wp:posOffset>
            </wp:positionV>
            <wp:extent cx="1766570" cy="892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VERA BRADLEY,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9" w:right="2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300" w:space="720"/>
            <w:col w:w="160" w:space="100"/>
            <w:col w:w="3920" w:space="720"/>
            <w:col w:w="2460" w:space="720"/>
            <w:col w:w="320"/>
          </w:cols>
          <w:pgMar w:left="240" w:top="229" w:right="239" w:bottom="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ectPr>
          <w:pgSz w:w="11900" w:h="16838" w:orient="portrait"/>
          <w:cols w:equalWidth="0" w:num="2">
            <w:col w:w="8880" w:space="180"/>
            <w:col w:w="2360"/>
          </w:cols>
          <w:pgMar w:left="240" w:top="229"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registrant had 36,211,077 shares of its common stock outstanding as of November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8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9"/>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81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8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October 29, 2016, and January 30, 2016</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for the Thirteen and Thirty-Nine Weeks Ended October 29, 2016, and October</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31, 2015</w:t>
              </w:r>
            </w:hyperlink>
          </w:p>
        </w:tc>
        <w:tc>
          <w:tcPr>
            <w:tcW w:w="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 for the Thirteen and Thirty-Nine Weeks Ended October 29,</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2016, and October 31, 2015</w:t>
              </w:r>
            </w:hyperlink>
          </w:p>
        </w:tc>
        <w:tc>
          <w:tcPr>
            <w:tcW w:w="1380" w:type="dxa"/>
            <w:vAlign w:val="bottom"/>
            <w:gridSpan w:val="3"/>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Thirty-Nine Weeks Ended October 29, 2016, and October 31, 2015</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4840" w:type="dxa"/>
            <w:vAlign w:val="bottom"/>
            <w:tcBorders>
              <w:top w:val="single" w:sz="8" w:color="0000EE"/>
            </w:tcBorders>
            <w:gridSpan w:val="7"/>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 OTHER INFORMATION</w:t>
              </w:r>
            </w:hyperlink>
          </w:p>
        </w:tc>
        <w:tc>
          <w:tcPr>
            <w:tcW w:w="842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93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3740" w:type="dxa"/>
            <w:vAlign w:val="bottom"/>
            <w:tcBorders>
              <w:top w:val="single" w:sz="8" w:color="0000EE"/>
            </w:tcBorders>
            <w:gridSpan w:val="9"/>
          </w:tcPr>
          <w:p>
            <w:pPr>
              <w:spacing w:after="0"/>
              <w:rPr>
                <w:sz w:val="24"/>
                <w:szCs w:val="24"/>
                <w:color w:val="auto"/>
              </w:rPr>
            </w:pPr>
          </w:p>
        </w:tc>
        <w:tc>
          <w:tcPr>
            <w:tcW w:w="592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13"/>
          </w:tcPr>
          <w:p>
            <w:pPr>
              <w:ind w:left="47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5"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ramifications from the payment card incident disclosed in October 2016; and</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2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January 30, 2016.</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97,681</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30,088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31,294</w:t>
            </w:r>
          </w:p>
        </w:tc>
        <w:tc>
          <w:tcPr>
            <w:tcW w:w="0" w:type="dxa"/>
            <w:vAlign w:val="bottom"/>
          </w:tcPr>
          <w:p>
            <w:pPr>
              <w:spacing w:after="0"/>
              <w:rPr>
                <w:sz w:val="1"/>
                <w:szCs w:val="1"/>
                <w:color w:val="auto"/>
              </w:rPr>
            </w:pPr>
          </w:p>
        </w:tc>
      </w:tr>
      <w:tr>
        <w:trPr>
          <w:trHeight w:val="243"/>
        </w:trPr>
        <w:tc>
          <w:tcPr>
            <w:tcW w:w="1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95,746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113,590</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253,642</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113,711</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380,679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360" w:type="dxa"/>
            <w:vAlign w:val="bottom"/>
            <w:gridSpan w:val="2"/>
          </w:tcPr>
          <w:p>
            <w:pPr>
              <w:spacing w:after="0"/>
              <w:rPr>
                <w:sz w:val="4"/>
                <w:szCs w:val="4"/>
                <w:color w:val="auto"/>
              </w:rPr>
            </w:pPr>
          </w:p>
        </w:tc>
        <w:tc>
          <w:tcPr>
            <w:tcW w:w="7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18,489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24,606</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Accrued employment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14,937</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16,924</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66,552</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28,872</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77,191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95,424</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gridSpan w:val="3"/>
          </w:tcPr>
          <w:p>
            <w:pPr>
              <w:ind w:left="280"/>
              <w:spacing w:after="0"/>
              <w:rPr>
                <w:sz w:val="20"/>
                <w:szCs w:val="20"/>
                <w:color w:val="auto"/>
              </w:rPr>
            </w:pPr>
            <w:r>
              <w:rPr>
                <w:rFonts w:ascii="Arial" w:cs="Arial" w:eastAsia="Arial" w:hAnsi="Arial"/>
                <w:sz w:val="18"/>
                <w:szCs w:val="18"/>
                <w:color w:val="auto"/>
                <w:w w:val="93"/>
              </w:rPr>
              <w:t>Common stock, without par value; 200,000 shares authorized, 40,914 and 40,804 shares issued and 36,296</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and 37,701 shares outstanding, respectively</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85,436</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260,316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244,009</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Treasury stock</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(67,456)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(44,147)</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285,255</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357,903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380,679</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3"/>
                <w:szCs w:val="13"/>
                <w:color w:val="auto"/>
              </w:rPr>
            </w:pPr>
          </w:p>
        </w:tc>
        <w:tc>
          <w:tcPr>
            <w:tcW w:w="12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348,502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53,749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150,131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156,956</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61,831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178,512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171,976</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1,734</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11,402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23,562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21,304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11,343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21,095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9,248</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8,780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10,268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11,847</w:t>
            </w:r>
          </w:p>
        </w:tc>
      </w:tr>
      <w:tr>
        <w:trPr>
          <w:trHeight w:val="67"/>
        </w:trPr>
        <w:tc>
          <w:tcPr>
            <w:tcW w:w="5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36,682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39,104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0.30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0.30</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8,780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8,778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16,302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11,843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3"/>
                <w:szCs w:val="13"/>
                <w:color w:val="auto"/>
              </w:rPr>
            </w:pPr>
          </w:p>
        </w:tc>
        <w:tc>
          <w:tcPr>
            <w:tcW w:w="124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16,307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11,847</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14,665</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430</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3,750</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Gain on short-term investment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(7,021)</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(19,774)</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(2,169)</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(11,166)</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5,852</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(22,818)</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Proceeds from disposal of property, plant, and equipment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(22,818)</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(27,159)</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 net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(27,713)</w:t>
            </w: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016" w:gutter="0" w:footer="0" w:header="0"/>
        </w:sect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beginning of period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jc w:val="both"/>
        <w:ind w:left="800"/>
        <w:spacing w:after="0"/>
        <w:tabs>
          <w:tab w:leader="none" w:pos="2360" w:val="left"/>
        </w:tabs>
        <w:rPr>
          <w:sz w:val="20"/>
          <w:szCs w:val="20"/>
          <w:color w:val="auto"/>
        </w:rPr>
      </w:pPr>
      <w:r>
        <w:rPr>
          <w:rFonts w:ascii="Arial" w:cs="Arial" w:eastAsia="Arial" w:hAnsi="Arial"/>
          <w:sz w:val="18"/>
          <w:szCs w:val="18"/>
          <w:color w:val="auto"/>
        </w:rPr>
        <w:t>(44,817)</w:t>
      </w:r>
      <w:r>
        <w:rPr>
          <w:sz w:val="20"/>
          <w:szCs w:val="20"/>
          <w:color w:val="auto"/>
        </w:rPr>
        <w:tab/>
      </w:r>
      <w:r>
        <w:rPr>
          <w:rFonts w:ascii="Arial" w:cs="Arial" w:eastAsia="Arial" w:hAnsi="Arial"/>
          <w:sz w:val="18"/>
          <w:szCs w:val="18"/>
          <w:color w:val="auto"/>
        </w:rPr>
        <w:t>(50,496)</w:t>
      </w:r>
    </w:p>
    <w:p>
      <w:pPr>
        <w:spacing w:after="0" w:line="63" w:lineRule="exact"/>
        <w:rPr>
          <w:sz w:val="20"/>
          <w:szCs w:val="20"/>
          <w:color w:val="auto"/>
        </w:rPr>
      </w:pPr>
    </w:p>
    <w:p>
      <w:pPr>
        <w:ind w:left="860"/>
        <w:spacing w:after="0"/>
        <w:tabs>
          <w:tab w:leader="none" w:pos="2340" w:val="left"/>
        </w:tabs>
        <w:rPr>
          <w:sz w:val="20"/>
          <w:szCs w:val="20"/>
          <w:color w:val="auto"/>
        </w:rPr>
      </w:pPr>
      <w:r>
        <w:rPr>
          <w:rFonts w:ascii="Arial" w:cs="Arial" w:eastAsia="Arial" w:hAnsi="Arial"/>
          <w:sz w:val="17"/>
          <w:szCs w:val="17"/>
          <w:color w:val="auto"/>
        </w:rPr>
        <w:t>97,681</w:t>
      </w:r>
      <w:r>
        <w:rPr>
          <w:sz w:val="20"/>
          <w:szCs w:val="20"/>
          <w:color w:val="auto"/>
        </w:rPr>
        <w:tab/>
      </w:r>
      <w:r>
        <w:rPr>
          <w:rFonts w:ascii="Arial" w:cs="Arial" w:eastAsia="Arial" w:hAnsi="Arial"/>
          <w:sz w:val="17"/>
          <w:szCs w:val="17"/>
          <w:color w:val="auto"/>
        </w:rPr>
        <w:t>112,292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39370</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8"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52,864</w:t>
        <w:tab/>
        <w:t>$</w:t>
      </w:r>
      <w:r>
        <w:rPr>
          <w:sz w:val="20"/>
          <w:szCs w:val="20"/>
          <w:color w:val="auto"/>
        </w:rPr>
        <w:tab/>
      </w:r>
      <w:r>
        <w:rPr>
          <w:rFonts w:ascii="Arial" w:cs="Arial" w:eastAsia="Arial" w:hAnsi="Arial"/>
          <w:sz w:val="16"/>
          <w:szCs w:val="16"/>
          <w:color w:val="auto"/>
        </w:rPr>
        <w:t>61,796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7660" w:space="720"/>
            <w:col w:w="3040"/>
          </w:cols>
          <w:pgMar w:left="240" w:top="121" w:right="239" w:bottom="1016"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Cash paid for income taxes, net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19,458</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activity</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Expenditures incurred but not yet paid as of October 29, 2016 and October 31, 2015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Expenditures incurred but not yet paid as of January 30, 2016 and January 31,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Expenditures incurred but not yet paid as of October 29, 2016 and October 31,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Expenditures incurred but not yet paid as of January 30, 2016 and January 31, 2015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1" w:right="239" w:bottom="1016"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016"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the Company and Basis of Presentation</w:t>
      </w:r>
    </w:p>
    <w:p>
      <w:pPr>
        <w:spacing w:after="0" w:line="94"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terms “Company” and “Vera Bradley” refer to Vera Bradley, Inc. and its subsidiaries, except where the context requires otherwise or where otherwise indicated.</w:t>
      </w:r>
    </w:p>
    <w:p>
      <w:pPr>
        <w:spacing w:after="0" w:line="35"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October 29, 2016, the Company operated 114 full-line stores and 45 factory outlet stores. The Indirect business consists of sales of Vera Bradley products to approximately 2,600 specialty retail locations, substantially all of which are located in the United States, as well as department stores, national accounts, third-party e-commerce sites, the Company's wholesale customer in Japan, and third-party inventory liquidators.</w:t>
      </w:r>
    </w:p>
    <w:p>
      <w:pPr>
        <w:spacing w:after="0" w:line="54"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30, 2016, filed with the SEC.</w:t>
      </w:r>
    </w:p>
    <w:p>
      <w:pPr>
        <w:spacing w:after="0" w:line="23"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October 29, 2016, are not necessarily indicative of the results to be expected for the full fiscal year.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October 29, 2016, and October 31, 2015, refer to the thirteen-week periods ended on those dates. References to the fiscal year-to-date periods ended October 29, 2016, and October 31, 2015, refer to the thirty-nine week periods ended on those dates.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October 29, 2016 and January 30, 2016, deferred rent liability was $12.6 million and $11.5 million, respectively, and is included within long-term liabilities on the Condensed Consolidated Balance Sheets.</w:t>
      </w:r>
    </w:p>
    <w:p>
      <w:pPr>
        <w:spacing w:after="0" w:line="188" w:lineRule="exact"/>
        <w:rPr>
          <w:sz w:val="20"/>
          <w:szCs w:val="20"/>
          <w:color w:val="auto"/>
        </w:rPr>
      </w:pPr>
    </w:p>
    <w:p>
      <w:pPr>
        <w:ind w:left="660" w:right="300"/>
        <w:spacing w:after="0" w:line="257" w:lineRule="auto"/>
        <w:rPr>
          <w:sz w:val="20"/>
          <w:szCs w:val="20"/>
          <w:color w:val="auto"/>
        </w:rPr>
      </w:pPr>
      <w:r>
        <w:rPr>
          <w:rFonts w:ascii="Arial" w:cs="Arial" w:eastAsia="Arial" w:hAnsi="Arial"/>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October 29, 2016 and January 30, 2016, the deferred lease credit liability was $16.1 million and $16.2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right="400"/>
        <w:spacing w:after="0" w:line="264" w:lineRule="auto"/>
        <w:rPr>
          <w:sz w:val="20"/>
          <w:szCs w:val="20"/>
          <w:color w:val="auto"/>
        </w:rPr>
      </w:pPr>
      <w:r>
        <w:rPr>
          <w:rFonts w:ascii="Arial" w:cs="Arial" w:eastAsia="Arial" w:hAnsi="Arial"/>
          <w:sz w:val="18"/>
          <w:szCs w:val="18"/>
          <w:color w:val="auto"/>
        </w:rPr>
        <w:t>respectively. Of these amounts, $2.4 million and $2.3 million is included within other accrued liabilities as of October 29, 2016 and January 30, 2016, respectively; $13.7 million and $13.9 million is included within long-term liabilities as of October 29, 2016 and January 30, 2016, respectively.</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r>
        <w:rPr>
          <w:rFonts w:ascii="Arial" w:cs="Arial" w:eastAsia="Arial" w:hAnsi="Arial"/>
          <w:sz w:val="16"/>
          <w:szCs w:val="16"/>
          <w:color w:val="auto"/>
        </w:rPr>
        <w:t>. The updated guidance changes how companies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aspects of share-based payment awards to employees, including the accounting for income taxes, forfeitures, and statutory tax withholding requirements, as well as the classification of related matters in the statement of cash flows. The standard is effective for public entities for annual periods beginning after December 15, 2016, and interim periods within those annual periods. Early adoption is permitted.</w:t>
      </w:r>
    </w:p>
    <w:p>
      <w:pPr>
        <w:spacing w:after="0" w:line="23"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The Company early adopted this standard beginning with the quarter ended April 30, 2016. The impact of the adoption of this standard was as follows:</w:t>
      </w:r>
    </w:p>
    <w:p>
      <w:pPr>
        <w:spacing w:after="0" w:line="35" w:lineRule="exact"/>
        <w:rPr>
          <w:sz w:val="20"/>
          <w:szCs w:val="20"/>
          <w:color w:val="auto"/>
        </w:rPr>
      </w:pPr>
    </w:p>
    <w:p>
      <w:pPr>
        <w:ind w:left="980" w:right="5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$62,000 of excess tax benefits was recorded through income tax expense as a discrete item for the thirty-nine weeks ended October 29, 2016, adopted on a prospective basis;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excess tax benefits were combined with other income tax cash flows within operating cash flows adopted on a prospective basis; and</w:t>
      </w:r>
    </w:p>
    <w:p>
      <w:pPr>
        <w:spacing w:after="0" w:line="101" w:lineRule="exact"/>
        <w:rPr>
          <w:rFonts w:ascii="Arial" w:cs="Arial" w:eastAsia="Arial" w:hAnsi="Arial"/>
          <w:sz w:val="17"/>
          <w:szCs w:val="17"/>
          <w:color w:val="auto"/>
        </w:rPr>
      </w:pPr>
    </w:p>
    <w:p>
      <w:pPr>
        <w:ind w:left="980" w:right="3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paid by the Company when directly withholding shares to satisfy an employee's statutory tax obligations continued to be classified as a financing activity.</w:t>
      </w:r>
    </w:p>
    <w:p>
      <w:pPr>
        <w:spacing w:after="0" w:line="35" w:lineRule="exact"/>
        <w:rPr>
          <w:rFonts w:ascii="Arial" w:cs="Arial" w:eastAsia="Arial" w:hAnsi="Arial"/>
          <w:sz w:val="18"/>
          <w:szCs w:val="18"/>
          <w:color w:val="auto"/>
        </w:rPr>
      </w:pPr>
    </w:p>
    <w:p>
      <w:pPr>
        <w:ind w:left="660" w:right="880" w:hanging="4"/>
        <w:spacing w:after="0" w:line="344" w:lineRule="auto"/>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Company has elected to continue its current policy of estimating forfeitures rather than recognizing forfeitures when they occur. </w:t>
      </w:r>
      <w:r>
        <w:rPr>
          <w:rFonts w:ascii="Arial" w:cs="Arial" w:eastAsia="Arial" w:hAnsi="Arial"/>
          <w:sz w:val="18"/>
          <w:szCs w:val="18"/>
          <w:i w:val="1"/>
          <w:iCs w:val="1"/>
          <w:color w:val="auto"/>
        </w:rPr>
        <w:t>Recently Issued Accounting Pronouncements Not Yet Adopted</w:t>
      </w:r>
    </w:p>
    <w:p>
      <w:pPr>
        <w:spacing w:after="0" w:line="1" w:lineRule="exact"/>
        <w:rPr>
          <w:sz w:val="20"/>
          <w:szCs w:val="20"/>
          <w:color w:val="auto"/>
        </w:rPr>
      </w:pPr>
    </w:p>
    <w:p>
      <w:pPr>
        <w:ind w:left="660" w:right="8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fiscal 2019. Earlier application is permitted as of the original effective date, annual reporting periods beginning after December 2016, including interim periods within that reporting period. The Company is currently evaluating the impact of this standard, including the transition method, on its consolidated results of operations, financial position and cash flows.</w:t>
      </w:r>
    </w:p>
    <w:p>
      <w:pPr>
        <w:spacing w:after="0" w:line="47"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w:t>
      </w:r>
      <w:r>
        <w:rPr>
          <w:rFonts w:ascii="Arial" w:cs="Arial" w:eastAsia="Arial" w:hAnsi="Arial"/>
          <w:sz w:val="18"/>
          <w:szCs w:val="18"/>
          <w:color w:val="auto"/>
        </w:rPr>
        <w:t>, which requires entities to measure inventory at the lower of cost and net realizable value. This guidance is effective for interim and annual periods beginning on or after December 15, 2016. The Company is currently evaluating this guidance and does not expect the application of this standard to have a material impact on the Company’s Consolidated Financial Statements upon adoption.</w:t>
      </w:r>
    </w:p>
    <w:p>
      <w:pPr>
        <w:spacing w:after="0" w:line="22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The Company is currently evaluating the impact of the standard on its Consolidated Financial Statements.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4"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October 29,</w:t>
            </w:r>
          </w:p>
        </w:tc>
        <w:tc>
          <w:tcPr>
            <w:tcW w:w="16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October 31,</w:t>
            </w:r>
          </w:p>
        </w:tc>
        <w:tc>
          <w:tcPr>
            <w:tcW w:w="180" w:type="dxa"/>
            <w:vAlign w:val="bottom"/>
          </w:tcPr>
          <w:p>
            <w:pPr>
              <w:spacing w:after="0"/>
              <w:rPr>
                <w:sz w:val="13"/>
                <w:szCs w:val="13"/>
                <w:color w:val="auto"/>
              </w:rPr>
            </w:pPr>
          </w:p>
        </w:tc>
        <w:tc>
          <w:tcPr>
            <w:tcW w:w="11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October 29,</w:t>
            </w:r>
          </w:p>
        </w:tc>
        <w:tc>
          <w:tcPr>
            <w:tcW w:w="180" w:type="dxa"/>
            <w:vAlign w:val="bottom"/>
          </w:tcPr>
          <w:p>
            <w:pPr>
              <w:spacing w:after="0"/>
              <w:rPr>
                <w:sz w:val="13"/>
                <w:szCs w:val="13"/>
                <w:color w:val="auto"/>
              </w:rPr>
            </w:pPr>
          </w:p>
        </w:tc>
        <w:tc>
          <w:tcPr>
            <w:tcW w:w="104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8"/>
              </w:rPr>
              <w:t>October 31,</w:t>
            </w:r>
          </w:p>
        </w:tc>
      </w:tr>
      <w:tr>
        <w:trPr>
          <w:trHeight w:val="192"/>
        </w:trPr>
        <w:tc>
          <w:tcPr>
            <w:tcW w:w="5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10,268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16,307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11,847</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36,557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38,057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37,045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39,085</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36,682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38,099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39,104</w:t>
            </w:r>
          </w:p>
        </w:tc>
      </w:tr>
      <w:tr>
        <w:trPr>
          <w:trHeight w:val="67"/>
        </w:trPr>
        <w:tc>
          <w:tcPr>
            <w:tcW w:w="5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0.30</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0.30</w:t>
            </w:r>
          </w:p>
        </w:tc>
      </w:tr>
      <w:tr>
        <w:trPr>
          <w:trHeight w:val="27"/>
        </w:trPr>
        <w:tc>
          <w:tcPr>
            <w:tcW w:w="5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As of October 29, 2016 and October 31, 2015, there were an immaterial number of additional shares issuable upon the vesting of restricted stock units that were excluded from the diluted share calculations because they were anti-dilutive.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9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receivables, other current assets, and payables as of October 29, 2016, and January 30, 2016, approximated their fair values.</w:t>
      </w:r>
    </w:p>
    <w:p>
      <w:pPr>
        <w:spacing w:after="0" w:line="3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Short-term investments consist of a certificate of deposit with an original maturity of one year and a one-time option to accelerate maturity to 31 days without penalty. The initial investment was $30.0 million, and the Company has the positive intent and ability to hold the certificate of deposit to maturity. The accrued interest on the certificate of deposit is recognized in interest expense, net, in the Company's Condensed Consolidated Financial Statements. Due to the observable inputs, the certificate of deposit approximated its fair value as of October 29, 2016, and is classified within Level 2 of the fair value hierarchy.</w:t>
      </w:r>
    </w:p>
    <w:p>
      <w:pPr>
        <w:spacing w:after="0" w:line="53" w:lineRule="exact"/>
        <w:rPr>
          <w:sz w:val="20"/>
          <w:szCs w:val="20"/>
          <w:color w:val="auto"/>
        </w:rPr>
      </w:pPr>
    </w:p>
    <w:p>
      <w:pPr>
        <w:ind w:left="660" w:right="480"/>
        <w:spacing w:after="0" w:line="342" w:lineRule="auto"/>
        <w:rPr>
          <w:sz w:val="20"/>
          <w:szCs w:val="20"/>
          <w:color w:val="auto"/>
        </w:rPr>
      </w:pPr>
      <w:r>
        <w:rPr>
          <w:rFonts w:ascii="Arial" w:cs="Arial" w:eastAsia="Arial" w:hAnsi="Arial"/>
          <w:sz w:val="16"/>
          <w:szCs w:val="16"/>
          <w:color w:val="auto"/>
        </w:rPr>
        <w:t>The Company has certain assets that are measured on a non-recurring basis under circumstances and events described in Note 10 herein. The categorization of the framework to price these assets are within Level 3 due to the subjective nature of unobservable inputs.</w:t>
      </w: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121"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were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29,</w:t>
            </w:r>
          </w:p>
        </w:tc>
        <w:tc>
          <w:tcPr>
            <w:tcW w:w="220" w:type="dxa"/>
            <w:vAlign w:val="bottom"/>
          </w:tcPr>
          <w:p>
            <w:pPr>
              <w:spacing w:after="0"/>
              <w:rPr>
                <w:sz w:val="14"/>
                <w:szCs w:val="14"/>
                <w:color w:val="auto"/>
              </w:rPr>
            </w:pPr>
          </w:p>
        </w:tc>
        <w:tc>
          <w:tcPr>
            <w:tcW w:w="1180" w:type="dxa"/>
            <w:vAlign w:val="bottom"/>
          </w:tcPr>
          <w:p>
            <w:pPr>
              <w:jc w:val="right"/>
              <w:ind w:right="277"/>
              <w:spacing w:after="0"/>
              <w:rPr>
                <w:sz w:val="20"/>
                <w:szCs w:val="20"/>
                <w:color w:val="auto"/>
              </w:rPr>
            </w:pPr>
            <w:r>
              <w:rPr>
                <w:rFonts w:ascii="Arial" w:cs="Arial" w:eastAsia="Arial" w:hAnsi="Arial"/>
                <w:sz w:val="14"/>
                <w:szCs w:val="14"/>
                <w:b w:val="1"/>
                <w:bCs w:val="1"/>
                <w:color w:val="auto"/>
              </w:rPr>
              <w:t>January 30,</w:t>
            </w:r>
          </w:p>
        </w:tc>
      </w:tr>
      <w:tr>
        <w:trPr>
          <w:trHeight w:val="192"/>
        </w:trPr>
        <w:tc>
          <w:tcPr>
            <w:tcW w:w="7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95,746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113,439</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95,746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113,590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Debt</w:t>
      </w:r>
    </w:p>
    <w:p>
      <w:pPr>
        <w:spacing w:after="0" w:line="94"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54" w:lineRule="exact"/>
        <w:rPr>
          <w:sz w:val="20"/>
          <w:szCs w:val="20"/>
          <w:color w:val="auto"/>
        </w:rPr>
      </w:pPr>
    </w:p>
    <w:p>
      <w:pPr>
        <w:ind w:left="660" w:right="360"/>
        <w:spacing w:after="0" w:line="293" w:lineRule="auto"/>
        <w:rPr>
          <w:sz w:val="20"/>
          <w:szCs w:val="20"/>
          <w:color w:val="auto"/>
        </w:rPr>
      </w:pPr>
      <w:r>
        <w:rPr>
          <w:rFonts w:ascii="Arial" w:cs="Arial" w:eastAsia="Arial" w:hAnsi="Arial"/>
          <w:sz w:val="16"/>
          <w:szCs w:val="16"/>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w:t>
      </w:r>
    </w:p>
    <w:p>
      <w:pPr>
        <w:spacing w:after="0" w:line="3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6"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29, 2016 and January 30, 2016, the Company had borrowing availability of $125.0 million under its Credit Agreement.</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left="660" w:right="220"/>
        <w:spacing w:after="0" w:line="308" w:lineRule="auto"/>
        <w:rPr>
          <w:sz w:val="20"/>
          <w:szCs w:val="20"/>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The effective tax rate for the thirteen weeks ended October 29, 2016, was 22.6%, compared to 38.6% for the thirteen weeks ended October 31, 2015. The year-over year decrease is primarily due to the release of approximately $1.6 million of certain income tax reserves as a result of the conclusion of an Internal Revenue Service ("IRS") audit.</w:t>
      </w:r>
    </w:p>
    <w:p>
      <w:pPr>
        <w:spacing w:after="0" w:line="46"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The effective tax rate for the thirty-nine weeks ended October 29, 2016, was 30.3%, compared to 43.8% for the thirty-nine weeks ended October 31, 2015. The year-over year decrease is primarily due to the release of approximately $1.6 million of certain income tax reserves as a result the conclusion of an IRS audit. The current-year period rate was also positively impacted by a discrete item related to an excess tax benefit from share-based payments as a result of the early adoption of ASU 2016-09, as further described in Note 1 herein.</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3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171" w:lineRule="exact"/>
        <w:rPr>
          <w:sz w:val="20"/>
          <w:szCs w:val="20"/>
          <w:color w:val="auto"/>
        </w:rPr>
      </w:pPr>
    </w:p>
    <w:p>
      <w:pPr>
        <w:jc w:val="both"/>
        <w:ind w:left="660" w:right="280"/>
        <w:spacing w:after="0" w:line="264" w:lineRule="auto"/>
        <w:rPr>
          <w:sz w:val="20"/>
          <w:szCs w:val="20"/>
          <w:color w:val="auto"/>
        </w:rPr>
      </w:pPr>
      <w:r>
        <w:rPr>
          <w:rFonts w:ascii="Arial" w:cs="Arial" w:eastAsia="Arial" w:hAnsi="Arial"/>
          <w:sz w:val="18"/>
          <w:szCs w:val="18"/>
          <w:color w:val="auto"/>
        </w:rPr>
        <w:t>During the thirteen weeks ended October 29, 2016, the Company granted 11,325 time-based restricted stock units with an aggregate fair value of $0.2 million to certain employees under the 2010 Equity and Incentive Plan compared to a total of 4,533 time-based restricted stock units with an aggregate fair value of $0.1 million granted in the same period of the prior year.</w:t>
      </w:r>
    </w:p>
    <w:p>
      <w:pPr>
        <w:spacing w:after="0" w:line="127"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During the thirty-nine weeks ended October 29, 2016, the Company granted 413,457 time-based and performance-based restricted stock units with an aggregate fair value of $7.6 million to certain employees and non-employee directors under the 2010 Equity and Incentive Plan compared to a total of 603,164 time-based and performance-based restricted stock units with an aggregate fair value of $9.6 million granted in the same period of the prior year. The Company determined the fair value of the awards based on the closing price of the Company’s common stock on the grant date.</w:t>
      </w:r>
    </w:p>
    <w:p>
      <w:pPr>
        <w:spacing w:after="0" w:line="100"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3"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restricted stock unit activity for the thirty-nine weeks ended October 29, 2016 (units in thousands):</w:t>
      </w: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30, 2016</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October 29, 2016</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512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As of October 29, 2016, there was $7.5 million of total unrecognized compensation cost, net of estimated forfeitures, related to nonvested restricted stock units. That cost is expected to be recognized over a weighted-average period of 1.6 years.</w:t>
      </w:r>
    </w:p>
    <w:p>
      <w:pPr>
        <w:spacing w:after="0" w:line="166" w:lineRule="exact"/>
        <w:rPr>
          <w:sz w:val="20"/>
          <w:szCs w:val="20"/>
          <w:color w:val="auto"/>
        </w:rPr>
      </w:pPr>
    </w:p>
    <w:p>
      <w:pPr>
        <w:ind w:left="660" w:right="8540" w:hanging="652"/>
        <w:spacing w:after="0" w:line="390" w:lineRule="auto"/>
        <w:tabs>
          <w:tab w:leader="none" w:pos="32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Payment Card Incident</w:t>
      </w:r>
    </w:p>
    <w:p>
      <w:pPr>
        <w:ind w:left="660"/>
        <w:spacing w:after="0"/>
        <w:rPr>
          <w:sz w:val="20"/>
          <w:szCs w:val="20"/>
          <w:color w:val="auto"/>
        </w:rPr>
      </w:pPr>
      <w:r>
        <w:rPr>
          <w:rFonts w:ascii="Arial" w:cs="Arial" w:eastAsia="Arial" w:hAnsi="Arial"/>
          <w:sz w:val="18"/>
          <w:szCs w:val="18"/>
          <w:i w:val="1"/>
          <w:iCs w:val="1"/>
          <w:color w:val="auto"/>
        </w:rPr>
        <w:t>Description of Event</w:t>
      </w:r>
    </w:p>
    <w:p>
      <w:pPr>
        <w:spacing w:after="0" w:line="90" w:lineRule="exact"/>
        <w:rPr>
          <w:sz w:val="20"/>
          <w:szCs w:val="20"/>
          <w:color w:val="auto"/>
        </w:rPr>
      </w:pPr>
    </w:p>
    <w:p>
      <w:pPr>
        <w:ind w:left="660" w:right="140"/>
        <w:spacing w:after="0" w:line="255" w:lineRule="auto"/>
        <w:rPr>
          <w:sz w:val="20"/>
          <w:szCs w:val="20"/>
          <w:color w:val="auto"/>
        </w:rPr>
      </w:pPr>
      <w:r>
        <w:rPr>
          <w:rFonts w:ascii="Arial" w:cs="Arial" w:eastAsia="Arial" w:hAnsi="Arial"/>
          <w:sz w:val="18"/>
          <w:szCs w:val="18"/>
          <w:color w:val="auto"/>
        </w:rPr>
        <w:t>On September 15, 2016, the Company was provided information from law enforcement regarding a potential data security issue related to our retail store network. Findings from the investigation show unauthorized access to the Company's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systems.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54" w:lineRule="exact"/>
        <w:rPr>
          <w:sz w:val="20"/>
          <w:szCs w:val="20"/>
          <w:color w:val="auto"/>
        </w:rPr>
      </w:pPr>
    </w:p>
    <w:p>
      <w:pPr>
        <w:jc w:val="both"/>
        <w:ind w:left="660" w:right="280"/>
        <w:spacing w:after="0" w:line="312" w:lineRule="auto"/>
        <w:rPr>
          <w:sz w:val="20"/>
          <w:szCs w:val="20"/>
          <w:color w:val="auto"/>
        </w:rPr>
      </w:pPr>
      <w:r>
        <w:rPr>
          <w:rFonts w:ascii="Arial" w:cs="Arial" w:eastAsia="Arial" w:hAnsi="Arial"/>
          <w:sz w:val="16"/>
          <w:szCs w:val="16"/>
          <w:color w:val="auto"/>
        </w:rPr>
        <w:t>The Company has resolved this incident and continues to work with the computer security firm to further strengthen the security of its systems to help prevent this from happening in the future. The Company continues to support law enforcement’s investigation and also promptly notified the payment card networks so that the banks that issue payment cards could initiate heightened monitoring on the affected cards.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90"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During the third quarter of fiscal 2017, the Company recorded an immaterial amount of expense relating to the Payment Card Incident. Expenses included costs to investigate the Payment Card Incident and obtain legal and other professional services.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The Company expects to incur additional legal and professional services, as well as expenses and capital investments for remediation activities associated with the Payment Card Incident and will recognize the expenses as incurred. In addition, payment card companies and associations may require the Company to reimburse them for unauthorized card charges and costs to replace cards and may also impose fines or penalties in connection with the Payment Card Incident, and enforcement authorities may also impose fines or other remedies against the Company. At this time, the Company cannot reasonably estimate the potential loss or range of loss related to any fines or penalties that may be assessed, if any. The Payment Card Incident, including customer response and any possible third party claims or assessments from payment card companies, could materially adversely affect the Company's financial condition and operating results. The Company expects its insurance coverage will offset most of the expenses for the investigation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other non-remediation legal and professional services associated with the incident, possible third party claims, as well as fines, penalties, or other expenses, if any, imposed by payment card companies, as discussed above.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maintained $15.0 million of cyber security insurance coverage above a $0.1 million deductible.</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Commitments and Contingencies</w:t>
      </w:r>
    </w:p>
    <w:p>
      <w:pPr>
        <w:spacing w:after="0" w:line="94"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The Company is also subject to various claims and contingencies arising in the normal course of business, including those relating to product liability, legal claims, employee benefits, environmental,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1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Common Stock</w:t>
      </w:r>
    </w:p>
    <w:p>
      <w:pPr>
        <w:spacing w:after="0" w:line="94"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On December 8, 2015, the Company's board of directors approved a share repurchase program (the “2015 Share Repurchase Program”) authorizing up to $50.0 million of repurchases of shares of the Company's common stock. The 2015 Share Repurchase Program expires in December 2017. The prior share repurchase program (the “2014 Share Repurchase Program”) was approved by the board of directors on September 9, 2014, and authorized share repurchases up to $40.0 million. The 2014 Share Repurchase Program was completed in fiscal 2016.</w:t>
      </w:r>
    </w:p>
    <w:p>
      <w:pPr>
        <w:spacing w:after="0" w:line="19"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The Company purchased 1,515,002 shares at an average price of $15.39 per share, excluding commissions, for an aggregate amount of $23.3 million during the thirty-nine weeks ended October 29, 2016, under the 2015 Share Repurchase Program. As of October 29, 2016, there was $22.5 million remaining available to repurchase shares of the Company's common stock under the 2015 Share Repurchase Program.</w:t>
      </w:r>
    </w:p>
    <w:p>
      <w:pPr>
        <w:spacing w:after="0" w:line="111"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As of October 29, 2016, the Company held as treasury shares 4,617,354 shares of its common stock at an average price of $14.61 per share, excluding commissions, for an aggregate carrying amount of $67.5 million. The Company’s treasury shares may be issued under the 2010 Equity and Incentive Plan or for other corporate purposes.</w:t>
      </w:r>
    </w:p>
    <w:p>
      <w:pPr>
        <w:spacing w:after="0" w:line="2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Property, Plant, and Equipment</w:t>
      </w:r>
    </w:p>
    <w:p>
      <w:pPr>
        <w:spacing w:after="0" w:line="94"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to the Company’s Consolidated Financial Statements in the Company’s Annual Report on Form 10-K for the fiscal year ended January 30, 2016. An impairment charge of $0.6 million and $2.2 million was recognized, using level 3 inputs, for the thirteen and thirty-nine weeks ended October 29, 2016, respectively, for assets related to underperforming stores and is included in selling, general, and administrative expenses in the Condensed Consolidated Statements of Income and in impairment charges in the Condensed Consolidated Statements of Cash Flows. The impairment charges are included in the Direct segment. There were no impairment charges recognized in the comparable prior-year periods.</w:t>
      </w:r>
    </w:p>
    <w:p>
      <w:pPr>
        <w:spacing w:after="0" w:line="2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Restructuring and Other Charges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Thirty-Nine Weeks Ended October 31, 2015</w:t>
      </w:r>
    </w:p>
    <w:p>
      <w:pPr>
        <w:spacing w:after="0" w:line="90"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In the first quarter of fiscal 2016, the Company closed its manufacturing facility located in New Haven, Indiana. The Company incurred restructuring and other charges during the first quarter of fiscal 2016 of approximately $3.4 million ($2.1 million after the associated tax benefit), related to the facility closing. These charges included:</w:t>
      </w:r>
    </w:p>
    <w:p>
      <w:pPr>
        <w:spacing w:after="0" w:line="4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Severance and benefit costs of approximately $1.7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Lease termination costs of approximately $0.7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Inventory-related charges of approximately $0.6 million;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associated net costs, which include accelerated depreciation related to fixed assets, of approximately $0.4 million.</w:t>
      </w:r>
    </w:p>
    <w:p>
      <w:pPr>
        <w:spacing w:after="0" w:line="90"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These charges are reflected in cost of sales in the Company's Condensed Consolidated Financial Statements. Management expects that the facility closure will reduce operating costs by approximately $12.0 million annually. All production from the facility was absorbed by the Company’s third-party manufacturing suppliers. There are no remaining liabilities associated with the facility closure.</w:t>
      </w:r>
    </w:p>
    <w:p>
      <w:pPr>
        <w:spacing w:after="0" w:line="127"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Additional charges, incurred in the first quarter of fiscal 2016, affecting comparability of the financial results totaled approximately $1.8 million ($1.3 million after the associated tax benefit). These charges included:</w:t>
      </w:r>
    </w:p>
    <w:p>
      <w:pPr>
        <w:spacing w:after="0" w:line="116" w:lineRule="exact"/>
        <w:rPr>
          <w:sz w:val="20"/>
          <w:szCs w:val="20"/>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$1.2 million due to a retail store early lease termination agreement (reflected in selling, general, and administrative expenses) and</w:t>
      </w:r>
    </w:p>
    <w:p>
      <w:pPr>
        <w:spacing w:after="0" w:line="90" w:lineRule="exact"/>
        <w:rPr>
          <w:rFonts w:ascii="Arial" w:cs="Arial" w:eastAsia="Arial" w:hAnsi="Arial"/>
          <w:sz w:val="18"/>
          <w:szCs w:val="18"/>
          <w:color w:val="auto"/>
        </w:rPr>
      </w:pPr>
    </w:p>
    <w:p>
      <w:pPr>
        <w:ind w:left="980" w:right="26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$0.6 million related to an increase in income tax reserves for uncertain federal and state tax positions related to research and development tax credits (reflected in income tax expense).</w:t>
      </w:r>
    </w:p>
    <w:p>
      <w:pPr>
        <w:spacing w:after="0" w:line="166"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94"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Short-term investments consist of a certificate of deposit with an original maturity of one year and a one-time option to accelerate maturity to 31 days without penalty. Interest income from the investment is included in interest expense, net, in the Company's Condensed Consolidated Financial Statements. The Company’s objective with respect to this investment is to earn a higher rate of return, relative to deposit accounts, on funds that are otherwise not anticipated to be required to meet liquidity needs in the near term while maintaining a low level of investment risk. The Company has the positive intent and ability to hold this investment to maturity. As of October 29, 2016, the Company held $30.1 million in short-term investments. The Company did not have short-term investments as of January 30, 2016.</w:t>
      </w:r>
    </w:p>
    <w:p>
      <w:pPr>
        <w:spacing w:after="0" w:line="2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Segment Reporting</w:t>
      </w:r>
    </w:p>
    <w:p>
      <w:pPr>
        <w:spacing w:after="0" w:line="94" w:lineRule="exact"/>
        <w:rPr>
          <w:sz w:val="20"/>
          <w:szCs w:val="20"/>
          <w:color w:val="auto"/>
        </w:rPr>
      </w:pPr>
    </w:p>
    <w:p>
      <w:pPr>
        <w:ind w:left="660" w:right="80"/>
        <w:spacing w:after="0" w:line="286" w:lineRule="auto"/>
        <w:rPr>
          <w:sz w:val="20"/>
          <w:szCs w:val="20"/>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w:t>
      </w:r>
    </w:p>
    <w:p>
      <w:pPr>
        <w:spacing w:after="0" w:line="46" w:lineRule="exact"/>
        <w:rPr>
          <w:sz w:val="20"/>
          <w:szCs w:val="20"/>
          <w:color w:val="auto"/>
        </w:rPr>
      </w:pPr>
    </w:p>
    <w:p>
      <w:pPr>
        <w:ind w:left="660" w:right="140"/>
        <w:spacing w:after="0" w:line="312" w:lineRule="auto"/>
        <w:rPr>
          <w:sz w:val="20"/>
          <w:szCs w:val="20"/>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2,600 locations, substantially all of which are located in the United States, as well as key accounts, which include department stores, national accounts, third-party e-commerce sites, the Company's wholesale customer in Japan, and third-party inventory liquidators.</w:t>
      </w:r>
    </w:p>
    <w:p>
      <w:pPr>
        <w:spacing w:after="0" w:line="12"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merchandising, and various other corporate-level-activity-related expenses. All intercompany-related activities are eliminated in consolidation and are excluded from the segment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thirty-nine weeks ended October 29, 2016 and October 31, 2015, respectively, consisted of the following (in thousands):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3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October 29,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31,</w:t>
            </w:r>
          </w:p>
        </w:tc>
        <w:tc>
          <w:tcPr>
            <w:tcW w:w="28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60" w:type="dxa"/>
            <w:vAlign w:val="bottom"/>
          </w:tcPr>
          <w:p>
            <w:pPr>
              <w:spacing w:after="0"/>
              <w:rPr>
                <w:sz w:val="13"/>
                <w:szCs w:val="13"/>
                <w:color w:val="auto"/>
              </w:rPr>
            </w:pPr>
          </w:p>
        </w:tc>
        <w:tc>
          <w:tcPr>
            <w:tcW w:w="134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3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86,101</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84,137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246,288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238,345</w:t>
            </w: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110,157</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126,662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126,674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351,088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348,502</w:t>
            </w:r>
          </w:p>
        </w:tc>
      </w:tr>
      <w:tr>
        <w:trPr>
          <w:trHeight w:val="67"/>
        </w:trPr>
        <w:tc>
          <w:tcPr>
            <w:tcW w:w="3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17,104</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19,260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47,390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43,844</w:t>
            </w: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43,748</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34,024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38,316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88,916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87,592</w:t>
            </w:r>
          </w:p>
        </w:tc>
      </w:tr>
      <w:tr>
        <w:trPr>
          <w:trHeight w:val="67"/>
        </w:trPr>
        <w:tc>
          <w:tcPr>
            <w:tcW w:w="3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34,024</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38,316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88,916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87,592</w:t>
            </w: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(66,288)</w:t>
            </w:r>
          </w:p>
        </w:tc>
      </w:tr>
      <w:tr>
        <w:trPr>
          <w:trHeight w:val="27"/>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11,402</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21,304</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16</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condensed consolidated operating results, financial condition, liquidity, and cash flows of the Company as of and for the thirteen and thirty-nine weeks ended October 29, 2016 and October 31, 2015. The following discussion should be read in conjunction with our Annual Report on Form 10-K for the fiscal year ended January 30, 2016, and our unaudited condensed consolidated financial statements and the related notes included in Item 1 of this Quarterly Report. The results of operations for the thirteen and thirty-nine weeks ended October 29, 2016, are not necessarily indicative of the results to be expected for the full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third quarter of fiscal 2017: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right="2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third quarter, we opened a full-line store in Honolulu, Hawaii; our first full-line flagship store in New York, New York, in the SoHo neighborhood; and a new factory outlet store in Mebane, North Carolina. Our SoHo flagship features innovative design elements, limited edition items and a unique store experience.</w:t>
      </w:r>
    </w:p>
    <w:p>
      <w:pPr>
        <w:spacing w:after="0" w:line="46" w:lineRule="exact"/>
        <w:rPr>
          <w:rFonts w:ascii="Arial" w:cs="Arial" w:eastAsia="Arial" w:hAnsi="Arial"/>
          <w:sz w:val="18"/>
          <w:szCs w:val="18"/>
          <w:color w:val="auto"/>
        </w:rPr>
      </w:pPr>
    </w:p>
    <w:p>
      <w:pPr>
        <w:jc w:val="both"/>
        <w:ind w:left="980" w:right="4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began the implementation of our store renovation strategy and completed refreshes of 13 of our higher-volume and traffic full-line stores by adding our new branding, including storefront facade, logo, and interior changes. We also completed facade updates at 15 of our newest full line stores to reflect our new logo.</w:t>
      </w:r>
    </w:p>
    <w:p>
      <w:pPr>
        <w:spacing w:after="0" w:line="46"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launched our marketing campaign, "It's Good to be a Girl," which is aimed at increasing brand visibility and igniting a social movement. We launched a comprehensive, multi-faceted media plan with a mix of digital, social, experiential and print advertising.</w:t>
      </w:r>
    </w:p>
    <w:p>
      <w:pPr>
        <w:spacing w:after="0" w:line="3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continuing to work with our store teams to drive traffic and sales through enhancing our selling-and-service culture, as well as focusing on customer and community outreach.</w:t>
      </w:r>
    </w:p>
    <w:p>
      <w:pPr>
        <w:spacing w:after="0" w:line="35"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continuing to reinvigorate and modernize our product assortment with new materials, patterns, styles, silhouettes, hardware, and functionality. In early August, we launched our Gallatin relaxed leather collection and expanded our Collegiate products from 17 schools to over 70.</w:t>
      </w:r>
    </w:p>
    <w:p>
      <w:pPr>
        <w:spacing w:after="0" w:line="46" w:lineRule="exact"/>
        <w:rPr>
          <w:rFonts w:ascii="Arial" w:cs="Arial" w:eastAsia="Arial" w:hAnsi="Arial"/>
          <w:sz w:val="18"/>
          <w:szCs w:val="18"/>
          <w:color w:val="auto"/>
        </w:rPr>
      </w:pPr>
    </w:p>
    <w:p>
      <w:pPr>
        <w:jc w:val="both"/>
        <w:ind w:left="980" w:right="22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continuing to work on the redesign and conversion of verabradley.com to a new platform, creating a dynamic digital flagship which is expected to launch in the first quarter of fiscal 2018. The new site will offer a number of enhancements including, among others, the ability to strategically segment and personalize messaging, express check-out, and “order on-line, pickup in-store.”</w:t>
      </w:r>
    </w:p>
    <w:p>
      <w:pPr>
        <w:spacing w:after="0" w:line="30" w:lineRule="exact"/>
        <w:rPr>
          <w:rFonts w:ascii="Arial" w:cs="Arial" w:eastAsia="Arial" w:hAnsi="Arial"/>
          <w:sz w:val="17"/>
          <w:szCs w:val="17"/>
          <w:color w:val="auto"/>
        </w:rPr>
      </w:pPr>
    </w:p>
    <w:p>
      <w:pPr>
        <w:ind w:left="980" w:right="4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positioning for additional department store growth by continuing to work to increase the productivity of our existing doors through editing and curating assortments by location and enhancing our brand presentation.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third quarter of fiscal 2016)</w:t>
      </w:r>
    </w:p>
    <w:p>
      <w:pPr>
        <w:spacing w:after="0" w:line="9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revenues were consistent at $126.7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segment sales increased 2.3% to $86.1 million. Comparable sales (including e-commerce) decreased 5.0%.</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Indirect segment sales decreased 4.6% to $40.6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was $72.9 million, or 57.6%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income was $11.4 million.</w:t>
      </w:r>
    </w:p>
    <w:p>
      <w:pPr>
        <w:spacing w:after="0" w:line="9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was $8.8 million, or $0.24 per diluted share. These results included a tax benefit of $1.6 million, or $0.04 per diluted share, further described in Note 6 herein.</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and cash equivalents and short-term investments were $83.0 million at October 29, 2016.</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$5.8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Repurchases of common stock for the thirteen weeks totaled $7.6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third-party e-commerce sites, our wholesale customer in Japan, and third-party inventory liquidators.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Comparable sales (including e-commerce)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both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Levels of mall and e-commerce traffic;</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income is equal to gross profit less SG&amp;A expenses plus other income. Operating income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is equal to operating income less net interest expense and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60" w:type="dxa"/>
            <w:vAlign w:val="bottom"/>
          </w:tcPr>
          <w:p>
            <w:pPr>
              <w:spacing w:after="0"/>
              <w:rPr>
                <w:sz w:val="13"/>
                <w:szCs w:val="13"/>
                <w:color w:val="auto"/>
              </w:rPr>
            </w:pPr>
          </w:p>
        </w:tc>
        <w:tc>
          <w:tcPr>
            <w:tcW w:w="128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126,662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351,088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348,502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53,749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53,376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150,131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156,956</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200,957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191,546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61,831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57,013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178,512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171,976</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1,734</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16,789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23,562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21,304</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209</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16,729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23,392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21,095</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9,248</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10,268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16,307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11,847</w:t>
            </w:r>
          </w:p>
        </w:tc>
      </w:tr>
      <w:tr>
        <w:trPr>
          <w:trHeight w:val="67"/>
        </w:trPr>
        <w:tc>
          <w:tcPr>
            <w:tcW w:w="49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59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60" w:type="dxa"/>
            <w:vAlign w:val="bottom"/>
          </w:tcPr>
          <w:p>
            <w:pPr>
              <w:spacing w:after="0"/>
              <w:rPr>
                <w:sz w:val="13"/>
                <w:szCs w:val="13"/>
                <w:color w:val="auto"/>
              </w:rPr>
            </w:pPr>
          </w:p>
        </w:tc>
        <w:tc>
          <w:tcPr>
            <w:tcW w:w="128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86,101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84,137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246,288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238,345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Indirect</w:t>
            </w:r>
          </w:p>
        </w:tc>
        <w:tc>
          <w:tcPr>
            <w:tcW w:w="24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8"/>
                <w:szCs w:val="18"/>
                <w:color w:val="auto"/>
              </w:rPr>
              <w:t>40,561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7"/>
              <w:spacing w:after="0"/>
              <w:rPr>
                <w:sz w:val="20"/>
                <w:szCs w:val="20"/>
                <w:color w:val="auto"/>
              </w:rPr>
            </w:pPr>
            <w:r>
              <w:rPr>
                <w:rFonts w:ascii="Arial" w:cs="Arial" w:eastAsia="Arial" w:hAnsi="Arial"/>
                <w:sz w:val="18"/>
                <w:szCs w:val="18"/>
                <w:color w:val="auto"/>
              </w:rPr>
              <w:t>42,537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8"/>
                <w:szCs w:val="18"/>
                <w:color w:val="auto"/>
              </w:rPr>
              <w:t>104,800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7"/>
              <w:spacing w:after="0"/>
              <w:rPr>
                <w:sz w:val="20"/>
                <w:szCs w:val="20"/>
                <w:color w:val="auto"/>
              </w:rPr>
            </w:pPr>
            <w:r>
              <w:rPr>
                <w:rFonts w:ascii="Arial" w:cs="Arial" w:eastAsia="Arial" w:hAnsi="Arial"/>
                <w:sz w:val="18"/>
                <w:szCs w:val="18"/>
                <w:color w:val="auto"/>
              </w:rPr>
              <w:t>110,157</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126,662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126,674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351,088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348,502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
        </w:trPr>
        <w:tc>
          <w:tcPr>
            <w:tcW w:w="49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Indirect</w:t>
            </w:r>
          </w:p>
        </w:tc>
        <w:tc>
          <w:tcPr>
            <w:tcW w:w="15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60" w:type="dxa"/>
            <w:vAlign w:val="bottom"/>
          </w:tcPr>
          <w:p>
            <w:pPr>
              <w:spacing w:after="0"/>
              <w:rPr>
                <w:sz w:val="13"/>
                <w:szCs w:val="13"/>
                <w:color w:val="auto"/>
              </w:rPr>
            </w:pPr>
          </w:p>
        </w:tc>
        <w:tc>
          <w:tcPr>
            <w:tcW w:w="14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31,</w:t>
            </w:r>
          </w:p>
        </w:tc>
        <w:tc>
          <w:tcPr>
            <w:tcW w:w="260" w:type="dxa"/>
            <w:vAlign w:val="bottom"/>
          </w:tcPr>
          <w:p>
            <w:pPr>
              <w:spacing w:after="0"/>
              <w:rPr>
                <w:sz w:val="13"/>
                <w:szCs w:val="13"/>
                <w:color w:val="auto"/>
              </w:rPr>
            </w:pPr>
          </w:p>
        </w:tc>
        <w:tc>
          <w:tcPr>
            <w:tcW w:w="14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60" w:type="dxa"/>
            <w:vAlign w:val="bottom"/>
          </w:tcPr>
          <w:p>
            <w:pPr>
              <w:spacing w:after="0"/>
              <w:rPr>
                <w:sz w:val="13"/>
                <w:szCs w:val="13"/>
                <w:color w:val="auto"/>
              </w:rPr>
            </w:pPr>
          </w:p>
        </w:tc>
        <w:tc>
          <w:tcPr>
            <w:tcW w:w="130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Operating Income by Segment:</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17,104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19,260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47,390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43,844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Pr>
          <w:p>
            <w:pPr>
              <w:spacing w:after="0"/>
              <w:rPr>
                <w:sz w:val="21"/>
                <w:szCs w:val="21"/>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16,920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19,056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41,526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43,748</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(22,622)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(21,527)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(65,354)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(66,288)</w:t>
            </w: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16,789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23,562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21,304</w:t>
            </w:r>
          </w:p>
        </w:tc>
      </w:tr>
      <w:tr>
        <w:trPr>
          <w:trHeight w:val="67"/>
        </w:trPr>
        <w:tc>
          <w:tcPr>
            <w:tcW w:w="48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178"/>
        </w:trPr>
        <w:tc>
          <w:tcPr>
            <w:tcW w:w="48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Operating Income as a Percentage of Net Revenues by</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1"/>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39.7 %</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150</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367,874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342,362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367,874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342,362</w:t>
            </w:r>
          </w:p>
        </w:tc>
      </w:tr>
      <w:tr>
        <w:trPr>
          <w:trHeight w:val="341"/>
        </w:trPr>
        <w:tc>
          <w:tcPr>
            <w:tcW w:w="482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490</w:t>
            </w:r>
          </w:p>
        </w:tc>
      </w:tr>
    </w:tbl>
    <w:p>
      <w:pPr>
        <w:spacing w:after="0" w:line="130"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jc w:val="both"/>
        <w:ind w:left="540" w:right="100" w:hanging="532"/>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8"/>
          <w:szCs w:val="18"/>
          <w:color w:val="auto"/>
        </w:rPr>
      </w:pPr>
    </w:p>
    <w:p>
      <w:pPr>
        <w:ind w:left="540" w:right="40" w:hanging="532"/>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Card Incident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Event</w:t>
      </w:r>
    </w:p>
    <w:p>
      <w:pPr>
        <w:spacing w:after="0" w:line="9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September 15, 2016, we were provided information from law enforcement regarding a potential data security issue related to our retail store network. Findings from the investigation show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systems.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resolved this incident and continue to work with the computer security firm to further strengthen the security of our systems to help prevent this from happening in the future. We continue to support law enforcement’s investigation and also promptly notified the payment card networks so that the banks that issue payment cards could initiate heightened monitoring on the affected cards.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third quarter of fiscal 2017, we recorded an immaterial amount of expense relating to the Payment Card Incident. Expenses included costs to investigate the Payment Card Incident and obtain legal and other professional services.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expect to incur additional legal and professional services, as well as expenses and capital investments for remediation activities associated with the Payment Card Incident and will recognize the expenses as incurred. In addition, payment card companies and associations may require us to reimburse them for unauthorized card charges and costs to replace cards and may also impose fines or penalties in connection with the Payment Card Incident, and enforcement authorities may also impose fines or other remedies against us. At this time, we cannot reasonably estimate the potential loss or range of loss related to any fines or penalties that may be assessed, if any. The Payment Card Incident, including customer response and any possible third party claims or assessments from payment card companies, could materially adversely affect our financial condition and operating results. We expect our insurance coverage will offset most of the expenses for the investigation and other non-remediation legal and professional services associated with the incident, possible third party claims, as well as fines, penalties, or other expenses, if any, imposed by payment card companies, as discussed above.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maintained $15.0 million of cyber security insurance coverage above a $0.1 million deductible.</w:t>
      </w:r>
    </w:p>
    <w:p>
      <w:pPr>
        <w:spacing w:after="0" w:line="248" w:lineRule="exact"/>
        <w:rPr>
          <w:sz w:val="20"/>
          <w:szCs w:val="20"/>
          <w:color w:val="auto"/>
        </w:rPr>
      </w:pPr>
    </w:p>
    <w:p>
      <w:pPr>
        <w:ind w:right="200"/>
        <w:spacing w:after="0" w:line="346" w:lineRule="auto"/>
        <w:rPr>
          <w:sz w:val="20"/>
          <w:szCs w:val="20"/>
          <w:color w:val="auto"/>
        </w:rPr>
      </w:pPr>
      <w:r>
        <w:rPr>
          <w:rFonts w:ascii="Arial" w:cs="Arial" w:eastAsia="Arial" w:hAnsi="Arial"/>
          <w:sz w:val="18"/>
          <w:szCs w:val="18"/>
          <w:b w:val="1"/>
          <w:bCs w:val="1"/>
          <w:color w:val="auto"/>
        </w:rPr>
        <w:t xml:space="preserve">Restructuring and Other Charges Affecting Comparability of the Thirteen and Thirty-Nine Weeks Ended October 29, 2016, and October 31, 2015 </w:t>
      </w:r>
      <w:r>
        <w:rPr>
          <w:rFonts w:ascii="Arial" w:cs="Arial" w:eastAsia="Arial" w:hAnsi="Arial"/>
          <w:sz w:val="18"/>
          <w:szCs w:val="18"/>
          <w:i w:val="1"/>
          <w:iCs w:val="1"/>
          <w:color w:val="auto"/>
        </w:rPr>
        <w:t>Thirteen and Thirty-Nine Weeks Ended October 29, 2016</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third quarter of fiscal 2017, we recognized a benefit of $1.6 million for certain income tax reserve releases as a result of the conclusion of an IRS audit (reflected in income tax expense).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Thirty-Nine Weeks Ended October 31, 2015</w:t>
      </w:r>
    </w:p>
    <w:p>
      <w:pPr>
        <w:spacing w:after="0" w:line="90"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In the first quarter of fiscal 2016, we closed our manufacturing facility located in New Haven, Indiana. We incurred restructuring and other charges during the first quarter of fiscal 2016 of approximately $3.4 million ($2.1 million after the associated tax benefit), related to the facility closing. These charges included:</w:t>
      </w:r>
    </w:p>
    <w:p>
      <w:pPr>
        <w:spacing w:after="0" w:line="1"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Severance and benefit costs of approximately $1.7 million;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Lease termination costs of approximately $0.7 million;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Inventory-related charges of approximately $0.6 million;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associated net costs, which include accelerated depreciation related to fixed assets, of approximately $0.4 million.</w:t>
      </w:r>
    </w:p>
    <w:p>
      <w:pPr>
        <w:spacing w:after="0" w:line="9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These charges are reflected in cost of sales in our Condensed Consolidated Financial Statements. We expect that the facility closure will reduce operating costs by approximately $12.0 million annually. All production from the facility was absorbed by our third-party manufacturing suppliers. There are no remaining liabilities associated with the facility closure.</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 charges, incurred in the first quarter of fiscal 2016, affecting comparability of the financial results totaled approximately $1.8 million ($1.3 million after the associated tax benefit). These charges included:</w:t>
      </w:r>
    </w:p>
    <w:p>
      <w:pPr>
        <w:spacing w:after="0" w:line="116"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 million due to a retail store early lease termination agreement (reflected in selling, general, and administrative expenses) and</w:t>
      </w:r>
    </w:p>
    <w:p>
      <w:pPr>
        <w:spacing w:after="0" w:line="90"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$0.6 million related to an increase in income tax reserves for uncertain federal and state tax positions related to research and development tax credits (reflected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October 29, 2016, Compared to Thirteen Weeks Ended October 31, 2015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thirteen weeks ended October 29, 2016 and October 31, 2015, net revenues were consistent at $126.7 million.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October 29, 2016, net revenues in the Direct segment increased $2.0 million, or 2.3%, to $86.1 million, from $84.1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resulted from a $6.2 million contribution of revenue from our non-comparable stores, including nine additional stores opened in the current fiscal year, which was partially offset by a comparable sales (including e-commerce) decrease of $4.2 million, or 5.0%. The decrease in comparable sales includes a 4.4% decrease in e-commerce sales and a 5.3% decrease in comparable store sales. The decline in comparable sales was primarily due to year-over-year declines in store traffic.</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October 29, 2016, net revenues in the Indirect segment decreased $1.9 million, or 4.6%, to $40.6 million, from $42.5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was primarily due to a decline in orders from the Company's specialty retail accounts, partially offset by incremental sales to certain department stores and non-department store key accounts.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For the thirteen weeks ended October 29, 2016, gross profit decreased $0.4 million, or 0.5%, to $72.9 million, from $73.3 million in the comparable prior-year period. As a percentage of net revenues, gross profit decreased to 57.6% for the thirteen weeks ended October 29, 2016, from 57.9% in the comparable prior-year period. The decrease as a percentage of net revenues was primarily due to increased promotional activity at our factory outlet stores.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the thirteen weeks ended October 29, 2016, SG&amp;A expenses increased $4.8 million, or 8.5%, to $61.8 million, from $57.0 million in the comparable prior-year period. As a percentage of net revenues, SG&amp;A expenses increased to 48.8% for the thirteen weeks ended October 29, 2016, from 45.0% in the comparable prior-year period. The increase in SG&amp;A expenses for the thirteen weeks ended October 29, 2016 was primarily due to new store expenses in the current-year period, marketing and advertising spending relating to our "It's Good to be a Girl" marketing campaign and SoHo flagship store, and $0.6 million in store impairment charges, partially offset by a reduction in incentive compensation as a result of Company performance. SG&amp;A expenses as a percentage of net revenues increased primarily due to the aforementioned items, as well as due to the spread of fixed expenses over lower comparable sales and deleveraging of store operating expenses as a result of lower comparable store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thirteen weeks ended October 29, 2016, other income decreased $0.2 million, or 36.5%, to $0.3 million, from $0.5 million in the comparable prior-year period, primarily due to a decrease in participation in the co-op mailer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the thirteen weeks ended October 29, 2016, operating income decreased $5.4 million, or 32.1%, to $11.4 million in the current-year period, from $16.8 million in the comparable prior-year period. As a percentage of net revenues, operating income was 9.0% and 13.3% for the thirteen weeks ended October 29, 2016 and October 31, 2015, respectively. The decrease in operating income was due to the factors described above.</w:t>
      </w:r>
    </w:p>
    <w:p>
      <w:pPr>
        <w:spacing w:after="0" w:line="1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thirteen weeks ended October 29, 2016, operating income in the Direct segment decreased $2.2 million, or 11.2%, to $17.1 million from $19.3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comparable prior-year period. As a percentage of Direct segment net revenues, operating income in the Direct segment was 19.9% and 22.9% for the thirteen weeks ended October 29, 2016 and October 31, 2015, respectively. The decrease in operating income as a percentage of Direct segment net revenues was primarily due to investments in new stores, increased promotional activity primarily at our factory outlet stores, $0.6 million in store impairment charges, and deleveraging of store operating expenses as a result of lower comparable store sales.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October 29, 2016, operating income in the Indirect segment decreased $2.2 million, or 11.2%, to $16.9 million from</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$19.1 million in the comparable prior-year period. As a percentage of Indirect segment net revenues, operating income in the Indirect segment was 41.7% and 44.8% for the thirteen weeks ended October 29, 2016 and October 31, 2015, respectively. The decrease in operating income as a percentage of Indirect segment net revenues was primarily due to lower sales.</w:t>
      </w:r>
    </w:p>
    <w:p>
      <w:pPr>
        <w:spacing w:after="0" w:line="13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October 29, 2016, unallocated expenses increased $1.1 million, or 5.1%, to $22.6 million from $21.5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increase in unallocated expenses was primarily due to marketing and advertising spending related to our "It's Good to be a Girl" marketing campaign and SoHo flagship store, partially offset by a reduction in incentive compensation as a result of Company performance.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effective tax rate for the thirteen weeks ended October 29, 2016, was 22.6%, compared to 38.6% for the thirteen weeks ended October 31, 2015. The year-over year decrease is primarily due to the release of approximately $1.6 million of certain income tax reserves as a result of the conclusion of an IRS audit.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thirteen weeks ended October 29, 2016, net income decreased $1.5 million, or 14.5%, to $8.8 million from $10.3 million in the comparable prior-year period. The decrease in net income was due to the factors described above.</w:t>
      </w:r>
    </w:p>
    <w:p>
      <w:pPr>
        <w:spacing w:after="0" w:line="193" w:lineRule="exact"/>
        <w:rPr>
          <w:sz w:val="20"/>
          <w:szCs w:val="20"/>
          <w:color w:val="auto"/>
        </w:rPr>
      </w:pPr>
    </w:p>
    <w:p>
      <w:pPr>
        <w:ind w:right="3540"/>
        <w:spacing w:after="0" w:line="346" w:lineRule="auto"/>
        <w:rPr>
          <w:sz w:val="20"/>
          <w:szCs w:val="20"/>
          <w:color w:val="auto"/>
        </w:rPr>
      </w:pPr>
      <w:r>
        <w:rPr>
          <w:rFonts w:ascii="Arial" w:cs="Arial" w:eastAsia="Arial" w:hAnsi="Arial"/>
          <w:sz w:val="18"/>
          <w:szCs w:val="18"/>
          <w:b w:val="1"/>
          <w:bCs w:val="1"/>
          <w:color w:val="auto"/>
        </w:rPr>
        <w:t xml:space="preserve">Thirty-Nine Weeks Ended October 29, 2016, Compared to Thirty-Nine Weeks Ended October 31, 2015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thirty-nine weeks ended October 29, 2016, net revenues increased $2.6 million, or 0.7%, to $351.1 million, from $348.5 million in the comparable prior-year period.</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thirty-nine weeks ended October 29, 2016, net revenues in the Direct segment increased $8.0 million, or 3.3%, to $246.3 million, from $238.3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resulted from a $21.5 million contribution of revenue from our non-comparable stores, including nine additional stores opened in the current fiscal year, which was partially offset by a comparable sales (including e-commerce) decrease of $13.0 million, or 5.7%. The decrease in comparable sales includes a 6.8% decrease in e-commerce sales and a 5.2% decrease in comparable store sales. The decline in comparable sales was primarily due to year-over-year declines in store and e-commerce traffic, as well as lower levels of promotional activity in the first quarter.</w:t>
      </w:r>
    </w:p>
    <w:p>
      <w:pPr>
        <w:spacing w:after="0" w:line="13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thirty-nine weeks ended October 29, 2016, net revenues in the Indirect segment decreased $5.4 million, or 4.9%, to $104.8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$110.2 million in the comparable prior-year period. This change was primarily due to a decline in orders from the Company's specialty retail accounts, partially offset by incremental sales to certain department stores and non-department store key accounts.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the thirty-nine weeks ended October 29, 2016, gross profit increased $9.5 million, or 4.9%, to $201.0 million, from $191.5 million in the comparable prior-year period. As a percentage of net revenues, gross profit increased to 57.2% for the thirty-nine weeks ended October 29, 2016, from 55.0% in the comparable prior-year period. The increase as a percentage of net revenues was primarily due to sourcing efficiencies (reduced overhead costs resulting from the closing of our domestic manufacturing facility), operational efficiencies, and increased penetration of made-for-outlet products, partially offset by fabrication and product mix and increased promotional activity primarily at our factory outlet stores in the second and third quarters. In addition, gross profit in the first quarter of the comparable prior-year period was impacted by restructuring charges of $3.4 million related to the closure of our manufacturing facility in the first quarter of fiscal 2016, as discussed in more detail in Note 11 to the Notes to the Condensed Consolidated Financial Statements herein.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thirty-nine weeks ended October 29, 2016, SG&amp;A expenses increased $6.5 million, or 3.8%, to $178.5 million, from $172.0 million in the comparable prior-year period. As a percentage of net revenues, SG&amp;A expenses increased to 50.8% for the thirty-nine weeks ended October 29, 2016, from 49.3% in the comparable prior-year period. The increase in SG&amp;A expenses for the thirty-nine weeks ended October 29, 2016 was primarily due to new store expenses in the current-year period and $2.2 million in store impairment charges, partially offset by a reduction in incentive compensation due to Company performance. In addition, the first quarter of the prior-year period included $1.2 million in expense related to a retail store early termination agreement which did not recur in the current-year period. SG&amp;A expenses as a percentage of net revenues increased primarily due to the aforementioned items and fixed expenses being spread over lower comparable sales and deleveraging of store operating expenses as a result of lower comparable store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thirty-nine weeks ended October 29, 2016, other income decreased $0.6 million, or 35.6%, to $1.1 million, from $1.7 million in the comparable prior-year period, primarily due to a decrease in participation in the co-op mailer program.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thirty-nine weeks ended October 29, 2016, operating income increased $2.3 million, or 10.6%, to $23.6 million in the current-year period, from $21.3 million in the comparable prior-year period. As a percentage of net revenues, operating income was 6.7% and 6.1% for the thirty-nine weeks ended October 29, 2016 and October 31, 2015, respectively. Operating income increased due to the factors described above.</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thirty-nine weeks ended October 29, 2016, operating income in the Direct segment increased $3.6 million, or 8.1%, to $47.4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$43.8 million in the comparable prior-year period. As a percentage of Direct segment net revenues, operating income in the Direct segment was 19.2% and 18.4% for the thirty-nine weeks ended October 29, 2016 and October 31, 2015, respectively. The increase in operating income as a percentage of Direct segment net revenues was primarily due to $3.5 million in restructuring and other charges related to the closure of our manufacturing facility and a retail store early termination agreement in the comparable prior-year period, as well as an increase in gross profit as a percentage of net revenues, as described above, partially offset by investments in new stores, $2.2 million in store impairment charges, and deleveraging of store operating expenses as a result of lower comparable store sales.</w:t>
      </w:r>
    </w:p>
    <w:p>
      <w:pPr>
        <w:spacing w:after="0" w:line="13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thirty-nine weeks ended October 29, 2016, operating income in the Indirect segment decreased $2.2 million, or 5.1%, to $41.5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$43.7 million in the comparable prior-year period. As a percentage of Indirect segment net revenues, operating income in the Indirect segment was 39.6% and 39.7% for the thirty-nine weeks ended October 29, 2016 and October 31, 2015, respectively. The decrease in operating income as a percentage of Indirect segment net revenues was primarily due to lower sales, partially offset by an increase in gross profit as a percentage of net revenues, as described above, as well as $1.1 million in restructuring charges related to the closure of our manufacturing facility in the comparable prior-year period.</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thirty-nine weeks ended October 29, 2016, unallocated expenses decreased $0.9 million, or 1.4%, to $65.4 million from $66.3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decrease in unallocated expenses was primarily due to a decrease in incentive compensation as a result of Company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effective tax rate for the thirty-nine weeks ended October 29, 2016, was 30.3%, compared to 43.8% for the thirty-nine weeks ended October 31, 2015. The year-over year decrease is primarily due to the release of approximately $1.6 million of certain income tax reserves as a result the conclusion of an IRS audit. The current-year period rate was also positively impacted by a discrete item related to an excess tax benefit from share-based payments as a result of the early adoption of ASU 2016-09, as further described in Note 1 herein.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thirty-nine weeks ended October 29, 2016, net income increased $4.5 million, or 37.6%, to $16.3 million from $11.8 million in the comparable prior-year period. The current-year period included $2.2 million ($1.4 million after the associated tax benefit) in store impairment charges, partially offset by a $1.6 million tax benefit, as described in Note 6 to the Notes to the Condensed Consolidated Financial Statements herein. The comparable prior-year period included restructuring and other charges of $5.2 million ($3.4 million after the associated tax benefit), as described in Note 11 herein.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primary sources of liquidity are cash on hand and cash equivalents, cash flow from operations, and short-term investments. We also have access to additional liquidity, if needed, through borrowings under our $125.0 million second amended and restated credit agreement. There were no borrowings under this agreement during the thirty-nine weeks ended October 29, 2016. There was no debt outstanding as of October 29, 2016. Historically, our primary cash needs have been for merchandise inventories; payroll; store rent; capital expenditures associated with operational equipment, buildings, information technology, and opening new stores; share repurchases; and debt repayments. The most significant components of our working capital are cash and cash equivalents, short-term investments, merchandise inventories, accounts receivable, accounts payable, and other current liabilities.</w:t>
      </w:r>
    </w:p>
    <w:p>
      <w:pPr>
        <w:spacing w:after="0" w:line="1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believe that cash on hand and cash equivalents, cash flows from operating activities, short-term investments, and the availability of borrowings under our second amended and restated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Short-term investments consist of a certificate of deposit with an original maturity of one year and a one-time option to accelerate maturity to 31 days without penalty. Interest income from the investment is included in interest expense, net, in our Condensed Consolidated Financial Statements. Our objective with respect to this investment is to earn a higher rate of return, relative to deposit accounts, on funds that are otherwise not anticipated to be required to meet liquidity needs in the near term while maintaining a low level of investment risk. We have the intent and ability to hold this investment to maturity.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(22,818)</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(27,713)</w:t>
            </w:r>
          </w:p>
        </w:tc>
      </w:tr>
      <w:tr>
        <w:trPr>
          <w:trHeight w:val="27"/>
        </w:trPr>
        <w:tc>
          <w:tcPr>
            <w:tcW w:w="8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cash provided by operating activities for the thirty-nine weeks ended October 29, 2016, was $26.5 million, compared to net cash provided by operating activities of $39.0 thousand for the thirty-nine weeks ended October 31, 2015. The increase in cash provided by operating activities was primarily a result of the timing of inventory receipts in the current-year period, which resulted in a source of cash for the current-year period of $17.8 million, as compared to an inventory build in the comparable prior-year period for made-for-outlet product, which resulted in a use of cash of $19.8 million in the comparable prior-year period, as well as an increase in net income of $4.5 million. This was partially offset by a change in income taxes which resulted in a use of cash of $11.7 million in the current-year period as compared to a source of cash of $5.9 million in the comparable prior-year period. The income tax change was primarily a result of the timing of an $11.5 million federal income tax payment in the current-year period, as well as incremental payments as a result of increased income in the current year.</w:t>
      </w:r>
    </w:p>
    <w:p>
      <w:pPr>
        <w:spacing w:after="0" w:line="1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comparable prior-year period, net income included cash payments of approximately $2.6 million for restructuring activities related to the closure of our domestic manufacturing facility which did not recur in the current period. These payments consisted of $1.7 million for severance and benefits, $0.7 million for a lease termination and $0.2 million in other associated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Investing activities consist primarily of short-term investments and capital expenditures for growth related to new store openings, buildings, operational equipment, and information technology investments.</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Net cash used in investing activities was $47.4 million and $22.8 million for the thirty-nine weeks ended October 29, 2016 and October 31, 2015, respectively. The increase in cash used in investing activities was due to a $30.0 million short-term investment in a certificate of deposit made in the first quarter of fiscal 2017, partially offset by a decrease in property, plant, and equipment spending in the current-year period. The decrease in property, plant, and equipment spending was primarily a result of nine new stores opened in the current-year period as compared to 26 stores in the comparable prior-year period, as well as spending for the campus consolidation in the prior-year period which did not recur in the current-year period, partially offset by an increase in information technology investments, including spending for our e-commerce platform upgrade.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2017 are expected to be approximately $20.0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used in financing activities was $23.9 million and $27.7 million for the thirty-nine weeks ended October 29, 2016 and October 31, 2015, respectively. The decrease in cash used in financing activities was primarily due to a lower amount of purchases of shares of our common stock as compared to the prior-year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Credit Agreement</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October 29, 2016, the Company had borrowing availability of $125.0 million under the agreement.</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1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The Company was in compliance with these covenants as of October 29,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30, 2016.</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30, 2016. As of October 29, 2016, there was no significant change to any of the critical accounting policies and estimates described in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Description of the Company and Basis of Presentation</w:t>
      </w:r>
      <w:r>
        <w:rPr>
          <w:rFonts w:ascii="Arial" w:cs="Arial" w:eastAsia="Arial" w:hAnsi="Arial"/>
          <w:sz w:val="18"/>
          <w:szCs w:val="18"/>
          <w:color w:val="auto"/>
        </w:rPr>
        <w:t xml:space="preserve">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October 29, 2016, there was no material change in the market risks described in “Quantitative and Qualitative Disclosures About Market Risks” in the Company’s Annual Report on Form 10-K for the fiscal year ended January 30, 2016.</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October 29, 2016.</w:t>
      </w:r>
    </w:p>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121"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January 30, 2016. Although there has been no material change to the risk factors disclosed in our Form 10-K for the fiscal year ended January 30, 2016, certain of such risks may be heightened as a result of the November 2016 U.S. elections.</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results of the November 2016 U.S. elections have introduced greater uncertainty with respect to tax and trade policies, tariffs and government regulations affecting trade between the U.S. and other countries. The majority of our finished goods products, not sourced through licenses or strategic partners, are manufactured overseas by a variety of global manufacturers located primarily in China. Major developments in tax policy or trade relations, such as the disallowance of tax deductions for imported merchandise or the imposition of unilateral tariffs on imported products, could have a material adverse effect on our business, results of operations and liquidity.</w:t>
      </w:r>
    </w:p>
    <w:p>
      <w:pPr>
        <w:spacing w:after="0" w:line="2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On December 8, 2015, the Company’s board of directors approved a share repurchase program (the “2015 Share Repurchase Program”) authorizing up to</w:t>
      </w:r>
    </w:p>
    <w:p>
      <w:pPr>
        <w:spacing w:after="0" w:line="4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$50.0 million of repurchases of shares of the Company's common stock. The 2015 Share Repurchase Program expires in December 2017. During the thirteen weeks ended October 29, 2016, the Company repurchased 522,871 shares of the Company's common stock at an average price of $14.58 per share, excluding commissions.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shares repurchased under the program during the thirteen weeks ended October 29, 2016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 per Share</w:t>
            </w:r>
          </w:p>
        </w:tc>
        <w:tc>
          <w:tcPr>
            <w:tcW w:w="100" w:type="dxa"/>
            <w:vAlign w:val="bottom"/>
            <w:vMerge w:val="restart"/>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the Plans or Program</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31, 2016 - August 27, 2016</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199,387</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199,387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27,266,818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August 28, 2016 - October 1, 2016</w:t>
            </w: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125,097</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125,097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25,312,487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2, 2016 - October 29, 2016</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198,387</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198,387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22,543,942</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522,871</w:t>
            </w:r>
          </w:p>
        </w:tc>
        <w:tc>
          <w:tcPr>
            <w:tcW w:w="14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522,871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40" w:hanging="1265"/>
        <w:spacing w:after="0" w:line="273"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materials from Vera Bradley, Inc.’s Quarterly Report on Form 10-Q for the quarter ended October 29, 2016 formatted in Extensible Business Reporting Language (XBRL): (i) Condensed Consolidated Statements of Income for the Thirteen and Thirty-Nine Weeks ended October 29, 2016 and October 31, 2015; (ii) Condensed Consolidated Statements of Comprehensive Income for the Thirteen and Thirty-Nine Weeks ended October 29, 2016 and October 31, 2015; (iii) Condensed Consolidated Balance Sheets as of October 29, 2016 and January 30, 2016; (iv) Condensed Consolidated Statements of Cash Flows for the Thirty-Nine Weeks ended October 29, 2016 and October 31, 2015, and (v) Notes to Condensed Consolidated Financial Statements. **</w:t>
      </w:r>
    </w:p>
    <w:p>
      <w:pPr>
        <w:spacing w:after="0" w:line="138" w:lineRule="exact"/>
        <w:rPr>
          <w:sz w:val="20"/>
          <w:szCs w:val="20"/>
          <w:color w:val="auto"/>
        </w:rPr>
      </w:pPr>
    </w:p>
    <w:p>
      <w:pPr>
        <w:ind w:left="740" w:hanging="705"/>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7, 2016</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121"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40" w:hanging="1265"/>
        <w:spacing w:after="0" w:line="273"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materials from Vera Bradley, Inc.’s Quarterly Report on Form 10-Q for the quarter ended October 29, 2016 formatted in Extensible Business Reporting Language (XBRL): (i) Condensed Consolidated Statements of Income for the Thirteen and Thirty-Nine Weeks ended October 29, 2016 and October 31, 2015; (ii) Condensed Consolidated Statements of Comprehensive Income for the Thirteen and Thirty-Nine Weeks ended October 29, 2016 and October 31, 2015; (iii) Condensed Consolidated Balance Sheets as of October 29, 2016 and January 30, 2016; (iv) Condensed Consolidated Statements of Cash Flows for the Thirty-Nine Weeks ended October 29, 2016 and October 31, 2015, and (v) Notes to Condensed Consolidated Financial Statements. **</w:t>
      </w:r>
    </w:p>
    <w:p>
      <w:pPr>
        <w:spacing w:after="0" w:line="138" w:lineRule="exact"/>
        <w:rPr>
          <w:sz w:val="20"/>
          <w:szCs w:val="20"/>
          <w:color w:val="auto"/>
        </w:rPr>
      </w:pPr>
    </w:p>
    <w:p>
      <w:pPr>
        <w:ind w:left="740" w:hanging="705"/>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7, 2016</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7, 2016</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October 29, 2016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 Kevin J. Sierks, the Executive Vice President – Chief Financial Officer of Vera Bradley, Inc., certify that (i) the quarterly report on Form 10-Q for the fiscal quarter ended October 29, 2016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8"/>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1"/>
    </w:lvl>
    <w:lvl w:ilvl="1">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0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2019-12-29T10:03:14Z</dcterms:created>
  <dcterms:modified xsi:type="dcterms:W3CDTF">2019-12-29T10:03:14Z</dcterms:modified>
</cp:coreProperties>
</file>