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15,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left"/>
        <w:rPr>
          <w:color w:val="000000"/>
        </w:rPr>
      </w:pPr>
      <w:r>
        <w:rPr>
          <w:color w:val="000000"/>
        </w:rPr>
        <w:t> </w:t>
      </w:r>
    </w:p>
    <w:tbl>
      <w:tblPr>
        <w:tblW w:w="5346" w:type="dxa"/>
        <w:jc w:val="left"/>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001-34918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27-2935063</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271" w:type="dxa"/>
        <w:jc w:val="left"/>
        <w:tblInd w:w="0" w:type="dxa"/>
        <w:tblLayout w:type="fixed"/>
        <w:tblCellMar>
          <w:top w:w="28" w:type="dxa"/>
          <w:left w:w="28" w:type="dxa"/>
          <w:bottom w:w="28" w:type="dxa"/>
          <w:right w:w="28" w:type="dxa"/>
        </w:tblCellMar>
      </w:tblPr>
      <w:tblGrid>
        <w:gridCol w:w="1091"/>
        <w:gridCol w:w="959"/>
        <w:gridCol w:w="965"/>
        <w:gridCol w:w="109"/>
        <w:gridCol w:w="109"/>
        <w:gridCol w:w="109"/>
        <w:gridCol w:w="272"/>
        <w:gridCol w:w="272"/>
        <w:gridCol w:w="385"/>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12420 Stonebridge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Roanoke, 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46783</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320" w:after="283"/>
        <w:jc w:val="center"/>
        <w:rPr>
          <w:rFonts w:ascii="Times New Roman;serif" w:hAnsi="Times New Roman;serif"/>
          <w:b/>
          <w:color w:val="000000"/>
          <w:sz w:val="20"/>
        </w:rPr>
      </w:pPr>
      <w:r>
        <w:rPr>
          <w:rFonts w:ascii="Times New Roman;serif" w:hAnsi="Times New Roman;serif"/>
          <w:b/>
          <w:color w:val="000000"/>
          <w:sz w:val="20"/>
        </w:rPr>
        <w:t>(877) 708-8372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13" w:type="dxa"/>
        <w:jc w:val="left"/>
        <w:tblInd w:w="0" w:type="dxa"/>
        <w:tblLayout w:type="fixed"/>
        <w:tblCellMar>
          <w:top w:w="28" w:type="dxa"/>
          <w:left w:w="28" w:type="dxa"/>
          <w:bottom w:w="28" w:type="dxa"/>
          <w:right w:w="28" w:type="dxa"/>
        </w:tblCellMar>
      </w:tblPr>
      <w:tblGrid>
        <w:gridCol w:w="124"/>
        <w:gridCol w:w="109"/>
        <w:gridCol w:w="109"/>
        <w:gridCol w:w="733"/>
        <w:gridCol w:w="733"/>
        <w:gridCol w:w="733"/>
        <w:gridCol w:w="733"/>
        <w:gridCol w:w="733"/>
        <w:gridCol w:w="733"/>
        <w:gridCol w:w="733"/>
        <w:gridCol w:w="733"/>
        <w:gridCol w:w="733"/>
        <w:gridCol w:w="733"/>
        <w:gridCol w:w="733"/>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417"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19" w:type="dxa"/>
        <w:jc w:val="left"/>
        <w:tblInd w:w="0" w:type="dxa"/>
        <w:tblLayout w:type="fixed"/>
        <w:tblCellMar>
          <w:top w:w="28" w:type="dxa"/>
          <w:left w:w="28" w:type="dxa"/>
          <w:bottom w:w="28" w:type="dxa"/>
          <w:right w:w="28" w:type="dxa"/>
        </w:tblCellMar>
      </w:tblPr>
      <w:tblGrid>
        <w:gridCol w:w="1046"/>
        <w:gridCol w:w="922"/>
        <w:gridCol w:w="927"/>
        <w:gridCol w:w="539"/>
        <w:gridCol w:w="539"/>
        <w:gridCol w:w="541"/>
        <w:gridCol w:w="1085"/>
        <w:gridCol w:w="1085"/>
        <w:gridCol w:w="1535"/>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without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VRA</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47"/>
        <w:gridCol w:w="656"/>
        <w:gridCol w:w="656"/>
        <w:gridCol w:w="656"/>
        <w:gridCol w:w="656"/>
        <w:gridCol w:w="656"/>
        <w:gridCol w:w="656"/>
        <w:gridCol w:w="656"/>
        <w:gridCol w:w="656"/>
        <w:gridCol w:w="656"/>
        <w:gridCol w:w="656"/>
        <w:gridCol w:w="656"/>
        <w:gridCol w:w="656"/>
        <w:gridCol w:w="656"/>
        <w:gridCol w:w="930"/>
      </w:tblGrid>
      <w:tr>
        <w:trPr/>
        <w:tc>
          <w:tcPr>
            <w:tcW w:w="7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Items 2.02 and 9.01 of this Form 8-K is being furnished and shall not be deemed “filed” for the purpose of Section 18 of the Securities Exchange Act of 1934, as amended, or otherwise subject to the liabilities of that Section. The information in this Form 8-K shall not be incorporated by reference into any registration statement or other document pursuant to the Securities Act of 1933, as amended.</w:t>
      </w:r>
    </w:p>
    <w:p>
      <w:pPr>
        <w:pStyle w:val="TextBody"/>
        <w:bidi w:val="0"/>
        <w:spacing w:lineRule="auto" w:line="345"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345"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15, 2026, Vera Bradley, Inc. issued an earnings press release for the quarterly period ended August 1, 2026. The press release, including attachments, is furnished as Exhibit 99.1 to this report. </w:t>
      </w:r>
    </w:p>
    <w:p>
      <w:pPr>
        <w:pStyle w:val="TextBody"/>
        <w:bidi w:val="0"/>
        <w:spacing w:lineRule="auto" w:line="345" w:before="3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4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40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29"/>
        <w:gridCol w:w="1929"/>
        <w:gridCol w:w="274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2026080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ex-99120260801.htm">
              <w:r>
                <w:rPr>
                  <w:rStyle w:val="InternetLink"/>
                  <w:rFonts w:ascii="Times New Roman;serif" w:hAnsi="Times New Roman;serif"/>
                  <w:b w:val="false"/>
                  <w:color w:val="0000FF"/>
                  <w:sz w:val="20"/>
                  <w:u w:val="single"/>
                </w:rPr>
                <w:t>Press Release dated September 15,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45"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45" w:before="0" w:after="0"/>
        <w:jc w:val="left"/>
        <w:rPr>
          <w:color w:val="000000"/>
        </w:rPr>
      </w:pPr>
      <w:r>
        <w:rPr>
          <w:color w:val="000000"/>
        </w:rPr>
        <w:t> </w:t>
      </w:r>
    </w:p>
    <w:tbl>
      <w:tblPr>
        <w:tblW w:w="6321" w:type="dxa"/>
        <w:jc w:val="left"/>
        <w:tblInd w:w="0" w:type="dxa"/>
        <w:tblLayout w:type="fixed"/>
        <w:tblCellMar>
          <w:top w:w="28" w:type="dxa"/>
          <w:left w:w="28" w:type="dxa"/>
          <w:bottom w:w="28" w:type="dxa"/>
          <w:right w:w="28" w:type="dxa"/>
        </w:tblCellMar>
      </w:tblPr>
      <w:tblGrid>
        <w:gridCol w:w="826"/>
        <w:gridCol w:w="723"/>
        <w:gridCol w:w="731"/>
        <w:gridCol w:w="109"/>
        <w:gridCol w:w="109"/>
        <w:gridCol w:w="109"/>
        <w:gridCol w:w="109"/>
        <w:gridCol w:w="109"/>
        <w:gridCol w:w="109"/>
        <w:gridCol w:w="109"/>
        <w:gridCol w:w="109"/>
        <w:gridCol w:w="109"/>
        <w:gridCol w:w="895"/>
        <w:gridCol w:w="895"/>
        <w:gridCol w:w="1270"/>
      </w:tblGrid>
      <w:tr>
        <w:trPr/>
        <w:tc>
          <w:tcPr>
            <w:tcW w:w="8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Vera Bradley, Inc.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September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Layding</w:t>
            </w:r>
          </w:p>
        </w:tc>
      </w:tr>
      <w:tr>
        <w:trPr/>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Martin Layding</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Chief Operating &amp; Financial Officer</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345" w:before="0" w:after="0"/>
        <w:jc w:val="left"/>
        <w:rPr>
          <w:color w:val="000000"/>
        </w:rPr>
      </w:pPr>
      <w:r>
        <w:rPr>
          <w:color w:val="000000"/>
        </w:rPr>
        <w:t> </w:t>
      </w:r>
    </w:p>
    <w:tbl>
      <w:tblPr>
        <w:tblW w:w="7873"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922"/>
        <w:gridCol w:w="1922"/>
        <w:gridCol w:w="275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2026080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left"/>
              <w:rPr/>
            </w:pPr>
            <w:hyperlink w:anchor="ex-99120260801.htm">
              <w:r>
                <w:rPr>
                  <w:rStyle w:val="InternetLink"/>
                  <w:rFonts w:ascii="Times New Roman;serif" w:hAnsi="Times New Roman;serif"/>
                  <w:b w:val="false"/>
                  <w:color w:val="0000FF"/>
                  <w:sz w:val="20"/>
                  <w:u w:val="single"/>
                </w:rPr>
                <w:t>Press release dated September 15,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52625" cy="19812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952625" cy="1981200"/>
                    </a:xfrm>
                    <a:prstGeom prst="rect">
                      <a:avLst/>
                    </a:prstGeom>
                  </pic:spPr>
                </pic:pic>
              </a:graphicData>
            </a:graphic>
          </wp:inline>
        </w:drawing>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VERA BRADLEY ANNOUNCES SECOND QUARTER FISCAL YEAR 2027 RESULTS</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Records second consecutive quarter of overall growth with FYQ2 consolidated net revenues up 1.1% to $71.6 million </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Direct Segment sales accelerated versus Q1 up 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Reiterates FY 2027 Sales and Operating Margin Guidance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u w:val="single"/>
        </w:rPr>
        <w:t>FORT WAYNE, Ind., September 15, 2026</w:t>
      </w:r>
      <w:r>
        <w:rPr>
          <w:color w:val="000000"/>
        </w:rPr>
        <w:t xml:space="preserve"> – </w:t>
      </w:r>
      <w:r>
        <w:rPr>
          <w:rFonts w:ascii="Times New Roman;serif" w:hAnsi="Times New Roman;serif"/>
          <w:b w:val="false"/>
          <w:color w:val="000000"/>
          <w:sz w:val="20"/>
        </w:rPr>
        <w:t>Vera Bradley, Inc. (Nasdaq: VRA) (the “Company”) today announced its financial results for the second quarter of the fiscal year ending January 30, 2027 (“Fiscal 2027”).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Second Quarter Comments</w:t>
      </w:r>
    </w:p>
    <w:p>
      <w:pPr>
        <w:pStyle w:val="TextBody"/>
        <w:bidi w:val="0"/>
        <w:spacing w:lineRule="auto" w:line="230" w:before="0" w:after="0"/>
        <w:jc w:val="left"/>
        <w:rPr>
          <w:color w:val="000000"/>
        </w:rPr>
      </w:pPr>
      <w:r>
        <w:rPr>
          <w:color w:val="000000"/>
        </w:rPr>
        <w:t>“</w:t>
      </w:r>
      <w:r>
        <w:rPr>
          <w:rFonts w:ascii="Times New Roman;serif" w:hAnsi="Times New Roman;serif"/>
          <w:b w:val="false"/>
          <w:color w:val="000000"/>
          <w:sz w:val="20"/>
        </w:rPr>
        <w:t>I’m pleased to report that our second quarter results reflect continued momentum in our transformation,” said Ian Bickley, Chairman and Chief Executive Officer of Vera Bradley. “This marked our second consecutive quarter of overall revenue growth, with total revenue up 1.1% versus the prior year. The underlying health of our business continued to strengthen across our direct channels, margin structure, and balance sheet.”</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Bickley continued, “Our direct segment delivered revenue growth of 8%, our fifth consecutive quarter of sequential improvement, with comparable sales up 9.2% for the quarter, our second consecutive quarter of positive comparable results. Momentum built as the back-to-school season took hold during the second quarter and we entered the third quarter with strength across both our full-price and outlet channels.”</w:t>
      </w:r>
    </w:p>
    <w:p>
      <w:pPr>
        <w:pStyle w:val="TextBody"/>
        <w:bidi w:val="0"/>
        <w:spacing w:before="0" w:after="0"/>
        <w:jc w:val="left"/>
        <w:rPr/>
      </w:pPr>
      <w:r>
        <w:rPr/>
      </w:r>
    </w:p>
    <w:p>
      <w:pPr>
        <w:pStyle w:val="TextBody"/>
        <w:bidi w:val="0"/>
        <w:spacing w:lineRule="auto" w:line="230" w:before="0" w:after="0"/>
        <w:jc w:val="left"/>
        <w:rPr>
          <w:color w:val="000000"/>
        </w:rPr>
      </w:pPr>
      <w:r>
        <w:rPr>
          <w:color w:val="000000"/>
        </w:rPr>
        <w:t>“</w:t>
      </w:r>
      <w:r>
        <w:rPr>
          <w:rFonts w:ascii="Times New Roman;serif" w:hAnsi="Times New Roman;serif"/>
          <w:b w:val="false"/>
          <w:color w:val="000000"/>
          <w:sz w:val="20"/>
        </w:rPr>
        <w:t>We continued to manage our balance sheet and liquidity with discipline. Inventory ended the quarter down 28% compared to last year, in the quarter we generated $23 million of operating cash flow and we closed the quarter with $34 million of cash, double our prior-year position, and no debt.”</w:t>
      </w:r>
    </w:p>
    <w:p>
      <w:pPr>
        <w:pStyle w:val="TextBody"/>
        <w:bidi w:val="0"/>
        <w:spacing w:before="0" w:after="0"/>
        <w:jc w:val="left"/>
        <w:rPr/>
      </w:pPr>
      <w:r>
        <w:rPr/>
      </w:r>
    </w:p>
    <w:p>
      <w:pPr>
        <w:pStyle w:val="TextBody"/>
        <w:bidi w:val="0"/>
        <w:spacing w:lineRule="auto" w:line="230" w:before="0" w:after="0"/>
        <w:jc w:val="left"/>
        <w:rPr>
          <w:color w:val="000000"/>
        </w:rPr>
      </w:pPr>
      <w:r>
        <w:rPr>
          <w:color w:val="000000"/>
        </w:rPr>
        <w:t>“</w:t>
      </w:r>
      <w:r>
        <w:rPr>
          <w:rFonts w:ascii="Times New Roman;serif" w:hAnsi="Times New Roman;serif"/>
          <w:b w:val="false"/>
          <w:color w:val="000000"/>
          <w:sz w:val="20"/>
        </w:rPr>
        <w:t>Based on our year-to-date performance, we continue to expect year-over-year non-GAAP operating loss improvement of at least 50%. Significant work remains, and we’re encouraged by the progress we’re seeing across all five pillars of our transformation, and we remain committed to returning the business to long-term sustainable growth, profitability, and cash flow generation,” concluded Bickley.</w:t>
      </w:r>
    </w:p>
    <w:p>
      <w:pPr>
        <w:pStyle w:val="TextBody"/>
        <w:bidi w:val="0"/>
        <w:spacing w:before="0" w:after="0"/>
        <w:jc w:val="left"/>
        <w:rPr/>
      </w:pPr>
      <w:r>
        <w:rPr/>
      </w:r>
    </w:p>
    <w:p>
      <w:pPr>
        <w:pStyle w:val="TextBody"/>
        <w:bidi w:val="0"/>
        <w:spacing w:before="0" w:after="0"/>
        <w:jc w:val="left"/>
        <w:rPr/>
      </w:pPr>
      <w:r>
        <w:rPr/>
        <w:drawing>
          <wp:inline distT="0" distB="0" distL="0" distR="0">
            <wp:extent cx="4657725" cy="12382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4657725" cy="12382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Summary of Financial Performance for the Second Quarter</w:t>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net revenues from continuing operations totaled $71.6 million, compared to $70.9 million in the prior year second quarter ended August 2, 2025.</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Vera Bradley, Inc.’s net income from continuing operations totaled $4.5 million, or $0.15 per diluted share. On a non-GAAP basis, net income from continuing operations totaled $3.3 million, or $0.11 per diluted share.</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In the prior year second quarter, net loss from continuing operations totaled ($4.7) million, or ($0.17) per diluted share. On a non-GAAP basis, net loss from continuing operations totaled ($0.5) million, or ($0.02) per diluted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Second Quarter Details</w:t>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Direct segment revenues totaled $65.4 million, an 8.0% increase from $60.5 million in the prior year second quarter. Comparable sales increased 9.2%, with all channels positive, driven by improved ecommerce conversion and improved average transaction value across direct channels.</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Indirect segment revenues totaled $6.3 million, a 39.4% decrease from $10.3 million in the prior year second quarter. The decrease was driven by strategic shifts and timing related to our marketplace strategy, in addition to a reduction in liquidation sales, while continued improvements in specialty and department stores partially offset this decline.</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gross profit totaled $42.8 million, or 59.8% of net revenues, compared to $35.5 million, or 50.1% of net revenues, in the prior year. On a non-GAAP basis, prior year consolidated gross profit totaled $35.4 million, or 49.9% of net revenues.</w:t>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year-over-year margin rate is primarily due to the impact of $7.7 million for tariff refunds received during the quarter relating to prior period customs entries; excluding tariff refunds gross margin rate improved more than 0.4% versus last year.</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selling, general, and administrative (“SG&amp;A”) expense totaled $38.7 million, or 54.1% of net revenues, compared to $40.4 million, or 57.1% of net revenues, in the prior year. On a non-GAAP basis, consolidated SG&amp;A expense totaled $38.7 million, or 54.0% of net revenues, compared to $36.3 million, or 51.2% of net revenues, in the prior year. The increase in non-GAAP SG&amp;A expense is due to higher variable compensation expense this year combined with prior year benefit from stock forfeitures.</w:t>
      </w:r>
    </w:p>
    <w:p>
      <w:pPr>
        <w:pStyle w:val="TextBody"/>
        <w:bidi w:val="0"/>
        <w:spacing w:before="0" w:after="0"/>
        <w:ind w:left="0" w:right="0" w:firstLine="27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from continuing operations totaled $4.2 million, or 5.8% of net revenues, compared to an operating loss of ($4.6) million, or (6.5%) of net revenues, in the prior year second quarter – a 1230 basis point improvement. On a non-GAAP basis, operating income (loss) from continuing operations totaled $4.3 million, or 5.9% of net revenues, compared to ($0.6) million, or (0.8%) of net revenues, in the prior year second quarter – a 670 basis point improvement.</w:t>
      </w:r>
    </w:p>
    <w:p>
      <w:pPr>
        <w:pStyle w:val="TextBody"/>
        <w:bidi w:val="0"/>
        <w:spacing w:before="0" w:after="0"/>
        <w:jc w:val="left"/>
        <w:rPr/>
      </w:pPr>
      <w:r>
        <w:rPr/>
      </w:r>
    </w:p>
    <w:p>
      <w:pPr>
        <w:pStyle w:val="TextBody"/>
        <w:bidi w:val="0"/>
        <w:spacing w:lineRule="auto" w:line="271" w:before="0" w:after="0"/>
        <w:jc w:val="left"/>
        <w:rPr>
          <w:rFonts w:ascii="Times New Roman;serif" w:hAnsi="Times New Roman;serif"/>
          <w:b w:val="false"/>
          <w:color w:val="000000"/>
          <w:sz w:val="20"/>
        </w:rPr>
      </w:pPr>
      <w:r>
        <w:rPr>
          <w:rFonts w:ascii="Times New Roman;serif" w:hAnsi="Times New Roman;serif"/>
          <w:b w:val="false"/>
          <w:color w:val="000000"/>
          <w:sz w:val="20"/>
        </w:rPr>
        <w:t>By segment:</w:t>
      </w:r>
    </w:p>
    <w:p>
      <w:pPr>
        <w:pStyle w:val="TextBody"/>
        <w:bidi w:val="0"/>
        <w:spacing w:lineRule="auto" w:line="230" w:before="0" w:after="0"/>
        <w:ind w:left="0" w:right="0" w:hanging="360"/>
        <w:jc w:val="left"/>
        <w:rPr/>
      </w:pPr>
      <w:r>
        <w:rPr>
          <w:color w:val="000000"/>
        </w:rPr>
        <w:t>•</w:t>
      </w:r>
      <w:r>
        <w:rPr>
          <w:rFonts w:ascii="Times New Roman;serif" w:hAnsi="Times New Roman;serif"/>
          <w:b w:val="false"/>
          <w:color w:val="000000"/>
          <w:sz w:val="20"/>
        </w:rPr>
        <w:t>Direct operating income was $16.7 million, or 25.5% of Direct net revenues, compared to $9.3 million, or 15.4% of Direct net revenues, in the prior year.</w:t>
      </w:r>
    </w:p>
    <w:p>
      <w:pPr>
        <w:pStyle w:val="TextBody"/>
        <w:bidi w:val="0"/>
        <w:spacing w:lineRule="auto" w:line="230" w:before="0" w:after="0"/>
        <w:ind w:left="0" w:right="0" w:hanging="360"/>
        <w:jc w:val="left"/>
        <w:rPr/>
      </w:pPr>
      <w:r>
        <w:rPr>
          <w:color w:val="000000"/>
        </w:rPr>
        <w:t>•</w:t>
      </w:r>
      <w:r>
        <w:rPr>
          <w:rFonts w:ascii="Times New Roman;serif" w:hAnsi="Times New Roman;serif"/>
          <w:b w:val="false"/>
          <w:color w:val="000000"/>
          <w:sz w:val="20"/>
        </w:rPr>
        <w:t>Indirect operating income was $3.0 million, or 47.5% of Indirect net revenues, compared to $2.2 million, or 21.2% of</w:t>
      </w:r>
    </w:p>
    <w:p>
      <w:pPr>
        <w:pStyle w:val="TextBody"/>
        <w:bidi w:val="0"/>
        <w:spacing w:lineRule="auto" w:line="23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Indirect net revenues, in the prior year.</w:t>
      </w:r>
    </w:p>
    <w:p>
      <w:pPr>
        <w:pStyle w:val="TextBody"/>
        <w:bidi w:val="0"/>
        <w:spacing w:lineRule="auto" w:line="230" w:before="0" w:after="0"/>
        <w:ind w:left="0" w:right="0" w:hanging="360"/>
        <w:jc w:val="left"/>
        <w:rPr/>
      </w:pPr>
      <w:r>
        <w:rPr>
          <w:color w:val="000000"/>
        </w:rPr>
        <w:t>•</w:t>
      </w:r>
      <w:r>
        <w:rPr>
          <w:rFonts w:ascii="Times New Roman;serif" w:hAnsi="Times New Roman;serif"/>
          <w:b w:val="false"/>
          <w:color w:val="000000"/>
          <w:sz w:val="20"/>
        </w:rPr>
        <w:t>On a non-GAAP basis, the above segment results do not significantly change.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Balance Sheet</w:t>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August 1, 2026, totaled $34.2 million compared to $15.2 million at the end of last year’s second quarter and up $15.7 million versus the January 31, 2026 fiscal year end. The Company had no borrowings on its asset-based lending (“ABL”) facility during the quarter.</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1, 2026 inventory was $69.3 million, a 28.4% reduction, compared to $96.7 million at the end of last year’s second quarter. The decrease is driven by improved assortment planning, buy management, and sales performance, as well as the $5.3 million Project Restoration inventory reserve.</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Year to date net capital spending has totaled $1.0 million compared to $2.6 million in the prior year and was driven by store relocations that occurred in the prior year period.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Fiscal Year 2027 Guidance</w:t>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Excluding net revenues, all guidance-related numbers are non-GAAP. The prior year income statement numbers used in the forward-looking discussion below are also non-GAAP. Non-GAAP adjustments are discussed in the Non-GAAP Numbers section, below.</w:t>
      </w:r>
    </w:p>
    <w:p>
      <w:pPr>
        <w:pStyle w:val="TextBody"/>
        <w:bidi w:val="0"/>
        <w:spacing w:before="0" w:after="0"/>
        <w:jc w:val="left"/>
        <w:rPr/>
      </w:pPr>
      <w:r>
        <w:rPr/>
      </w:r>
    </w:p>
    <w:p>
      <w:pPr>
        <w:pStyle w:val="TextBody"/>
        <w:bidi w:val="0"/>
        <w:spacing w:lineRule="auto" w:line="230" w:before="0" w:after="0"/>
        <w:ind w:left="0" w:right="0" w:hanging="360"/>
        <w:jc w:val="left"/>
        <w:rPr/>
      </w:pPr>
      <w:r>
        <w:rPr>
          <w:color w:val="000000"/>
        </w:rPr>
        <w:t>•</w:t>
      </w:r>
      <w:r>
        <w:rPr>
          <w:rFonts w:ascii="Times New Roman;serif" w:hAnsi="Times New Roman;serif"/>
          <w:b w:val="false"/>
          <w:color w:val="000000"/>
          <w:sz w:val="20"/>
        </w:rPr>
        <w:t>The Company continues to focus on stabilizing the business and plans for sales to be in the range of $255 million to $270 million.</w:t>
      </w:r>
    </w:p>
    <w:p>
      <w:pPr>
        <w:pStyle w:val="TextBody"/>
        <w:bidi w:val="0"/>
        <w:spacing w:lineRule="auto" w:line="230" w:before="0" w:after="0"/>
        <w:ind w:left="0" w:right="0" w:hanging="360"/>
        <w:jc w:val="left"/>
        <w:rPr/>
      </w:pPr>
      <w:r>
        <w:rPr>
          <w:color w:val="000000"/>
        </w:rPr>
        <w:t>•</w:t>
      </w:r>
      <w:r>
        <w:rPr>
          <w:rFonts w:ascii="Times New Roman;serif" w:hAnsi="Times New Roman;serif"/>
          <w:b w:val="false"/>
          <w:color w:val="000000"/>
          <w:sz w:val="20"/>
        </w:rPr>
        <w:t xml:space="preserve">The guided sales range reflects the impact of rebuilding of the wholesale business under new leadership, while also placing less emphasis on liquidation channels. </w:t>
      </w:r>
    </w:p>
    <w:p>
      <w:pPr>
        <w:pStyle w:val="TextBody"/>
        <w:bidi w:val="0"/>
        <w:spacing w:lineRule="auto" w:line="230" w:before="0" w:after="0"/>
        <w:ind w:left="0" w:right="0" w:hanging="360"/>
        <w:jc w:val="left"/>
        <w:rPr/>
      </w:pPr>
      <w:r>
        <w:rPr>
          <w:color w:val="000000"/>
        </w:rPr>
        <w:t>•</w:t>
      </w:r>
      <w:r>
        <w:rPr>
          <w:rFonts w:ascii="Times New Roman;serif" w:hAnsi="Times New Roman;serif"/>
          <w:b w:val="false"/>
          <w:color w:val="000000"/>
          <w:sz w:val="20"/>
        </w:rPr>
        <w:t>Due to continued operational focus, the Company anticipates improvements in gross profit and SG&amp;A rates, enabling</w:t>
      </w:r>
    </w:p>
    <w:p>
      <w:pPr>
        <w:pStyle w:val="TextBody"/>
        <w:bidi w:val="0"/>
        <w:spacing w:lineRule="auto" w:line="23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loss improvement by 50% or better versus the prior year loss of ($21.7)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Disclosure Regarding Non-GAAP Measures</w:t>
      </w:r>
    </w:p>
    <w:p>
      <w:pPr>
        <w:pStyle w:val="TextBody"/>
        <w:bidi w:val="0"/>
        <w:spacing w:before="0" w:after="0"/>
        <w:jc w:val="left"/>
        <w:rPr/>
      </w:pPr>
      <w:r>
        <w:rPr/>
      </w:r>
    </w:p>
    <w:p>
      <w:pPr>
        <w:pStyle w:val="TextBody"/>
        <w:bidi w:val="0"/>
        <w:spacing w:lineRule="auto" w:line="249" w:before="0" w:after="0"/>
        <w:jc w:val="left"/>
        <w:rPr>
          <w:rFonts w:ascii="Times New Roman;serif" w:hAnsi="Times New Roman;serif"/>
          <w:b/>
          <w:color w:val="000000"/>
          <w:sz w:val="20"/>
          <w:u w:val="single"/>
        </w:rPr>
      </w:pPr>
      <w:r>
        <w:rPr>
          <w:rFonts w:ascii="Times New Roman;serif" w:hAnsi="Times New Roman;serif"/>
          <w:b/>
          <w:color w:val="000000"/>
          <w:sz w:val="20"/>
          <w:u w:val="single"/>
        </w:rPr>
        <w:t>Non-GAAP Numbers</w:t>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The current-year non-GAAP second quarter and six-month income statement amounts referenced below exclude the previously outlined charges for severance, consulting and professional fees associated with strategic initiatives and shareholder matters, professional fees associated with the sale of Pura Vida, transformation initiatives, and the income tax effect related to these items.</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The prior-year non-GAAP second quarter and six-month income statement amounts referenced below exclude the previously outlined charges for severance, consulting and professional fees associated with strategic initiatives and shareholder matters, property, plant and equipment impairment charges, professional fees associated with the sale of Pura Vida, PO cancellation fees, transformation initiatives, inventory write-offs associated with the sale of Pura Vida, and the income tax effect related to these items.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does not, nor does it suggest that investors should, consider the supplemental non-GAAP financial measures in isolation from, or as a substitute for, financial information prepared in accordance with accounting principles generally accepted in the United States (“GAAP”). Further, the non-GAAP measures utilized by the Company may be unique to the Company, as they may be different from non-GAAP measures used by other companies.</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non-GAAP measures presented in this earnings release, including cash usage; gross profit; selling, general, and administrative expenses; operating loss from continuing operations; net loss from continuing operations; and diluted net loss from continuing operations per share, along with the associated percentages of net revenues, are helpful to investors because they allow for a more direct comparison of the Company’s year-over-year performance and are consistent with management’s evaluation of business performance. A reconciliation of the non-GAAP measures to the most directly comparable GAAP measures can be found in the Company’s supplemental schedules included in this earnings release.</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Consistent with SEC regulations, the Company has not provided a reconciliation of forward-looking non-GAAP financial measures to the most directly comparable GAAP financial measures in reliance on the “unreasonable efforts” exception set forth in the applicable regulations, because there is substantial uncertainty associated with predicting any future adjustments the Company may make to its GAAP financial measures in calculating non-GAAP financial measures.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Call Information</w:t>
      </w:r>
    </w:p>
    <w:p>
      <w:pPr>
        <w:pStyle w:val="TextBody"/>
        <w:bidi w:val="0"/>
        <w:spacing w:lineRule="auto" w:line="230" w:before="0" w:after="0"/>
        <w:jc w:val="left"/>
        <w:rPr/>
      </w:pPr>
      <w:r>
        <w:rPr>
          <w:rFonts w:ascii="Times New Roman;serif" w:hAnsi="Times New Roman;serif"/>
          <w:b w:val="false"/>
          <w:color w:val="000000"/>
          <w:sz w:val="20"/>
        </w:rPr>
        <w:t xml:space="preserve">A conference call to discuss the second quarter financial results is scheduled for today, Tuesday, September 15, 2026, at 8:30 a.m. Eastern Time. A live webcast of the conference call will be available on the Company’s website, </w:t>
      </w:r>
      <w:r>
        <w:rPr>
          <w:rFonts w:ascii="Times New Roman;serif" w:hAnsi="Times New Roman;serif"/>
          <w:b w:val="false"/>
          <w:color w:val="0D32E0"/>
          <w:sz w:val="20"/>
          <w:u w:val="single"/>
        </w:rPr>
        <w:t>Investor Relations |</w:t>
      </w:r>
      <w:r>
        <w:rPr>
          <w:color w:val="0D32E0"/>
        </w:rPr>
        <w:t xml:space="preserve"> </w:t>
      </w:r>
      <w:r>
        <w:rPr>
          <w:rFonts w:ascii="Times New Roman;serif" w:hAnsi="Times New Roman;serif"/>
          <w:b w:val="false"/>
          <w:color w:val="0D32E0"/>
          <w:sz w:val="20"/>
          <w:u w:val="single"/>
        </w:rPr>
        <w:t>Vera Bradley Designs Inc.</w:t>
      </w:r>
      <w:r>
        <w:rPr>
          <w:color w:val="0D32E0"/>
        </w:rPr>
        <w:t xml:space="preserve"> </w:t>
      </w:r>
      <w:r>
        <w:rPr>
          <w:rFonts w:ascii="Times New Roman;serif" w:hAnsi="Times New Roman;serif"/>
          <w:b w:val="false"/>
          <w:color w:val="000000"/>
          <w:sz w:val="20"/>
        </w:rPr>
        <w:t>Alternatively, interested parties may dial into the call at (877) 407-0779. A replay will be available shortly after the conclusion of the call and remain available through September 29, 2026. To access the recording, listeners should dial (844) 512-2921 and enter the access code 13761527.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Vera Bradley, Inc.</w:t>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Vera Bradley, based in Fort Wayne, Indiana, is a leading designer of women’s handbags, luggage and other travel items, fashion and home accessories, and unique gifts. Founded in 1982 by friends Barbara Bradley Baekgaard and Patricia R. Miller, the brand is known for its innovative designs, iconic patterns, and brilliant colors that inspire and connect women unlike any other brand in the global marketplace.</w:t>
      </w:r>
    </w:p>
    <w:p>
      <w:pPr>
        <w:pStyle w:val="TextBody"/>
        <w:bidi w:val="0"/>
        <w:spacing w:before="0" w:after="0"/>
        <w:jc w:val="left"/>
        <w:rPr/>
      </w:pPr>
      <w:r>
        <w:rPr/>
      </w:r>
    </w:p>
    <w:p>
      <w:pPr>
        <w:pStyle w:val="TextBody"/>
        <w:bidi w:val="0"/>
        <w:spacing w:lineRule="auto" w:line="230" w:before="0" w:after="0"/>
        <w:jc w:val="left"/>
        <w:rPr/>
      </w:pPr>
      <w:r>
        <w:rPr>
          <w:rFonts w:ascii="Times New Roman;serif" w:hAnsi="Times New Roman;serif"/>
          <w:b w:val="false"/>
          <w:color w:val="000000"/>
          <w:sz w:val="20"/>
        </w:rPr>
        <w:t xml:space="preserve">The Company has two reportable segments: Direct and Indirect. The Direct business consists of sales of products through Vera Bradley Full-Line and Outlet stores in the United States; Vera Bradley’s websites, </w:t>
      </w:r>
      <w:r>
        <w:rPr>
          <w:rFonts w:ascii="Times New Roman;serif" w:hAnsi="Times New Roman;serif"/>
          <w:b w:val="false"/>
          <w:color w:val="0D32E0"/>
          <w:sz w:val="20"/>
        </w:rPr>
        <w:t>www.verabradley.com</w:t>
      </w:r>
      <w:r>
        <w:rPr>
          <w:rFonts w:ascii="Times New Roman;serif" w:hAnsi="Times New Roman;serif"/>
          <w:b w:val="false"/>
          <w:color w:val="0000FF"/>
          <w:sz w:val="20"/>
        </w:rPr>
        <w:t>,</w:t>
      </w:r>
      <w:r>
        <w:rPr>
          <w:color w:val="000000"/>
        </w:rPr>
        <w:t xml:space="preserve"> </w:t>
      </w:r>
      <w:r>
        <w:rPr>
          <w:rFonts w:ascii="Times New Roman;serif" w:hAnsi="Times New Roman;serif"/>
          <w:b w:val="false"/>
          <w:color w:val="0D32E0"/>
          <w:sz w:val="20"/>
        </w:rPr>
        <w:t>www.verabradleyoutlet.com</w:t>
      </w:r>
      <w:r>
        <w:rPr>
          <w:rFonts w:ascii="Times New Roman;serif" w:hAnsi="Times New Roman;serif"/>
          <w:b w:val="false"/>
          <w:color w:val="0000FF"/>
          <w:sz w:val="20"/>
        </w:rPr>
        <w: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D32E0"/>
          <w:sz w:val="20"/>
          <w:u w:val="single"/>
        </w:rPr>
        <w:t>international.verabradley.com</w:t>
      </w:r>
      <w:r>
        <w:rPr>
          <w:rFonts w:ascii="Times New Roman;serif" w:hAnsi="Times New Roman;serif"/>
          <w:b w:val="false"/>
          <w:color w:val="000000"/>
          <w:sz w:val="20"/>
        </w:rPr>
        <w:t>; direct to consumer marketplaces; and typically (but not in fiscal 2027), the Vera Bradley annual outlet sale in Fort Wayne, Indiana. The Indirect business consists of sales of Vera Bradley products to approximately 1,200 specialty retail locations throughout the United States, as well as select department stores, national accounts, and third-party inventory liquidators; and royalties recognized through licensing agreements related to the Vera Bradley brand.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Website Information</w:t>
      </w:r>
    </w:p>
    <w:p>
      <w:pPr>
        <w:pStyle w:val="TextBody"/>
        <w:bidi w:val="0"/>
        <w:spacing w:lineRule="auto" w:line="230" w:before="0" w:after="0"/>
        <w:jc w:val="left"/>
        <w:rPr/>
      </w:pPr>
      <w:r>
        <w:rPr>
          <w:rFonts w:ascii="Times New Roman;serif" w:hAnsi="Times New Roman;serif"/>
          <w:b w:val="false"/>
          <w:color w:val="000000"/>
          <w:sz w:val="20"/>
        </w:rPr>
        <w:t xml:space="preserve">We routinely post important information for investors on our website </w:t>
      </w:r>
      <w:r>
        <w:rPr>
          <w:rFonts w:ascii="Times New Roman;serif" w:hAnsi="Times New Roman;serif"/>
          <w:b w:val="false"/>
          <w:color w:val="0E32E1"/>
          <w:sz w:val="20"/>
          <w:u w:val="single"/>
        </w:rPr>
        <w:t>www.verabradley.com</w:t>
      </w:r>
      <w:r>
        <w:rPr>
          <w:color w:val="000000"/>
        </w:rPr>
        <w:t xml:space="preserve"> </w:t>
      </w:r>
      <w:r>
        <w:rPr>
          <w:rFonts w:ascii="Times New Roman;serif" w:hAnsi="Times New Roman;serif"/>
          <w:b w:val="false"/>
          <w:color w:val="000000"/>
          <w:sz w:val="20"/>
        </w:rPr>
        <w:t>in the "Investor Relations" section. We intend to use this webpage as a means of disclosing material, non-public information and for complying with our disclosure obligations under Regulation FD. Accordingly, investors should monitor the Investor Relations section of our website, in addition to following our press releases, SEC filings, public conference calls, presentations and webcasts. The information contained on, or that may be accessed through, our webpage is not incorporated by reference into, and is not a part of, this document.</w:t>
      </w:r>
    </w:p>
    <w:p>
      <w:pPr>
        <w:pStyle w:val="TextBody"/>
        <w:bidi w:val="0"/>
        <w:spacing w:before="0" w:after="0"/>
        <w:jc w:val="left"/>
        <w:rPr/>
      </w:pPr>
      <w:r>
        <w:rPr/>
      </w:r>
    </w:p>
    <w:p>
      <w:pPr>
        <w:pStyle w:val="TextBody"/>
        <w:bidi w:val="0"/>
        <w:spacing w:lineRule="auto" w:line="230" w:before="0" w:after="0"/>
        <w:jc w:val="left"/>
        <w:rPr/>
      </w:pPr>
      <w:r>
        <w:rPr>
          <w:rFonts w:ascii="Times New Roman;serif" w:hAnsi="Times New Roman;serif"/>
          <w:b w:val="false"/>
          <w:color w:val="000000"/>
          <w:sz w:val="20"/>
        </w:rPr>
        <w:t xml:space="preserve">Investors and other interested parties may also access the Company’s most recent Corporate Responsibility and Sustainability Report outlining its ESG (Environmental, Social, and Governance) initiatives at </w:t>
      </w:r>
      <w:r>
        <w:rPr>
          <w:rFonts w:ascii="Times New Roman;serif" w:hAnsi="Times New Roman;serif"/>
          <w:b w:val="false"/>
          <w:color w:val="0E32E1"/>
          <w:sz w:val="20"/>
          <w:u w:val="single"/>
        </w:rPr>
        <w:t>https://verabradley.com/pages/corporate-responsibility</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Vera Bradley Safe Harbor Statement</w:t>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release are “forward-looking statements” made pursuant to the safe-harbor provisions of the Private Securities Litigation Reform Act of 1995. Such forward-looking statements reflect the Company’s current expectations or beliefs concerning future events and are subject to various risks and uncertainties that may cause actual results to differ materially from those that we expected, including: possible adverse changes in general economic conditions and their impact on consumer confidence and spending; possible inability to predict and respond in a timely manner to changes in consumer demand; possible loss of key management or design associates or inability to attract and retain the talent required for our business; possible inability to maintain and enhance our brands; possible inability to successfully implement the Company’s long-term strategic plan; possible inability to successfully open new stores, close targeted stores, and/or operate current stores as planned; incremental tariffs or adverse changes in the cost of raw materials and labor used to manufacture our products; possible adverse effects resulting from a significant disruption in our distribution facilities; or business disruption caused by pandemics or other macro factors. More information on potential factors that could affect the Company’s financial results is included from time to time in the “Risk Factors” and “Management’s Discussion and Analysis of Financial Condition and Results of Operations” sections of the Company’s public reports filed with the SEC, including the Company’s Form 10-K for the fiscal year ended January 31, 2026. We undertake no obligation to publicly update or revise any forward-looking statement. Financial schedules are attached to this release.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CONTACTS:</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Investors:</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Tom Filandro, Partner</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ICR, Inc</w:t>
      </w:r>
    </w:p>
    <w:p>
      <w:pPr>
        <w:pStyle w:val="TextBody"/>
        <w:bidi w:val="0"/>
        <w:spacing w:lineRule="auto" w:line="312" w:before="0" w:after="0"/>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VeraBradleyIR@icrinc.com</w:t>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val="false"/>
          <w:color w:val="000000"/>
          <w:sz w:val="20"/>
        </w:rPr>
        <w:t>Media:</w:t>
      </w:r>
      <w:r>
        <w:rPr>
          <w:color w:val="000000"/>
        </w:rPr>
        <w:t xml:space="preserve"> </w:t>
      </w:r>
    </w:p>
    <w:p>
      <w:pPr>
        <w:pStyle w:val="TextBody"/>
        <w:bidi w:val="0"/>
        <w:spacing w:lineRule="auto" w:line="268" w:before="0" w:after="0"/>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VeraBradley@icrinc.com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7524" w:type="dxa"/>
        <w:jc w:val="center"/>
        <w:tblInd w:w="0" w:type="dxa"/>
        <w:tblLayout w:type="fixed"/>
        <w:tblCellMar>
          <w:top w:w="28" w:type="dxa"/>
          <w:left w:w="28" w:type="dxa"/>
          <w:bottom w:w="28" w:type="dxa"/>
          <w:right w:w="28" w:type="dxa"/>
        </w:tblCellMar>
      </w:tblPr>
      <w:tblGrid>
        <w:gridCol w:w="1107"/>
        <w:gridCol w:w="973"/>
        <w:gridCol w:w="98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648"/>
        <w:gridCol w:w="1409"/>
        <w:gridCol w:w="142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648"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041" w:type="dxa"/>
        <w:jc w:val="center"/>
        <w:tblInd w:w="0" w:type="dxa"/>
        <w:tblLayout w:type="fixed"/>
        <w:tblCellMar>
          <w:top w:w="28" w:type="dxa"/>
          <w:left w:w="28" w:type="dxa"/>
          <w:bottom w:w="28" w:type="dxa"/>
          <w:right w:w="28" w:type="dxa"/>
        </w:tblCellMar>
      </w:tblPr>
      <w:tblGrid>
        <w:gridCol w:w="2597"/>
        <w:gridCol w:w="2286"/>
        <w:gridCol w:w="2302"/>
        <w:gridCol w:w="109"/>
        <w:gridCol w:w="109"/>
        <w:gridCol w:w="109"/>
        <w:gridCol w:w="211"/>
        <w:gridCol w:w="721"/>
        <w:gridCol w:w="109"/>
        <w:gridCol w:w="109"/>
        <w:gridCol w:w="109"/>
        <w:gridCol w:w="109"/>
        <w:gridCol w:w="211"/>
        <w:gridCol w:w="796"/>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 net of cash disposed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for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asset-based revolving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 under asset-based 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Quarter Fiscal 2027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GAAP to Non-GAAP Reconciliation Thirteen Weeks Ended August 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8774" w:type="dxa"/>
        <w:jc w:val="center"/>
        <w:tblInd w:w="0" w:type="dxa"/>
        <w:tblLayout w:type="fixed"/>
        <w:tblCellMar>
          <w:top w:w="28" w:type="dxa"/>
          <w:left w:w="28" w:type="dxa"/>
          <w:bottom w:w="28" w:type="dxa"/>
          <w:right w:w="28" w:type="dxa"/>
        </w:tblCellMar>
      </w:tblPr>
      <w:tblGrid>
        <w:gridCol w:w="2405"/>
        <w:gridCol w:w="2111"/>
        <w:gridCol w:w="2119"/>
        <w:gridCol w:w="459"/>
        <w:gridCol w:w="1344"/>
        <w:gridCol w:w="336"/>
      </w:tblGrid>
      <w:tr>
        <w:trPr/>
        <w:tc>
          <w:tcPr>
            <w:tcW w:w="2405"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w:t>
            </w:r>
            <w:r>
              <w:rPr>
                <w:rFonts w:ascii="Times New Roman;serif" w:hAnsi="Times New Roman;serif"/>
                <w:b w:val="false"/>
                <w:color w:val="000000"/>
                <w:sz w:val="13"/>
              </w:rPr>
              <w:t>(1)</w:t>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initiatives</w:t>
            </w:r>
            <w:r>
              <w:rPr>
                <w:rFonts w:ascii="Times New Roman;serif" w:hAnsi="Times New Roman;serif"/>
                <w:b w:val="false"/>
                <w:color w:val="000000"/>
                <w:sz w:val="13"/>
              </w:rPr>
              <w:t>(1)</w:t>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adjustments</w:t>
            </w:r>
            <w:r>
              <w:rPr>
                <w:rFonts w:ascii="Times New Roman;serif" w:hAnsi="Times New Roman;serif"/>
                <w:b w:val="false"/>
                <w:color w:val="000000"/>
                <w:sz w:val="13"/>
              </w:rPr>
              <w:t>(2)</w:t>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 Non-GAAP</w:t>
            </w:r>
          </w:p>
        </w:tc>
        <w:tc>
          <w:tcPr>
            <w:tcW w:w="18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 from continuing operations - Non-GAAP</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Recorded in selling, general, and administrative ("SG&amp;A") expenses</w:t>
            </w:r>
          </w:p>
        </w:tc>
      </w:tr>
      <w:tr>
        <w:trPr/>
        <w:tc>
          <w:tcPr>
            <w:tcW w:w="877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Adjusted net income from continuing operations and adjusted diluted EPS are calculated using a statutory tax rate of 26%</w:t>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88"/>
        <w:gridCol w:w="1307"/>
        <w:gridCol w:w="1310"/>
        <w:gridCol w:w="211"/>
        <w:gridCol w:w="721"/>
        <w:gridCol w:w="109"/>
        <w:gridCol w:w="109"/>
        <w:gridCol w:w="109"/>
        <w:gridCol w:w="109"/>
        <w:gridCol w:w="211"/>
        <w:gridCol w:w="616"/>
        <w:gridCol w:w="109"/>
        <w:gridCol w:w="109"/>
        <w:gridCol w:w="109"/>
        <w:gridCol w:w="109"/>
        <w:gridCol w:w="392"/>
        <w:gridCol w:w="1464"/>
        <w:gridCol w:w="202"/>
        <w:gridCol w:w="109"/>
        <w:gridCol w:w="109"/>
        <w:gridCol w:w="109"/>
        <w:gridCol w:w="211"/>
        <w:gridCol w:w="616"/>
        <w:gridCol w:w="157"/>
      </w:tblGrid>
      <w:tr>
        <w:trPr/>
        <w:tc>
          <w:tcPr>
            <w:tcW w:w="15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initiatives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 -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(15,407)</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Quarter Fiscal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GAAP to Non-GAAP Reconciliation Thirteen Weeks Ended August 2,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8518" w:type="dxa"/>
        <w:jc w:val="center"/>
        <w:tblInd w:w="0" w:type="dxa"/>
        <w:tblLayout w:type="fixed"/>
        <w:tblCellMar>
          <w:top w:w="28" w:type="dxa"/>
          <w:left w:w="28" w:type="dxa"/>
          <w:bottom w:w="28" w:type="dxa"/>
          <w:right w:w="28" w:type="dxa"/>
        </w:tblCellMar>
      </w:tblPr>
      <w:tblGrid>
        <w:gridCol w:w="2336"/>
        <w:gridCol w:w="2051"/>
        <w:gridCol w:w="2056"/>
        <w:gridCol w:w="414"/>
        <w:gridCol w:w="1359"/>
        <w:gridCol w:w="302"/>
      </w:tblGrid>
      <w:tr>
        <w:trPr/>
        <w:tc>
          <w:tcPr>
            <w:tcW w:w="2336"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6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6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w:t>
            </w:r>
            <w:r>
              <w:rPr>
                <w:rFonts w:ascii="Times New Roman;serif" w:hAnsi="Times New Roman;serif"/>
                <w:b w:val="false"/>
                <w:color w:val="000000"/>
                <w:sz w:val="13"/>
              </w:rPr>
              <w:t>(1)</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and professional fees</w:t>
            </w:r>
            <w:r>
              <w:rPr>
                <w:rFonts w:ascii="Times New Roman;serif" w:hAnsi="Times New Roman;serif"/>
                <w:b w:val="false"/>
                <w:color w:val="000000"/>
                <w:sz w:val="13"/>
              </w:rPr>
              <w:t>(1)</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initiatives</w:t>
            </w:r>
            <w:r>
              <w:rPr>
                <w:rFonts w:ascii="Times New Roman;serif" w:hAnsi="Times New Roman;serif"/>
                <w:b w:val="false"/>
                <w:color w:val="000000"/>
                <w:sz w:val="13"/>
              </w:rPr>
              <w:t>(1)</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 cancellation fees</w:t>
            </w:r>
            <w:r>
              <w:rPr>
                <w:rFonts w:ascii="Times New Roman;serif" w:hAnsi="Times New Roman;serif"/>
                <w:b w:val="false"/>
                <w:color w:val="000000"/>
                <w:sz w:val="13"/>
              </w:rPr>
              <w:t>(2)</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3" w:type="dxa"/>
            <w:gridSpan w:val="3"/>
            <w:tcBorders/>
            <w:vAlign w:val="center"/>
          </w:tcPr>
          <w:p>
            <w:pPr>
              <w:pStyle w:val="TableContents"/>
              <w:bidi w:val="0"/>
              <w:spacing w:before="0" w:after="283"/>
              <w:jc w:val="left"/>
              <w:rPr>
                <w:sz w:val="4"/>
                <w:szCs w:val="4"/>
              </w:rPr>
            </w:pPr>
            <w:r>
              <w:rPr>
                <w:sz w:val="4"/>
                <w:szCs w:val="4"/>
              </w:rPr>
            </w:r>
          </w:p>
        </w:tc>
        <w:tc>
          <w:tcPr>
            <w:tcW w:w="2075" w:type="dxa"/>
            <w:gridSpan w:val="3"/>
            <w:tcBorders/>
            <w:vAlign w:val="center"/>
          </w:tcPr>
          <w:p>
            <w:pPr>
              <w:pStyle w:val="TableContents"/>
              <w:bidi w:val="0"/>
              <w:spacing w:before="0" w:after="283"/>
              <w:jc w:val="left"/>
              <w:rPr>
                <w:sz w:val="4"/>
                <w:szCs w:val="4"/>
              </w:rPr>
            </w:pPr>
            <w:r>
              <w:rPr>
                <w:sz w:val="4"/>
                <w:szCs w:val="4"/>
              </w:rPr>
            </w:r>
          </w:p>
        </w:tc>
      </w:tr>
      <w:tr>
        <w:trPr/>
        <w:tc>
          <w:tcPr>
            <w:tcW w:w="6443" w:type="dxa"/>
            <w:gridSpan w:val="3"/>
            <w:tcBorders/>
            <w:vAlign w:val="center"/>
          </w:tcPr>
          <w:p>
            <w:pPr>
              <w:pStyle w:val="TableContents"/>
              <w:bidi w:val="0"/>
              <w:spacing w:before="0" w:after="283"/>
              <w:jc w:val="left"/>
              <w:rPr>
                <w:sz w:val="4"/>
                <w:szCs w:val="4"/>
              </w:rPr>
            </w:pPr>
            <w:r>
              <w:rPr>
                <w:sz w:val="4"/>
                <w:szCs w:val="4"/>
              </w:rPr>
            </w:r>
          </w:p>
        </w:tc>
        <w:tc>
          <w:tcPr>
            <w:tcW w:w="2075" w:type="dxa"/>
            <w:gridSpan w:val="3"/>
            <w:tcBorders/>
            <w:vAlign w:val="center"/>
          </w:tcPr>
          <w:p>
            <w:pPr>
              <w:pStyle w:val="TableContents"/>
              <w:bidi w:val="0"/>
              <w:spacing w:before="0" w:after="283"/>
              <w:jc w:val="left"/>
              <w:rPr>
                <w:sz w:val="4"/>
                <w:szCs w:val="4"/>
              </w:rPr>
            </w:pPr>
            <w:r>
              <w:rPr>
                <w:sz w:val="4"/>
                <w:szCs w:val="4"/>
              </w:rPr>
            </w:r>
          </w:p>
        </w:tc>
      </w:tr>
      <w:tr>
        <w:trPr/>
        <w:tc>
          <w:tcPr>
            <w:tcW w:w="6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adjustments</w:t>
            </w:r>
            <w:r>
              <w:rPr>
                <w:rFonts w:ascii="Times New Roman;serif" w:hAnsi="Times New Roman;serif"/>
                <w:b w:val="false"/>
                <w:color w:val="000000"/>
                <w:sz w:val="13"/>
              </w:rPr>
              <w:t>(3)</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 - Non-GAAP</w:t>
            </w:r>
          </w:p>
        </w:tc>
        <w:tc>
          <w:tcPr>
            <w:tcW w:w="1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 from continuing operations - Non-GAAP</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Recorded in SG&amp;A expenses</w:t>
            </w:r>
          </w:p>
        </w:tc>
      </w:tr>
      <w:tr>
        <w:trPr/>
        <w:tc>
          <w:tcPr>
            <w:tcW w:w="851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true up of PO cancellation fees and recorded in cost of goods sold</w:t>
            </w:r>
          </w:p>
        </w:tc>
      </w:tr>
      <w:tr>
        <w:trPr/>
        <w:tc>
          <w:tcPr>
            <w:tcW w:w="851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Adjusted net loss from continuing operations and adjusted diluted EPS are calculated using a statutory tax rate of 26%</w:t>
            </w:r>
          </w:p>
        </w:tc>
      </w:tr>
      <w:tr>
        <w:trPr/>
        <w:tc>
          <w:tcPr>
            <w:tcW w:w="6443" w:type="dxa"/>
            <w:gridSpan w:val="3"/>
            <w:tcBorders/>
            <w:vAlign w:val="center"/>
          </w:tcPr>
          <w:p>
            <w:pPr>
              <w:pStyle w:val="TableContents"/>
              <w:bidi w:val="0"/>
              <w:spacing w:before="0" w:after="283"/>
              <w:jc w:val="left"/>
              <w:rPr>
                <w:sz w:val="4"/>
                <w:szCs w:val="4"/>
              </w:rPr>
            </w:pPr>
            <w:r>
              <w:rPr>
                <w:sz w:val="4"/>
                <w:szCs w:val="4"/>
              </w:rPr>
            </w:r>
          </w:p>
        </w:tc>
        <w:tc>
          <w:tcPr>
            <w:tcW w:w="2075"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99"/>
        <w:gridCol w:w="1319"/>
        <w:gridCol w:w="1322"/>
        <w:gridCol w:w="211"/>
        <w:gridCol w:w="616"/>
        <w:gridCol w:w="109"/>
        <w:gridCol w:w="109"/>
        <w:gridCol w:w="109"/>
        <w:gridCol w:w="109"/>
        <w:gridCol w:w="211"/>
        <w:gridCol w:w="616"/>
        <w:gridCol w:w="109"/>
        <w:gridCol w:w="109"/>
        <w:gridCol w:w="109"/>
        <w:gridCol w:w="109"/>
        <w:gridCol w:w="394"/>
        <w:gridCol w:w="1473"/>
        <w:gridCol w:w="203"/>
        <w:gridCol w:w="109"/>
        <w:gridCol w:w="109"/>
        <w:gridCol w:w="109"/>
        <w:gridCol w:w="211"/>
        <w:gridCol w:w="673"/>
        <w:gridCol w:w="158"/>
      </w:tblGrid>
      <w:tr>
        <w:trPr/>
        <w:tc>
          <w:tcPr>
            <w:tcW w:w="159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4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(16,117)</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initiatives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 cancellation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42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 -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Quarter Fiscal 2027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GAAP to Non-GAAP Reconciliation Twenty-Six Weeks Ended August 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8774" w:type="dxa"/>
        <w:jc w:val="center"/>
        <w:tblInd w:w="0" w:type="dxa"/>
        <w:tblLayout w:type="fixed"/>
        <w:tblCellMar>
          <w:top w:w="28" w:type="dxa"/>
          <w:left w:w="28" w:type="dxa"/>
          <w:bottom w:w="28" w:type="dxa"/>
          <w:right w:w="28" w:type="dxa"/>
        </w:tblCellMar>
      </w:tblPr>
      <w:tblGrid>
        <w:gridCol w:w="2370"/>
        <w:gridCol w:w="2078"/>
        <w:gridCol w:w="2087"/>
        <w:gridCol w:w="538"/>
        <w:gridCol w:w="1306"/>
        <w:gridCol w:w="395"/>
      </w:tblGrid>
      <w:tr>
        <w:trPr/>
        <w:tc>
          <w:tcPr>
            <w:tcW w:w="2370"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w:t>
            </w:r>
            <w:r>
              <w:rPr>
                <w:rFonts w:ascii="Times New Roman;serif" w:hAnsi="Times New Roman;serif"/>
                <w:b w:val="false"/>
                <w:color w:val="000000"/>
                <w:sz w:val="13"/>
              </w:rPr>
              <w:t>(1)</w:t>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and professional fees</w:t>
            </w:r>
            <w:r>
              <w:rPr>
                <w:rFonts w:ascii="Times New Roman;serif" w:hAnsi="Times New Roman;serif"/>
                <w:b w:val="false"/>
                <w:color w:val="000000"/>
                <w:sz w:val="13"/>
              </w:rPr>
              <w:t>(1)</w:t>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sale of Pura Vida</w:t>
            </w:r>
            <w:r>
              <w:rPr>
                <w:rFonts w:ascii="Times New Roman;serif" w:hAnsi="Times New Roman;serif"/>
                <w:b w:val="false"/>
                <w:color w:val="000000"/>
                <w:sz w:val="13"/>
              </w:rPr>
              <w:t>(1)</w:t>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initiatives</w:t>
            </w:r>
            <w:r>
              <w:rPr>
                <w:rFonts w:ascii="Times New Roman;serif" w:hAnsi="Times New Roman;serif"/>
                <w:b w:val="false"/>
                <w:color w:val="000000"/>
                <w:sz w:val="13"/>
              </w:rPr>
              <w:t>(1)</w:t>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6535"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adjustments</w:t>
            </w:r>
            <w:r>
              <w:rPr>
                <w:rFonts w:ascii="Times New Roman;serif" w:hAnsi="Times New Roman;serif"/>
                <w:b w:val="false"/>
                <w:color w:val="000000"/>
                <w:sz w:val="13"/>
              </w:rPr>
              <w:t>(2)</w:t>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 Non-GAAP</w:t>
            </w:r>
          </w:p>
        </w:tc>
        <w:tc>
          <w:tcPr>
            <w:tcW w:w="1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from continuing operations - Non-GAAP</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Recorded in SG&amp;A expenses</w:t>
            </w:r>
          </w:p>
        </w:tc>
      </w:tr>
      <w:tr>
        <w:trPr/>
        <w:tc>
          <w:tcPr>
            <w:tcW w:w="877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Adjusted net income from continuing operations and adjusted diluted EPS are calculated using a statutory tax rate of 26%</w:t>
            </w:r>
          </w:p>
        </w:tc>
      </w:tr>
    </w:tbl>
    <w:tbl>
      <w:tblPr>
        <w:tblW w:w="10205" w:type="dxa"/>
        <w:jc w:val="center"/>
        <w:tblInd w:w="0" w:type="dxa"/>
        <w:tblLayout w:type="fixed"/>
        <w:tblCellMar>
          <w:top w:w="28" w:type="dxa"/>
          <w:left w:w="28" w:type="dxa"/>
          <w:bottom w:w="28" w:type="dxa"/>
          <w:right w:w="28" w:type="dxa"/>
        </w:tblCellMar>
      </w:tblPr>
      <w:tblGrid>
        <w:gridCol w:w="1420"/>
        <w:gridCol w:w="1118"/>
        <w:gridCol w:w="1121"/>
        <w:gridCol w:w="272"/>
        <w:gridCol w:w="932"/>
        <w:gridCol w:w="140"/>
        <w:gridCol w:w="109"/>
        <w:gridCol w:w="109"/>
        <w:gridCol w:w="109"/>
        <w:gridCol w:w="308"/>
        <w:gridCol w:w="901"/>
        <w:gridCol w:w="159"/>
        <w:gridCol w:w="109"/>
        <w:gridCol w:w="109"/>
        <w:gridCol w:w="109"/>
        <w:gridCol w:w="357"/>
        <w:gridCol w:w="1324"/>
        <w:gridCol w:w="184"/>
        <w:gridCol w:w="109"/>
        <w:gridCol w:w="109"/>
        <w:gridCol w:w="109"/>
        <w:gridCol w:w="211"/>
        <w:gridCol w:w="616"/>
        <w:gridCol w:w="161"/>
      </w:tblGrid>
      <w:tr>
        <w:trPr/>
        <w:tc>
          <w:tcPr>
            <w:tcW w:w="142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Vera Bradley 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Vera Bradley Indirect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19,789 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(27,244)</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fees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associated with sale of Pura Vida</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initiatives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 - Non-GAAP</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20,135 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Quarter Fiscal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GAAP to Non-GAAP Reconciliation Twenty-Six Weeks Ended August 2,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8517" w:type="dxa"/>
        <w:jc w:val="center"/>
        <w:tblInd w:w="0" w:type="dxa"/>
        <w:tblLayout w:type="fixed"/>
        <w:tblCellMar>
          <w:top w:w="28" w:type="dxa"/>
          <w:left w:w="28" w:type="dxa"/>
          <w:bottom w:w="28" w:type="dxa"/>
          <w:right w:w="28" w:type="dxa"/>
        </w:tblCellMar>
      </w:tblPr>
      <w:tblGrid>
        <w:gridCol w:w="2269"/>
        <w:gridCol w:w="1991"/>
        <w:gridCol w:w="2000"/>
        <w:gridCol w:w="410"/>
        <w:gridCol w:w="1549"/>
        <w:gridCol w:w="298"/>
      </w:tblGrid>
      <w:tr>
        <w:trPr/>
        <w:tc>
          <w:tcPr>
            <w:tcW w:w="2269"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6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(22,969)</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w:t>
            </w:r>
            <w:r>
              <w:rPr>
                <w:rFonts w:ascii="Times New Roman;serif" w:hAnsi="Times New Roman;serif"/>
                <w:b w:val="false"/>
                <w:color w:val="000000"/>
                <w:sz w:val="13"/>
              </w:rPr>
              <w:t>(1)</w:t>
            </w:r>
          </w:p>
        </w:tc>
        <w:tc>
          <w:tcPr>
            <w:tcW w:w="1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and professional fees</w:t>
            </w:r>
            <w:r>
              <w:rPr>
                <w:rFonts w:ascii="Times New Roman;serif" w:hAnsi="Times New Roman;serif"/>
                <w:b w:val="false"/>
                <w:color w:val="000000"/>
                <w:sz w:val="13"/>
              </w:rPr>
              <w:t>(2)</w:t>
            </w:r>
          </w:p>
        </w:tc>
        <w:tc>
          <w:tcPr>
            <w:tcW w:w="1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PPE impairment charges</w:t>
            </w:r>
            <w:r>
              <w:rPr>
                <w:rFonts w:ascii="Times New Roman;serif" w:hAnsi="Times New Roman;serif"/>
                <w:b w:val="false"/>
                <w:color w:val="000000"/>
                <w:sz w:val="13"/>
              </w:rPr>
              <w:t>(1)</w:t>
            </w:r>
          </w:p>
        </w:tc>
        <w:tc>
          <w:tcPr>
            <w:tcW w:w="1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sale of Pura Vida</w:t>
            </w:r>
            <w:r>
              <w:rPr>
                <w:rFonts w:ascii="Times New Roman;serif" w:hAnsi="Times New Roman;serif"/>
                <w:b w:val="false"/>
                <w:color w:val="000000"/>
                <w:sz w:val="13"/>
              </w:rPr>
              <w:t>(1)</w:t>
            </w:r>
          </w:p>
        </w:tc>
        <w:tc>
          <w:tcPr>
            <w:tcW w:w="1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 cancellation fees</w:t>
            </w:r>
            <w:r>
              <w:rPr>
                <w:rFonts w:ascii="Times New Roman;serif" w:hAnsi="Times New Roman;serif"/>
                <w:b w:val="false"/>
                <w:color w:val="000000"/>
                <w:sz w:val="13"/>
              </w:rPr>
              <w:t>(3)</w:t>
            </w:r>
          </w:p>
        </w:tc>
        <w:tc>
          <w:tcPr>
            <w:tcW w:w="1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initiatives</w:t>
            </w:r>
            <w:r>
              <w:rPr>
                <w:rFonts w:ascii="Times New Roman;serif" w:hAnsi="Times New Roman;serif"/>
                <w:b w:val="false"/>
                <w:color w:val="000000"/>
                <w:sz w:val="13"/>
              </w:rPr>
              <w:t>(1)</w:t>
            </w:r>
          </w:p>
        </w:tc>
        <w:tc>
          <w:tcPr>
            <w:tcW w:w="1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write-off associated with sale of Pura Vida</w:t>
            </w:r>
            <w:r>
              <w:rPr>
                <w:rFonts w:ascii="Times New Roman;serif" w:hAnsi="Times New Roman;serif"/>
                <w:b w:val="false"/>
                <w:color w:val="000000"/>
                <w:sz w:val="13"/>
              </w:rPr>
              <w:t>(3)</w:t>
            </w:r>
          </w:p>
        </w:tc>
        <w:tc>
          <w:tcPr>
            <w:tcW w:w="1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adjustments</w:t>
            </w:r>
            <w:r>
              <w:rPr>
                <w:rFonts w:ascii="Times New Roman;serif" w:hAnsi="Times New Roman;serif"/>
                <w:b w:val="false"/>
                <w:color w:val="000000"/>
                <w:sz w:val="13"/>
              </w:rPr>
              <w:t>(4)</w:t>
            </w:r>
          </w:p>
        </w:tc>
        <w:tc>
          <w:tcPr>
            <w:tcW w:w="1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 - Non-GAAP</w:t>
            </w:r>
          </w:p>
        </w:tc>
        <w:tc>
          <w:tcPr>
            <w:tcW w:w="1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(10,581)</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 from continuing operations - Non-GAAP</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Recorded in SG&amp;A expenses</w:t>
            </w:r>
          </w:p>
        </w:tc>
      </w:tr>
      <w:tr>
        <w:trPr/>
        <w:tc>
          <w:tcPr>
            <w:tcW w:w="851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$555 recorded in cost of goods sold and $1,008 recorded in SG&amp;A expenses</w:t>
            </w:r>
          </w:p>
        </w:tc>
      </w:tr>
      <w:tr>
        <w:trPr/>
        <w:tc>
          <w:tcPr>
            <w:tcW w:w="851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Recorded in cost of goods sold</w:t>
            </w:r>
          </w:p>
        </w:tc>
      </w:tr>
      <w:tr>
        <w:trPr/>
        <w:tc>
          <w:tcPr>
            <w:tcW w:w="851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Adjusted net loss from continuing operations and adjusted diluted EPS are calculated using a statutory tax rate of 26%</w:t>
            </w:r>
          </w:p>
        </w:tc>
      </w:tr>
    </w:tbl>
    <w:tbl>
      <w:tblPr>
        <w:tblW w:w="10205" w:type="dxa"/>
        <w:jc w:val="center"/>
        <w:tblInd w:w="0" w:type="dxa"/>
        <w:tblLayout w:type="fixed"/>
        <w:tblCellMar>
          <w:top w:w="28" w:type="dxa"/>
          <w:left w:w="28" w:type="dxa"/>
          <w:bottom w:w="28" w:type="dxa"/>
          <w:right w:w="28" w:type="dxa"/>
        </w:tblCellMar>
      </w:tblPr>
      <w:tblGrid>
        <w:gridCol w:w="1401"/>
        <w:gridCol w:w="1096"/>
        <w:gridCol w:w="1099"/>
        <w:gridCol w:w="290"/>
        <w:gridCol w:w="849"/>
        <w:gridCol w:w="150"/>
        <w:gridCol w:w="109"/>
        <w:gridCol w:w="109"/>
        <w:gridCol w:w="109"/>
        <w:gridCol w:w="305"/>
        <w:gridCol w:w="893"/>
        <w:gridCol w:w="157"/>
        <w:gridCol w:w="109"/>
        <w:gridCol w:w="109"/>
        <w:gridCol w:w="109"/>
        <w:gridCol w:w="353"/>
        <w:gridCol w:w="1307"/>
        <w:gridCol w:w="182"/>
        <w:gridCol w:w="109"/>
        <w:gridCol w:w="109"/>
        <w:gridCol w:w="109"/>
        <w:gridCol w:w="211"/>
        <w:gridCol w:w="769"/>
        <w:gridCol w:w="162"/>
      </w:tblGrid>
      <w:tr>
        <w:trPr/>
        <w:tc>
          <w:tcPr>
            <w:tcW w:w="140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Vera Bradley 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Vera Bradley Indirect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(30,418)</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(22,449)</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fees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PPE impairment charges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associated with sale of Pura Vida</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 cancellation fees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initiatives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write-off associated with sale of Pura Vida</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 - Non-GAAP</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(25,016)</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3981</Words>
  <Characters>23121</Characters>
  <CharactersWithSpaces>26631</CharactersWithSpaces>
  <Paragraphs>804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