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72026_080451.xml.htm"/>
      <w:bookmarkStart w:id="1" w:name="ksform404072026_0804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Bickley 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12420 STONEBRIDGE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 Bradley,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1,210,797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3.39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1,195,332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subject to vesting and forfeiture.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fulfill tax withholding obligations with respect to the vesting of a previously granted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Alyson Bohren, attorney-in-fact for Ian Bickley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468" TargetMode="External"/><Relationship Id="rId5" Type="http://schemas.openxmlformats.org/officeDocument/2006/relationships/hyperlink" Target="http://www.sec.gov/cgi-bin/browse-edgar?action=getcompany&amp;CIK=000149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3300</Characters>
  <CharactersWithSpaces>3837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