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4,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2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3764280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Indiana</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27-2935063</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2208 Production Road,</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Fort Wayne, Indiana</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46808</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(877) 708-8372</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registrant had 40,603,279 shares of its common stock outstanding as of June 12, 2013.</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80" w:type="dxa"/>
            <w:vAlign w:val="bottom"/>
            <w:gridSpan w:val="7"/>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19"/>
                <w:szCs w:val="19"/>
                <w:color w:val="auto"/>
              </w:rPr>
            </w:pPr>
          </w:p>
        </w:tc>
      </w:tr>
      <w:tr>
        <w:trPr>
          <w:trHeight w:val="380"/>
        </w:trPr>
        <w:tc>
          <w:tcPr>
            <w:tcW w:w="3000" w:type="dxa"/>
            <w:vAlign w:val="bottom"/>
            <w:tcBorders>
              <w:bottom w:val="single" w:sz="8" w:color="0000EE"/>
            </w:tcBorders>
            <w:gridSpan w:val="8"/>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686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r>
      <w:tr>
        <w:trPr>
          <w:trHeight w:val="304"/>
        </w:trPr>
        <w:tc>
          <w:tcPr>
            <w:tcW w:w="98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14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42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May 4, 2013, and February 2, 2013</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7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Income for the Thirteen Weeks Ended May 4, 2013, and April 28, 2012</w:t>
              </w:r>
            </w:hyperlink>
          </w:p>
        </w:tc>
        <w:tc>
          <w:tcPr>
            <w:tcW w:w="2420" w:type="dxa"/>
            <w:vAlign w:val="bottom"/>
            <w:gridSpan w:val="3"/>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942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Income for the Thirteen Weeks Ended May 4, 2013, and April 28, 2012</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7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Cash Flows for the Thirteen Weeks Ended May 4, 2013, and April 28, 2012</w:t>
              </w:r>
            </w:hyperlink>
          </w:p>
        </w:tc>
        <w:tc>
          <w:tcPr>
            <w:tcW w:w="84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Pr>
          <w:p>
            <w:pPr>
              <w:spacing w:after="0"/>
              <w:rPr>
                <w:sz w:val="24"/>
                <w:szCs w:val="24"/>
                <w:color w:val="auto"/>
              </w:rPr>
            </w:pPr>
          </w:p>
        </w:tc>
        <w:tc>
          <w:tcPr>
            <w:tcW w:w="33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the Consolidated Financial Statements</w:t>
              </w:r>
            </w:hyperlink>
          </w:p>
        </w:tc>
        <w:tc>
          <w:tcPr>
            <w:tcW w:w="6080" w:type="dxa"/>
            <w:vAlign w:val="bottom"/>
            <w:gridSpan w:val="7"/>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520" w:type="dxa"/>
            <w:vAlign w:val="bottom"/>
            <w:gridSpan w:val="2"/>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2.</w:t>
              </w:r>
            </w:hyperlink>
          </w:p>
        </w:tc>
        <w:tc>
          <w:tcPr>
            <w:tcW w:w="9340" w:type="dxa"/>
            <w:vAlign w:val="bottom"/>
            <w:gridSpan w:val="14"/>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6320" w:type="dxa"/>
            <w:vAlign w:val="bottom"/>
            <w:tcBorders>
              <w:top w:val="single" w:sz="8" w:color="0000EE"/>
            </w:tcBorders>
            <w:gridSpan w:val="10"/>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Quantitative and Qualitative Disclosures About Market Risk</w:t>
              </w:r>
            </w:hyperlink>
          </w:p>
        </w:tc>
        <w:tc>
          <w:tcPr>
            <w:tcW w:w="3020" w:type="dxa"/>
            <w:vAlign w:val="bottom"/>
            <w:gridSpan w:val="4"/>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86"/>
              </w:rPr>
            </w:pPr>
            <w:hyperlink w:anchor="page20">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5"/>
          </w:tcPr>
          <w:p>
            <w:pPr>
              <w:spacing w:after="0"/>
              <w:rPr>
                <w:sz w:val="24"/>
                <w:szCs w:val="24"/>
                <w:color w:val="auto"/>
              </w:rPr>
            </w:pPr>
          </w:p>
        </w:tc>
        <w:tc>
          <w:tcPr>
            <w:tcW w:w="5060" w:type="dxa"/>
            <w:vAlign w:val="bottom"/>
            <w:gridSpan w:val="6"/>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9860" w:type="dxa"/>
            <w:vAlign w:val="bottom"/>
            <w:gridSpan w:val="1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OTHER INFORMATION</w:t>
              </w:r>
            </w:hyperlink>
          </w:p>
        </w:tc>
        <w:tc>
          <w:tcPr>
            <w:tcW w:w="1460" w:type="dxa"/>
            <w:vAlign w:val="bottom"/>
          </w:tcPr>
          <w:p>
            <w:pPr>
              <w:spacing w:after="0"/>
              <w:rPr>
                <w:sz w:val="24"/>
                <w:szCs w:val="24"/>
                <w:color w:val="auto"/>
              </w:rPr>
            </w:pPr>
          </w:p>
        </w:tc>
      </w:tr>
      <w:tr>
        <w:trPr>
          <w:trHeight w:val="304"/>
        </w:trPr>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1A. Risk Factors</w:t>
              </w:r>
            </w:hyperlink>
          </w:p>
        </w:tc>
        <w:tc>
          <w:tcPr>
            <w:tcW w:w="1140" w:type="dxa"/>
            <w:vAlign w:val="bottom"/>
            <w:tcBorders>
              <w:top w:val="single" w:sz="8" w:color="0000EE"/>
            </w:tcBorders>
            <w:gridSpan w:val="2"/>
          </w:tcPr>
          <w:p>
            <w:pPr>
              <w:spacing w:after="0"/>
              <w:rPr>
                <w:sz w:val="24"/>
                <w:szCs w:val="24"/>
                <w:color w:val="auto"/>
              </w:rPr>
            </w:pPr>
          </w:p>
        </w:tc>
        <w:tc>
          <w:tcPr>
            <w:tcW w:w="7160" w:type="dxa"/>
            <w:vAlign w:val="bottom"/>
            <w:gridSpan w:val="10"/>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620" w:type="dxa"/>
            <w:vAlign w:val="bottom"/>
            <w:tcBorders>
              <w:bottom w:val="single" w:sz="8" w:color="0000EE"/>
            </w:tcBorders>
          </w:tcPr>
          <w:p>
            <w:pPr>
              <w:ind w:left="20"/>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w:t>
              </w:r>
            </w:hyperlink>
          </w:p>
        </w:tc>
        <w:tc>
          <w:tcPr>
            <w:tcW w:w="8720" w:type="dxa"/>
            <w:vAlign w:val="bottom"/>
            <w:gridSpan w:val="13"/>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83"/>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gridSpan w:val="10"/>
          </w:tcPr>
          <w:p>
            <w:pPr>
              <w:ind w:left="516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w:t>
      </w:r>
      <w:r>
        <w:rPr>
          <w:rFonts w:ascii="Arial" w:cs="Arial" w:eastAsia="Arial" w:hAnsi="Arial"/>
          <w:sz w:val="14"/>
          <w:szCs w:val="14"/>
          <w:b w:val="1"/>
          <w:bCs w:val="1"/>
          <w:color w:val="auto"/>
        </w:rPr>
        <w:t>LOOKING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February 2, 2013.</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May 4,</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61"/>
        </w:trPr>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34,811</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138,949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131,562</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11,016</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2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195,007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198,340</w:t>
            </w: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77,211</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276,289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277,319</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17,768</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14,853</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employment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23"/>
        </w:trPr>
        <w:tc>
          <w:tcPr>
            <w:tcW w:w="962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52,699</w:t>
            </w: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15,037</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83,064</w:t>
            </w:r>
          </w:p>
        </w:tc>
        <w:tc>
          <w:tcPr>
            <w:tcW w:w="0" w:type="dxa"/>
            <w:vAlign w:val="bottom"/>
          </w:tcPr>
          <w:p>
            <w:pPr>
              <w:spacing w:after="0"/>
              <w:rPr>
                <w:sz w:val="1"/>
                <w:szCs w:val="1"/>
                <w:color w:val="auto"/>
              </w:rPr>
            </w:pPr>
          </w:p>
        </w:tc>
      </w:tr>
      <w:tr>
        <w:trPr>
          <w:trHeight w:val="221"/>
        </w:trPr>
        <w:tc>
          <w:tcPr>
            <w:tcW w:w="9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Common stock, without par value; 200,000 shares authorized, 40,603 and 40,563 shares issued and outstanding, respectively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75,675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128,379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119,190</w:t>
            </w:r>
          </w:p>
        </w:tc>
        <w:tc>
          <w:tcPr>
            <w:tcW w:w="0" w:type="dxa"/>
            <w:vAlign w:val="bottom"/>
          </w:tcPr>
          <w:p>
            <w:pPr>
              <w:spacing w:after="0"/>
              <w:rPr>
                <w:sz w:val="1"/>
                <w:szCs w:val="1"/>
                <w:color w:val="auto"/>
              </w:rPr>
            </w:pPr>
          </w:p>
        </w:tc>
      </w:tr>
      <w:tr>
        <w:trPr>
          <w:trHeight w:val="223"/>
        </w:trPr>
        <w:tc>
          <w:tcPr>
            <w:tcW w:w="9620" w:type="dxa"/>
            <w:vAlign w:val="bottom"/>
          </w:tcPr>
          <w:p>
            <w:pPr>
              <w:ind w:left="44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203,546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276,289</w:t>
            </w: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277,319</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15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Thirteen Weeks Ended</w:t>
            </w:r>
          </w:p>
        </w:tc>
      </w:tr>
      <w:tr>
        <w:trPr>
          <w:trHeight w:val="129"/>
        </w:trPr>
        <w:tc>
          <w:tcPr>
            <w:tcW w:w="9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98"/>
              </w:rPr>
              <w:t>May 4,</w:t>
            </w: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28,</w:t>
            </w:r>
          </w:p>
        </w:tc>
        <w:tc>
          <w:tcPr>
            <w:tcW w:w="100" w:type="dxa"/>
            <w:vAlign w:val="bottom"/>
          </w:tcPr>
          <w:p>
            <w:pPr>
              <w:spacing w:after="0"/>
              <w:rPr>
                <w:sz w:val="11"/>
                <w:szCs w:val="11"/>
                <w:color w:val="auto"/>
              </w:rPr>
            </w:pPr>
          </w:p>
        </w:tc>
      </w:tr>
      <w:tr>
        <w:trPr>
          <w:trHeight w:val="161"/>
        </w:trPr>
        <w:tc>
          <w:tcPr>
            <w:tcW w:w="9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9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123,033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117,201</w:t>
            </w:r>
          </w:p>
        </w:tc>
        <w:tc>
          <w:tcPr>
            <w:tcW w:w="100" w:type="dxa"/>
            <w:vAlign w:val="bottom"/>
            <w:shd w:val="clear" w:color="auto" w:fill="CCEEFF"/>
          </w:tcPr>
          <w:p>
            <w:pPr>
              <w:spacing w:after="0"/>
              <w:rPr>
                <w:sz w:val="18"/>
                <w:szCs w:val="18"/>
                <w:color w:val="auto"/>
              </w:rPr>
            </w:pPr>
          </w:p>
        </w:tc>
      </w:tr>
      <w:tr>
        <w:trPr>
          <w:trHeight w:val="223"/>
        </w:trPr>
        <w:tc>
          <w:tcPr>
            <w:tcW w:w="96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51,899</w:t>
            </w:r>
          </w:p>
        </w:tc>
        <w:tc>
          <w:tcPr>
            <w:tcW w:w="100" w:type="dxa"/>
            <w:vAlign w:val="bottom"/>
          </w:tcPr>
          <w:p>
            <w:pPr>
              <w:spacing w:after="0"/>
              <w:rPr>
                <w:sz w:val="19"/>
                <w:szCs w:val="19"/>
                <w:color w:val="auto"/>
              </w:rPr>
            </w:pPr>
          </w:p>
        </w:tc>
      </w:tr>
      <w:tr>
        <w:trPr>
          <w:trHeight w:val="216"/>
        </w:trPr>
        <w:tc>
          <w:tcPr>
            <w:tcW w:w="9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65,302</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47,191</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8"/>
                <w:szCs w:val="18"/>
                <w:color w:val="auto"/>
              </w:rPr>
            </w:pPr>
          </w:p>
        </w:tc>
      </w:tr>
      <w:tr>
        <w:trPr>
          <w:trHeight w:val="221"/>
        </w:trPr>
        <w:tc>
          <w:tcPr>
            <w:tcW w:w="968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20,810</w:t>
            </w:r>
          </w:p>
        </w:tc>
        <w:tc>
          <w:tcPr>
            <w:tcW w:w="100" w:type="dxa"/>
            <w:vAlign w:val="bottom"/>
          </w:tcPr>
          <w:p>
            <w:pPr>
              <w:spacing w:after="0"/>
              <w:rPr>
                <w:sz w:val="19"/>
                <w:szCs w:val="19"/>
                <w:color w:val="auto"/>
              </w:rPr>
            </w:pPr>
          </w:p>
        </w:tc>
      </w:tr>
      <w:tr>
        <w:trPr>
          <w:trHeight w:val="218"/>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r>
      <w:tr>
        <w:trPr>
          <w:trHeight w:val="221"/>
        </w:trPr>
        <w:tc>
          <w:tcPr>
            <w:tcW w:w="968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15,049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20,619</w:t>
            </w:r>
          </w:p>
        </w:tc>
        <w:tc>
          <w:tcPr>
            <w:tcW w:w="100" w:type="dxa"/>
            <w:vAlign w:val="bottom"/>
          </w:tcPr>
          <w:p>
            <w:pPr>
              <w:spacing w:after="0"/>
              <w:rPr>
                <w:sz w:val="19"/>
                <w:szCs w:val="19"/>
                <w:color w:val="auto"/>
              </w:rPr>
            </w:pPr>
          </w:p>
        </w:tc>
      </w:tr>
      <w:tr>
        <w:trPr>
          <w:trHeight w:val="218"/>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100" w:type="dxa"/>
            <w:vAlign w:val="bottom"/>
            <w:shd w:val="clear" w:color="auto" w:fill="CCEEFF"/>
          </w:tcPr>
          <w:p>
            <w:pPr>
              <w:spacing w:after="0"/>
              <w:rPr>
                <w:sz w:val="18"/>
                <w:szCs w:val="18"/>
                <w:color w:val="auto"/>
              </w:rPr>
            </w:pPr>
          </w:p>
        </w:tc>
      </w:tr>
      <w:tr>
        <w:trPr>
          <w:trHeight w:val="222"/>
        </w:trPr>
        <w:tc>
          <w:tcPr>
            <w:tcW w:w="96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9,189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12,626</w:t>
            </w:r>
          </w:p>
        </w:tc>
        <w:tc>
          <w:tcPr>
            <w:tcW w:w="10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40,515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40,547</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r>
      <w:tr>
        <w:trPr>
          <w:trHeight w:val="222"/>
        </w:trPr>
        <w:tc>
          <w:tcPr>
            <w:tcW w:w="96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2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May 4,</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April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22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7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$ 9,189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37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$ 8,934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3"/>
              </w:rPr>
              <w:t>May 4,</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9,189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and other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14,879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(5,811)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(11,512)</w:t>
            </w:r>
          </w:p>
        </w:tc>
        <w:tc>
          <w:tcPr>
            <w:tcW w:w="0" w:type="dxa"/>
            <w:vAlign w:val="bottom"/>
          </w:tcPr>
          <w:p>
            <w:pPr>
              <w:spacing w:after="0"/>
              <w:rPr>
                <w:sz w:val="1"/>
                <w:szCs w:val="1"/>
                <w:color w:val="auto"/>
              </w:rPr>
            </w:pP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financial-institution debt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Borrowings on financial-institution debt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vendor-financed debt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Tax withholdings for equity compensation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(10,412)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(18,037)</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terms “Company” and “Vera Bradley” refer to Vera Bradley, Inc. and its subsidiaries, except where context requires or where otherwise indicated.</w:t>
      </w:r>
    </w:p>
    <w:p>
      <w:pPr>
        <w:spacing w:after="0" w:line="194" w:lineRule="exact"/>
        <w:rPr>
          <w:rFonts w:ascii="Arial" w:cs="Arial" w:eastAsia="Arial" w:hAnsi="Arial"/>
          <w:sz w:val="18"/>
          <w:szCs w:val="18"/>
          <w:b w:val="1"/>
          <w:bCs w:val="1"/>
          <w:color w:val="auto"/>
        </w:rPr>
      </w:pPr>
    </w:p>
    <w:p>
      <w:pPr>
        <w:ind w:left="46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Vera Bradley is a leading designer, producer, marketer, and retailer of stylish, highly functional accessories primarily for women. The Company’s products include a wide offering of handbags, accessories, and travel and leisure items. The Company generates net revenues by selling products through two reportable segments: Direct and Indirect. The Direct business consists of sales of Vera Bradley products through the Company’s full-price and outlet stores in the United States, department store locations in Japan, its websites, verabradley.com and verabradley.co.jp, and its annual outlet sale in Fort Wayne, Indiana. As of May 4, 2013, the Company operated 72 full-price stores and 13 outlet stores. The Indirect business consists of sales of Vera Bradley products to approximately 3,400 specialty retailers, substantially all of which are located in the United States, as well as select department stores and third party e-commerce sites.</w:t>
      </w:r>
    </w:p>
    <w:p>
      <w:pPr>
        <w:spacing w:after="0" w:line="147"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February 2, 2013, filed with the SEC.</w:t>
      </w:r>
    </w:p>
    <w:p>
      <w:pPr>
        <w:spacing w:after="0" w:line="115"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weeks ended May 4, 2013, are not necessarily indicative of the results to be expected for the full fiscal year.</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May 4, 2013, and April 28, 2012, refer to the thirteen-week periods ended on those dates.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96" w:lineRule="exact"/>
        <w:rPr>
          <w:rFonts w:ascii="Arial" w:cs="Arial" w:eastAsia="Arial" w:hAnsi="Arial"/>
          <w:sz w:val="18"/>
          <w:szCs w:val="18"/>
          <w:b w:val="1"/>
          <w:bCs w:val="1"/>
          <w:color w:val="auto"/>
        </w:rPr>
      </w:pPr>
    </w:p>
    <w:p>
      <w:pPr>
        <w:ind w:left="460" w:right="2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 xml:space="preserve">In February 2013, the Financial Accounting Standards Board (FASB) issued Accounting Standards Update (ASU) 2013-02, </w:t>
      </w:r>
      <w:r>
        <w:rPr>
          <w:rFonts w:ascii="Arial" w:cs="Arial" w:eastAsia="Arial" w:hAnsi="Arial"/>
          <w:sz w:val="15"/>
          <w:szCs w:val="15"/>
          <w:i w:val="1"/>
          <w:iCs w:val="1"/>
          <w:color w:val="auto"/>
        </w:rPr>
        <w:t>Reporting of Amounts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Reclassified Out of Accumulated Other Comprehensive Income </w:t>
      </w:r>
      <w:r>
        <w:rPr>
          <w:rFonts w:ascii="Arial" w:cs="Arial" w:eastAsia="Arial" w:hAnsi="Arial"/>
          <w:sz w:val="15"/>
          <w:szCs w:val="15"/>
          <w:color w:val="auto"/>
        </w:rPr>
        <w:t>(“ASU 2013-02”). This guidance adds new disclosure requirements for items reclassified</w:t>
      </w:r>
      <w:r>
        <w:rPr>
          <w:rFonts w:ascii="Arial" w:cs="Arial" w:eastAsia="Arial" w:hAnsi="Arial"/>
          <w:sz w:val="15"/>
          <w:szCs w:val="15"/>
          <w:i w:val="1"/>
          <w:iCs w:val="1"/>
          <w:color w:val="auto"/>
        </w:rPr>
        <w:t xml:space="preserve"> </w:t>
      </w:r>
      <w:r>
        <w:rPr>
          <w:rFonts w:ascii="Arial" w:cs="Arial" w:eastAsia="Arial" w:hAnsi="Arial"/>
          <w:sz w:val="15"/>
          <w:szCs w:val="15"/>
          <w:color w:val="auto"/>
        </w:rPr>
        <w:t>out of accumulated other comprehensive income. The additional disclosures include: (1) changes in accumulated other comprehensive income balances by component and (2) significant items reclassified out of accumulated other comprehensive income. The changes in accumulated other comprehensive income balance by component will be disaggregated to separately present reclassification adjustments and current-period other comprehensive income. Significant items reclassified out of accumulated other comprehensive income by component are required to be presented either on the face of the statement of income or as separate disclosure in the notes to the financial statements. These additional disclosures may be presented before-tax or net-of tax as long as the income tax benefit or expense attributed to each component of other comprehensive income and reclassification adjustments is presented in the financial statement or in the notes to the financial statements. The guidance is effective for interim and annual periods beginning after December 15, 2012 and should be applied prospectively. The adoption of this standard did not have an impact on the Company’s consolidated financial statements.</w:t>
      </w:r>
    </w:p>
    <w:p>
      <w:pPr>
        <w:spacing w:after="0" w:line="109"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In October 2012, the FASB issued ASU 2012-04,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this standard did not have a material impact on our Interim Condensed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Earnings per share is computed under the provisions of ASC 260, Earnings Per Share. 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The components of basic and diluted earnings per share were as follows (in thousands, except per share data):</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r>
      <w:tr>
        <w:trPr>
          <w:trHeight w:val="129"/>
        </w:trPr>
        <w:tc>
          <w:tcPr>
            <w:tcW w:w="53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88"/>
              </w:rPr>
              <w:t>May 4,</w:t>
            </w:r>
          </w:p>
        </w:tc>
        <w:tc>
          <w:tcPr>
            <w:tcW w:w="5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April 28,</w:t>
            </w:r>
          </w:p>
        </w:tc>
        <w:tc>
          <w:tcPr>
            <w:tcW w:w="100" w:type="dxa"/>
            <w:vAlign w:val="bottom"/>
          </w:tcPr>
          <w:p>
            <w:pPr>
              <w:spacing w:after="0"/>
              <w:rPr>
                <w:sz w:val="11"/>
                <w:szCs w:val="11"/>
                <w:color w:val="auto"/>
              </w:rPr>
            </w:pPr>
          </w:p>
        </w:tc>
      </w:tr>
      <w:tr>
        <w:trPr>
          <w:trHeight w:val="161"/>
        </w:trPr>
        <w:tc>
          <w:tcPr>
            <w:tcW w:w="53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12,626</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40,580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40,515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Weighted-average number of common shares (diluted)</w:t>
            </w:r>
          </w:p>
        </w:tc>
        <w:tc>
          <w:tcPr>
            <w:tcW w:w="1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40,624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40,547</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As of May 4, 2013 and April 28, 2012, the amount of additional shares issuable upon the vesting of restricted stock units that were excluded from the diluted share calculations because they were anti-dilutive were immaterial. As of May 4, 2013, there were no additional shares issuable upon the vesting of restricted stock units that were excluded from the diluted share calculations.</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9"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94"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May 4, 2013, and April 28, 2012, approximated their fair values.</w:t>
      </w:r>
    </w:p>
    <w:p>
      <w:pPr>
        <w:spacing w:after="0" w:line="132"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The carrying amount for the amended and restated credit agreement (“credit agreement”) approximates fair value at May 4, 2013, and April 28, 2012, as the interest rates of these borrowings fluctuate with the market. The credit agreement falls within Level 2 of the fair value hierarchy.</w:t>
      </w:r>
    </w:p>
    <w:p>
      <w:pPr>
        <w:spacing w:after="0" w:line="20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w w:val="98"/>
              </w:rPr>
              <w:t>May 4,</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Work in process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119,184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3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138,949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740" w:type="dxa"/>
            <w:vAlign w:val="bottom"/>
            <w:vMerge w:val="restart"/>
          </w:tcPr>
          <w:p>
            <w:pPr>
              <w:jc w:val="right"/>
              <w:ind w:right="2232"/>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May 4,</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February 2,</w:t>
            </w:r>
          </w:p>
        </w:tc>
      </w:tr>
      <w:tr>
        <w:trPr>
          <w:trHeight w:val="161"/>
        </w:trPr>
        <w:tc>
          <w:tcPr>
            <w:tcW w:w="4320" w:type="dxa"/>
            <w:vAlign w:val="bottom"/>
          </w:tcPr>
          <w:p>
            <w:pPr>
              <w:spacing w:after="0"/>
              <w:rPr>
                <w:sz w:val="14"/>
                <w:szCs w:val="14"/>
                <w:color w:val="auto"/>
              </w:rPr>
            </w:pPr>
          </w:p>
        </w:tc>
        <w:tc>
          <w:tcPr>
            <w:tcW w:w="306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r>
      <w:tr>
        <w:trPr>
          <w:trHeight w:val="210"/>
        </w:trPr>
        <w:tc>
          <w:tcPr>
            <w:tcW w:w="4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Financial-institution debt</w:t>
            </w:r>
          </w:p>
        </w:tc>
        <w:tc>
          <w:tcPr>
            <w:tcW w:w="2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$5,000</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Other borrowings</w:t>
            </w:r>
          </w:p>
        </w:tc>
        <w:tc>
          <w:tcPr>
            <w:tcW w:w="2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15,095</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15,037</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At May 4, 2013, the interest rate on outstanding borrowings under the Company’s $125.0 million amended and restated credit agreement was 1.30%, and the Company had borrowing availability of $120.0 million under the agreement.</w:t>
      </w:r>
    </w:p>
    <w:p>
      <w:pPr>
        <w:spacing w:after="0" w:line="2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2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to estimate the Company’s annual effective tax rate.</w:t>
      </w:r>
    </w:p>
    <w:p>
      <w:pPr>
        <w:spacing w:after="0" w:line="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effective tax rate for the thirteen weeks ended May 4, 2013 was 38.9% which is comparable to 38.8% for the thirteen weeks ended April 28, 2012.</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stock-based compensation under the fair-value recognition provisions of ASC 718, Stock Compensation. Under these provisions, for its awards of restricted stock and restricted stock units, the Company recognizes share-based compensation expense in an amount equal to the fair market value of the underlying stock on the grant date of the respective award.</w:t>
      </w:r>
    </w:p>
    <w:p>
      <w:pPr>
        <w:spacing w:after="0" w:line="140"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2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90" w:lineRule="exact"/>
        <w:rPr>
          <w:rFonts w:ascii="Arial" w:cs="Arial" w:eastAsia="Arial" w:hAnsi="Arial"/>
          <w:sz w:val="18"/>
          <w:szCs w:val="18"/>
          <w:b w:val="1"/>
          <w:bCs w:val="1"/>
          <w:color w:val="auto"/>
        </w:rPr>
      </w:pPr>
    </w:p>
    <w:p>
      <w:pPr>
        <w:ind w:left="4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the thirteen weeks ended May 4, 2013, the Company granted a total of 244,814 time-based and performance-based restricted stock units with an aggregate fair value of $5.8 million to certain employees and non-employee directors under the 2010 Equity and Incentive Plan. During the thirteen weeks ended April 28 2012, the Company granted a total of 174,354 time-based and performance-based restricted stock units with an aggregate fair value of $5.2 million to certain employees and non-employee directors under the 2010 Equity and Incentive Plan. The Company determined the fair value of the awards based on the closing price of the Company’s common stock on the grant date.</w:t>
      </w:r>
    </w:p>
    <w:p>
      <w:pPr>
        <w:spacing w:after="0" w:line="115"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time-based restricted stock units vest and settle in shares of the Company’s common stock, on a one-for-one basis, in equal installments on each of the first three anniversaries of the grant date. The Company is recognizing the expense relating to these units, net of estimated forfeitures, on a straight-line basis over three years. Beginning in fiscal 2014, all restricted stock awards issued to non-employee Directors vest after a one-year period from grant date. The Company is recognizing the expense relating to these units, net of estimated forfeitures, on a straight-line basis over one year.</w:t>
      </w:r>
    </w:p>
    <w:p>
      <w:pPr>
        <w:spacing w:after="0" w:line="113"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 recognizing the expense relating to these units, net of estimated forfeitures and based on the probable outcome of achievement of the net income targets, on a straight-line basis over three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restricted stock unit activity for the period ended May 4, 2013 (units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Time-based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5"/>
          </w:tcPr>
          <w:p>
            <w:pPr>
              <w:ind w:left="240"/>
              <w:spacing w:after="0"/>
              <w:rPr>
                <w:sz w:val="20"/>
                <w:szCs w:val="20"/>
                <w:color w:val="auto"/>
              </w:rPr>
            </w:pPr>
            <w:r>
              <w:rPr>
                <w:rFonts w:ascii="Arial" w:cs="Arial" w:eastAsia="Arial" w:hAnsi="Arial"/>
                <w:sz w:val="14"/>
                <w:szCs w:val="14"/>
                <w:b w:val="1"/>
                <w:bCs w:val="1"/>
                <w:color w:val="auto"/>
              </w:rPr>
              <w:t>Performance-based</w:t>
            </w: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Restricted Stock Units</w:t>
            </w:r>
          </w:p>
        </w:tc>
        <w:tc>
          <w:tcPr>
            <w:tcW w:w="1880" w:type="dxa"/>
            <w:vAlign w:val="bottom"/>
            <w:gridSpan w:val="5"/>
          </w:tcPr>
          <w:p>
            <w:pPr>
              <w:ind w:left="160"/>
              <w:spacing w:after="0"/>
              <w:rPr>
                <w:sz w:val="20"/>
                <w:szCs w:val="20"/>
                <w:color w:val="auto"/>
              </w:rPr>
            </w:pPr>
            <w:r>
              <w:rPr>
                <w:rFonts w:ascii="Arial" w:cs="Arial" w:eastAsia="Arial" w:hAnsi="Arial"/>
                <w:sz w:val="14"/>
                <w:szCs w:val="14"/>
                <w:b w:val="1"/>
                <w:bCs w:val="1"/>
                <w:color w:val="auto"/>
              </w:rPr>
              <w:t>Restricted Stock Units</w:t>
            </w:r>
          </w:p>
        </w:tc>
      </w:tr>
      <w:tr>
        <w:trPr>
          <w:trHeight w:val="129"/>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6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Grant</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Date Fair</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Number of</w:t>
            </w:r>
          </w:p>
        </w:tc>
        <w:tc>
          <w:tcPr>
            <w:tcW w:w="120" w:type="dxa"/>
            <w:vAlign w:val="bottom"/>
          </w:tcPr>
          <w:p>
            <w:pPr>
              <w:spacing w:after="0"/>
              <w:rPr>
                <w:sz w:val="12"/>
                <w:szCs w:val="12"/>
                <w:color w:val="auto"/>
              </w:rPr>
            </w:pPr>
          </w:p>
        </w:tc>
        <w:tc>
          <w:tcPr>
            <w:tcW w:w="11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Value</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Units</w:t>
            </w:r>
          </w:p>
        </w:tc>
        <w:tc>
          <w:tcPr>
            <w:tcW w:w="12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(per unit)</w:t>
            </w: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Units</w:t>
            </w:r>
          </w:p>
        </w:tc>
        <w:tc>
          <w:tcPr>
            <w:tcW w:w="36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(per unit)</w:t>
            </w: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 outstanding at February 2, 2013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center"/>
              <w:ind w:left="18"/>
              <w:spacing w:after="0"/>
              <w:rPr>
                <w:sz w:val="20"/>
                <w:szCs w:val="20"/>
                <w:color w:val="auto"/>
              </w:rPr>
            </w:pPr>
            <w:r>
              <w:rPr>
                <w:rFonts w:ascii="Arial" w:cs="Arial" w:eastAsia="Arial" w:hAnsi="Arial"/>
                <w:sz w:val="18"/>
                <w:szCs w:val="18"/>
                <w:color w:val="auto"/>
                <w:w w:val="88"/>
              </w:rPr>
              <w:t>29.62</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23.72</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105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23.63</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36.14</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Forfeited</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outstanding at May 4, 2013</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27.80</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181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26.13</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May 4, 2013, there was $8.3 million of total unrecognized compensation cost, net of estimated forfeitures, related to nonvested restricted stock units.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 cost is expected to be recognized over a weighted average period of 2.3 years.</w:t>
      </w:r>
    </w:p>
    <w:p>
      <w:pPr>
        <w:spacing w:after="0" w:line="28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jc w:val="both"/>
        <w:ind w:left="4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2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106" w:lineRule="exact"/>
        <w:rPr>
          <w:rFonts w:ascii="Arial" w:cs="Arial" w:eastAsia="Arial" w:hAnsi="Arial"/>
          <w:sz w:val="18"/>
          <w:szCs w:val="18"/>
          <w:b w:val="1"/>
          <w:bCs w:val="1"/>
          <w:color w:val="auto"/>
        </w:rPr>
      </w:pPr>
    </w:p>
    <w:p>
      <w:pPr>
        <w:ind w:left="460"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Indirect segment represents revenues generated through the distribution of Company-branded products to approximately 3,400 specialty Indirect retailers and department store partners across the United States. The Direct segment includes the Company’s full-price and outlet stores, department store locations in Japan, the Company’s websites, verabradley.com and verabradley.co.jp, and the annual outlet sale. Revenues generated through this segment are driven through the sale of Company-branded products from Vera Bradley to end consumers.</w:t>
      </w:r>
    </w:p>
    <w:p>
      <w:pPr>
        <w:spacing w:after="0" w:line="112" w:lineRule="exact"/>
        <w:rPr>
          <w:rFonts w:ascii="Arial" w:cs="Arial" w:eastAsia="Arial" w:hAnsi="Arial"/>
          <w:sz w:val="18"/>
          <w:szCs w:val="18"/>
          <w:b w:val="1"/>
          <w:bCs w:val="1"/>
          <w:color w:val="auto"/>
        </w:rPr>
      </w:pPr>
    </w:p>
    <w:p>
      <w:pPr>
        <w:ind w:left="460"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consisted of the following (in thousands):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8"/>
              </w:rPr>
              <w:t>May 4,</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net revenues:</w:t>
            </w:r>
          </w:p>
        </w:tc>
        <w:tc>
          <w:tcPr>
            <w:tcW w:w="3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Direct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73,687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3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57,976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840"/>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123,033</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117,201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Direct</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16,965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3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840"/>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34,704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34,704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(19,514)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340" w:type="dxa"/>
            <w:vAlign w:val="bottom"/>
            <w:vMerge w:val="restart"/>
          </w:tcPr>
          <w:p>
            <w:pPr>
              <w:jc w:val="right"/>
              <w:ind w:right="229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weeks ended May 4, 2013, and April 28, 2012. The following discussion should be read in conjunction with our Annual Report on Form 10-K for the fiscal year ended February 2, 2013, and our unaudited consolidated financial statements and the related notes included in Item 1 of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Strategic Progress</w:t>
      </w:r>
    </w:p>
    <w:p>
      <w:pPr>
        <w:spacing w:after="0" w:line="9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successfully opened seven new full-price and two new outlet stores during the first quarter in both current and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grew traffic 23% at VeraBradley.com.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successfully launched our expanded Baby line in March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announced our relationship with Disney Theme Parks produce Disney-inspired handbags and accessories to be sold in Disney parks.</w:t>
      </w:r>
    </w:p>
    <w:p>
      <w:pPr>
        <w:spacing w:after="0" w:line="10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Financial Highlights</w:t>
      </w:r>
    </w:p>
    <w:p>
      <w:pPr>
        <w:spacing w:after="0" w:line="96"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revenues increased 5.0% to $123.0 million in the first quarter of fiscal 2014 compared to $117.2 million in the first quarter of fiscal 2013.</w:t>
      </w:r>
    </w:p>
    <w:p>
      <w:pPr>
        <w:spacing w:after="0" w:line="113" w:lineRule="exact"/>
        <w:rPr>
          <w:rFonts w:ascii="Arial" w:cs="Arial" w:eastAsia="Arial" w:hAnsi="Arial"/>
          <w:sz w:val="16"/>
          <w:szCs w:val="16"/>
          <w:color w:val="auto"/>
        </w:rPr>
      </w:pPr>
    </w:p>
    <w:p>
      <w:pPr>
        <w:ind w:left="1480" w:right="36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Direct segment sales increased 24.4% to $73.7 million in the first quarter of fiscal 2014 compared to $59.2 million in the first quarter of fiscal 2013. Comparable store net sales for the first quarter of fiscal 2014 increased 0.9%.</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Indirect segment sales decreased 14.9% to $49.3 million in the first quarter of fiscal 2014 compared to $58.0 million in the first quarter of fiscal 2013.</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was $68.5 million (55.6% of net revenue) in the first quarter of fiscal 2014 compared to $65.3 million (55.7% of net revenue) in the first quarter of fiscal 2013.</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Selling, general and administrative expenses were $55.2 million (44.9% of net revenue) in the first quarter of fiscal 2014 compared to $47.2 million (40.3% of net revenue) in the first quarter of fiscal 2013.</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was $15.2 million (12.3% of net revenue) in the first quarter of fiscal 2014 compared to $20.8 million (17.8% of net revenue) in the first quarter of fiscal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was $9.2 million in the first quarter of fiscal 2014 compared to $12.6 million in the first quarter of fiscal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Diluted net income per share was $0.23 in the first quarter of fiscal 2014 compared to $0.31 in the first quarter of fiscal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and cash equivalents were $8.2 million at May 4, 2013.</w:t>
      </w:r>
    </w:p>
    <w:p>
      <w:pPr>
        <w:spacing w:after="0" w:line="90" w:lineRule="exact"/>
        <w:rPr>
          <w:rFonts w:ascii="Arial" w:cs="Arial" w:eastAsia="Arial" w:hAnsi="Arial"/>
          <w:sz w:val="18"/>
          <w:szCs w:val="18"/>
          <w:color w:val="auto"/>
        </w:rPr>
      </w:pPr>
    </w:p>
    <w:p>
      <w:pPr>
        <w:ind w:left="1480" w:right="8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Cash generated from operations of $14.9 million was used to fund capital expenditures of $5.8 million and pay down debt by $10 million in the first quarter of fiscal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Net revenues reflect revenues from the sale of our merchandise and from distribution and shipping and handling fees, less returns and discounts. Revenues for the Direct segment reflect sales through our full-price and outlet stores, department store locations in Japan, our websites, verabradley.com and verabradley.co.jp, and our annual outlet sale in Fort Wayne, Indiana. Revenues for the Indirect segment reflect sales to Indirect specialty retailers and department stores.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 Comparable store sales do not include e-commerce sales.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and commodity prices such as cotton, and labor in Asia.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9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Vera Bradley announced June 5, 2013 that Michael Ray informed the Board of Directors that he plans to retire as Chief Executive Officer. The Board is conducting a search for his successor, and Mr. Ray will continue to serve as Chief Executive Officer until a successor is in place.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3"/>
              </w:rPr>
              <w:t>May 4,</w:t>
            </w: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revenues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123,033</w:t>
            </w:r>
          </w:p>
        </w:tc>
        <w:tc>
          <w:tcPr>
            <w:tcW w:w="4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117,201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51,899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68,466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65,302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47,191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sales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store data for the periods indicated ($ in thousands, except as otherwise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Thirteen Weeks Ended</w:t>
            </w:r>
          </w:p>
        </w:tc>
      </w:tr>
      <w:tr>
        <w:trPr>
          <w:trHeight w:val="129"/>
        </w:trPr>
        <w:tc>
          <w:tcPr>
            <w:tcW w:w="6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93"/>
              </w:rPr>
              <w:t>May 4,</w:t>
            </w:r>
          </w:p>
        </w:tc>
        <w:tc>
          <w:tcPr>
            <w:tcW w:w="6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28,</w:t>
            </w:r>
          </w:p>
        </w:tc>
        <w:tc>
          <w:tcPr>
            <w:tcW w:w="2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2013</w:t>
            </w: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68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90"/>
              </w:rPr>
              <w:t>(unaudited)</w:t>
            </w:r>
          </w:p>
        </w:tc>
        <w:tc>
          <w:tcPr>
            <w:tcW w:w="2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Direct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73,687</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59,225</w:t>
            </w:r>
          </w:p>
        </w:tc>
        <w:tc>
          <w:tcPr>
            <w:tcW w:w="2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49,346</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57,976</w:t>
            </w:r>
          </w:p>
        </w:tc>
        <w:tc>
          <w:tcPr>
            <w:tcW w:w="200" w:type="dxa"/>
            <w:vAlign w:val="bottom"/>
            <w:shd w:val="clear" w:color="auto" w:fill="CCEEFF"/>
          </w:tcPr>
          <w:p>
            <w:pPr>
              <w:spacing w:after="0"/>
              <w:rPr>
                <w:sz w:val="18"/>
                <w:szCs w:val="18"/>
                <w:color w:val="auto"/>
              </w:rPr>
            </w:pP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123,033</w:t>
            </w:r>
          </w:p>
        </w:tc>
        <w:tc>
          <w:tcPr>
            <w:tcW w:w="760" w:type="dxa"/>
            <w:vAlign w:val="bottom"/>
            <w:gridSpan w:val="2"/>
          </w:tcPr>
          <w:p>
            <w:pPr>
              <w:ind w:left="6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117,201</w:t>
            </w:r>
          </w:p>
        </w:tc>
        <w:tc>
          <w:tcPr>
            <w:tcW w:w="2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 by Segment:</w:t>
            </w:r>
          </w:p>
        </w:tc>
        <w:tc>
          <w:tcPr>
            <w:tcW w:w="2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Direct</w:t>
            </w:r>
          </w:p>
        </w:tc>
        <w:tc>
          <w:tcPr>
            <w:tcW w:w="4200" w:type="dxa"/>
            <w:vAlign w:val="bottom"/>
            <w:gridSpan w:val="3"/>
          </w:tcPr>
          <w:p>
            <w:pPr>
              <w:jc w:val="right"/>
              <w:ind w:right="540"/>
              <w:spacing w:after="0"/>
              <w:rPr>
                <w:sz w:val="20"/>
                <w:szCs w:val="20"/>
                <w:color w:val="auto"/>
              </w:rPr>
            </w:pPr>
            <w:r>
              <w:rPr>
                <w:rFonts w:ascii="Arial" w:cs="Arial" w:eastAsia="Arial" w:hAnsi="Arial"/>
                <w:sz w:val="18"/>
                <w:szCs w:val="18"/>
                <w:color w:val="auto"/>
              </w:rPr>
              <w:t>59.9%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28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860" w:type="dxa"/>
            <w:vAlign w:val="bottom"/>
            <w:vMerge w:val="restart"/>
          </w:tcPr>
          <w:p>
            <w:pPr>
              <w:jc w:val="right"/>
              <w:ind w:right="1972"/>
              <w:spacing w:after="0"/>
              <w:rPr>
                <w:sz w:val="20"/>
                <w:szCs w:val="20"/>
                <w:color w:val="auto"/>
              </w:rPr>
            </w:pPr>
            <w:r>
              <w:rPr>
                <w:rFonts w:ascii="Arial" w:cs="Arial" w:eastAsia="Arial" w:hAnsi="Arial"/>
                <w:sz w:val="18"/>
                <w:szCs w:val="18"/>
                <w:color w:val="auto"/>
              </w:rPr>
              <w:t>15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3"/>
              </w:rPr>
              <w:t>May 4,</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April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2013</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by Segment: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Direct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16,965</w:t>
            </w:r>
          </w:p>
        </w:tc>
        <w:tc>
          <w:tcPr>
            <w:tcW w:w="4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15,379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17,739</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34,704</w:t>
            </w:r>
          </w:p>
        </w:tc>
        <w:tc>
          <w:tcPr>
            <w:tcW w:w="4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37,817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Corporate unallocated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(19,514)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 as a Percentage of Net Revenues by Segment:</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0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Indirect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 (1)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Comparable-store sales increase (2)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gross square footage at end of period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176,437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126,655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Average net revenues per gross square foot (3)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only our full-price and outlet stores.</w:t>
      </w:r>
    </w:p>
    <w:p>
      <w:pPr>
        <w:spacing w:after="0" w:line="15"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 Calculation excludes e-commerce sales.</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9" w:lineRule="exact"/>
        <w:rPr>
          <w:sz w:val="20"/>
          <w:szCs w:val="20"/>
          <w:color w:val="auto"/>
        </w:rPr>
      </w:pPr>
    </w:p>
    <w:p>
      <w:pPr>
        <w:ind w:right="4760"/>
        <w:spacing w:after="0" w:line="347" w:lineRule="auto"/>
        <w:rPr>
          <w:sz w:val="20"/>
          <w:szCs w:val="20"/>
          <w:color w:val="auto"/>
        </w:rPr>
      </w:pPr>
      <w:r>
        <w:rPr>
          <w:rFonts w:ascii="Arial" w:cs="Arial" w:eastAsia="Arial" w:hAnsi="Arial"/>
          <w:sz w:val="18"/>
          <w:szCs w:val="18"/>
          <w:b w:val="1"/>
          <w:bCs w:val="1"/>
          <w:color w:val="auto"/>
        </w:rPr>
        <w:t xml:space="preserve">Thirteen Weeks Ended May 4, 2013, Compared to Thirteen Weeks Ended April 28, 2012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the thirteen weeks ended May 4, 2013, net revenues increased $5.8 million, or 5.0%, to $123.0 million, from $117.2 million in the comparable prior-year period.</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May 4, 2013, net revenues in the Direct segment increased $14.5 million, or 24.4%, to $73.7 million, from $59.2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comparable prior-year period. This growth resulted from an $8.2 million increase in revenues related to the opening of new stores, a $5.1 million increase in e-commerce revenues primarily due to continued growth in website traffic, and a comparable-store sales increase of $0.2 million, or 0.9%. The aggregate number of our full-price and outlet stores grew from 62 at April 28, 2012, to 85 at May 4, 2013.</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May 4, 2013, net revenues in the Indirect segment decreased $8.6 million, or 14.9%, to $49.3 million, from $58.0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comparable prior-year period, driven by decreasing orders from specialty retailers in this uncertain consumer environment.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thirteen weeks ended May 4, 2013, gross profit increased $3.2 million, or 4.8%, to $68.5 million, from $65.3 million in the comparable prior-year period.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net revenues, gross profit was consistent at 55.6% and 55.7% for the thirteen weeks ended May 4, 2013, and April 28, 2012,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thirteen weeks ended May 4, 2013, SG&amp;A expenses increased $8.0 million, or 17.0%, to $55.2 million, from $47.2 million in the comparable prior-year period. As a percentage of net revenues, SG&amp;A expenses were 44.9% and 40.3% for the thirteen weeks ended May 4, 2013, and April 28, 2012, respectively. The increase in SG&amp;A expenses as a percentage of net revenues was primarily due to fixed expenses being spread over lower revenues in the Indirect segment and comparable full-price stores, as well as the annualization of employee-related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thirteen weeks ended May 4, 2013, other income decreased $0.7 million, or 27.7%, to $2.0 million, from $2.7 million in the comparable prior-year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other income was in line with a decrease in associated advertising costs related to mailers for our specialty retailers.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For the thirteen weeks ended May 4, 2013, operating income decreased $5.6 million, or 27.0%, to $15.2 million, from $20.8 million in the comparable prior-year period. As a percentage of net revenues, operating income was 12.3% and 17.8% for the thirteen weeks ended May 4, 2013, and April 28, 2012, respectively.</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May 4, 2013, operating income in the Direct segment increased $1.6 million, or 10.3%. As a percentage of Direct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 operating income in the Direct segment was 23.0% and 26.0% for the thirteen weeks ended May 4, 2013, and April 28, 2012, respectively. This decrease as a percentage of net revenues in the Direct segment was primarily due to the gross margin impact of promotional activity in our outlet stores, fixed payroll costs spread across lower revenue in our full-price stores, and start-up costs related to three additional stores opened this quarter, compared to the prior year.</w:t>
      </w:r>
    </w:p>
    <w:p>
      <w:pPr>
        <w:spacing w:after="0" w:line="143" w:lineRule="exact"/>
        <w:rPr>
          <w:sz w:val="20"/>
          <w:szCs w:val="20"/>
          <w:color w:val="auto"/>
        </w:rPr>
      </w:pPr>
    </w:p>
    <w:p>
      <w:pPr>
        <w:ind w:right="440"/>
        <w:spacing w:after="0" w:line="335" w:lineRule="auto"/>
        <w:rPr>
          <w:sz w:val="20"/>
          <w:szCs w:val="20"/>
          <w:color w:val="auto"/>
        </w:rPr>
      </w:pPr>
      <w:r>
        <w:rPr>
          <w:rFonts w:ascii="Arial" w:cs="Arial" w:eastAsia="Arial" w:hAnsi="Arial"/>
          <w:sz w:val="15"/>
          <w:szCs w:val="15"/>
          <w:i w:val="1"/>
          <w:iCs w:val="1"/>
          <w:color w:val="auto"/>
        </w:rPr>
        <w:t>Indirect</w:t>
      </w:r>
      <w:r>
        <w:rPr>
          <w:rFonts w:ascii="Arial" w:cs="Arial" w:eastAsia="Arial" w:hAnsi="Arial"/>
          <w:sz w:val="15"/>
          <w:szCs w:val="15"/>
          <w:color w:val="auto"/>
        </w:rPr>
        <w:t>. For the thirteen weeks ended May 4, 2013, operating income in the Indirect segment decreased $4.7 million, or 20.9%. As a percentage of Indirect</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net revenues, operating income in the Indirect segment was 35.9% and 38.7% for the thirteen weeks ended May 4, 2013, and April 28, 2012, respectively. This decrease as a percentage of net revenues in the Indirect segment resulted primarily from fixed expenses spread over lower revenues.</w:t>
      </w:r>
    </w:p>
    <w:p>
      <w:pPr>
        <w:spacing w:after="0" w:line="8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May 4, 2013, unallocated expenses increased $2.5 million, or 14.7%, primarily as a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costs and corporate personnel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the thirteen weeks ended May 4, 2013, net interest expense decreased $0.1 million, or 26.2%, to $0.1 million, from $0.2 million in the comparable prior-year period. The decrease of $0.1 million was due primarily to lower average borrowing levels in the thirteen weeks ended May 4,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the thirteen weeks ended May 4, 2013 was 38.9% which is comparable to 38.8% for the thirteen weeks ended April 28,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opening new stores, buildings, debt repayments, operational equipment, and information technology. The most significant components of our working capital are cash and cash equivalents, merchandise inventories, accounts receivable, accounts payable, and other current liabilities. We do not believe that the expansion of our Direct business will materially increase borrowings under our amended and restated credit agreement, in the near term.</w:t>
      </w:r>
    </w:p>
    <w:p>
      <w:pPr>
        <w:spacing w:after="0" w:line="116"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and debt payments for the foreseeable future.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Thirteen Weeks Ended</w:t>
            </w:r>
          </w:p>
        </w:tc>
      </w:tr>
      <w:tr>
        <w:trPr>
          <w:trHeight w:val="129"/>
        </w:trPr>
        <w:tc>
          <w:tcPr>
            <w:tcW w:w="4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May 4,</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April 28,</w:t>
            </w:r>
          </w:p>
        </w:tc>
        <w:tc>
          <w:tcPr>
            <w:tcW w:w="120" w:type="dxa"/>
            <w:vAlign w:val="bottom"/>
          </w:tcPr>
          <w:p>
            <w:pPr>
              <w:spacing w:after="0"/>
              <w:rPr>
                <w:sz w:val="11"/>
                <w:szCs w:val="11"/>
                <w:color w:val="auto"/>
              </w:rPr>
            </w:pPr>
          </w:p>
        </w:tc>
      </w:tr>
      <w:tr>
        <w:trPr>
          <w:trHeight w:val="161"/>
        </w:trPr>
        <w:tc>
          <w:tcPr>
            <w:tcW w:w="4780" w:type="dxa"/>
            <w:vAlign w:val="bottom"/>
          </w:tcPr>
          <w:p>
            <w:pPr>
              <w:spacing w:after="0"/>
              <w:rPr>
                <w:sz w:val="14"/>
                <w:szCs w:val="14"/>
                <w:color w:val="auto"/>
              </w:rPr>
            </w:pPr>
          </w:p>
        </w:tc>
        <w:tc>
          <w:tcPr>
            <w:tcW w:w="2560" w:type="dxa"/>
            <w:vAlign w:val="bottom"/>
            <w:gridSpan w:val="2"/>
          </w:tcPr>
          <w:p>
            <w:pPr>
              <w:jc w:val="right"/>
              <w:ind w:right="126"/>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90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9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$ 14,879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$ 30,683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80" w:type="dxa"/>
            <w:vAlign w:val="bottom"/>
            <w:gridSpan w:val="3"/>
          </w:tcPr>
          <w:p>
            <w:pPr>
              <w:jc w:val="right"/>
              <w:ind w:right="260"/>
              <w:spacing w:after="0"/>
              <w:rPr>
                <w:sz w:val="20"/>
                <w:szCs w:val="20"/>
                <w:color w:val="auto"/>
              </w:rPr>
            </w:pPr>
            <w:r>
              <w:rPr>
                <w:rFonts w:ascii="Arial" w:cs="Arial" w:eastAsia="Arial" w:hAnsi="Arial"/>
                <w:sz w:val="18"/>
                <w:szCs w:val="18"/>
                <w:color w:val="auto"/>
              </w:rPr>
              <w:t>(5,811)</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(11,512)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(10,412)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(18,037)</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Net cash provided by operating activities for the thirteen weeks ended May 4, 2013 was $14.9 million, compared to $30.7 million for the thirteen weeks ended April 28, 2012. The $15.8 million decrease in cash provided by operating activities was primarily due to increased net cash outflows from operating assets and liabilities driven by an increase in inventory levels.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3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Net cash used in investing activities was $5.8 million and $11.5 million for the thirteen weeks ended May 4, 2013, and April 28, 2012, respectively. The $5.7 million decrease in capital expenditures from the prior year was primarily due to the investment in the distribution facility expansion in fiscal 2013.</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Capital expenditures for fiscal 2014 are expected to be approximately $20 million, including the build-out of new stores and continued investment in our systems, including our e-commerce platform.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consist primarily of borrowings and repayments under our credit agreement.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cash used in financing activities was $10.4 million for the thirteen weeks ended May 4, 2013, primarily due to $10.0 million of net payments used to reduce debt under our amended and restated credit agreement.</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used in financing activities was $18.0 million for the thirteen weeks ended April 28, 2012, resulting primarily from $17.8 million of net payments under our amended and restated credit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ind w:right="200"/>
        <w:spacing w:after="0" w:line="314" w:lineRule="auto"/>
        <w:rPr>
          <w:sz w:val="20"/>
          <w:szCs w:val="20"/>
          <w:color w:val="auto"/>
        </w:rPr>
      </w:pPr>
      <w:r>
        <w:rPr>
          <w:rFonts w:ascii="Arial" w:cs="Arial" w:eastAsia="Arial" w:hAnsi="Arial"/>
          <w:sz w:val="15"/>
          <w:szCs w:val="15"/>
          <w:color w:val="auto"/>
        </w:rPr>
        <w:t>On October 4, 2010, Vera Bradley Designs, Inc. entered into an agreement to amend and restate our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May 4, 2013.</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At May 4, 2013, the weighted-average interest rate on the $5.0 million of outstanding borrowings under the credit agreement was 1.3%. We had borrowing availability of $120.0 million under the agreement as of May 4, 2013.</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2, 2013.</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of the Company’s accounting policies and estimates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2, 2013. There was no significant change to any of the critical accounting policies and estimates described in the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 xml:space="preserve">In February 2013, the Financial Accounting Standards Board (FASB) issued Accounting Standards Update (ASU) 2013-02, </w:t>
      </w:r>
      <w:r>
        <w:rPr>
          <w:rFonts w:ascii="Arial" w:cs="Arial" w:eastAsia="Arial" w:hAnsi="Arial"/>
          <w:sz w:val="16"/>
          <w:szCs w:val="16"/>
          <w:i w:val="1"/>
          <w:iCs w:val="1"/>
          <w:color w:val="auto"/>
        </w:rPr>
        <w:t>Reporting of Amounts Reclassified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Out of Accumulated Other Comprehensive Income </w:t>
      </w:r>
      <w:r>
        <w:rPr>
          <w:rFonts w:ascii="Arial" w:cs="Arial" w:eastAsia="Arial" w:hAnsi="Arial"/>
          <w:sz w:val="16"/>
          <w:szCs w:val="16"/>
          <w:color w:val="auto"/>
        </w:rPr>
        <w:t>(“ASU 2013-02”). This guidance adds new disclosure requirements for items reclassified out of accumulated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comprehensive income. The additional disclosures include: (1) changes in accumulated other comprehensive income balances by component and</w:t>
      </w:r>
    </w:p>
    <w:p>
      <w:pPr>
        <w:spacing w:after="0" w:line="1" w:lineRule="exact"/>
        <w:rPr>
          <w:sz w:val="20"/>
          <w:szCs w:val="20"/>
          <w:color w:val="auto"/>
        </w:rPr>
      </w:pPr>
    </w:p>
    <w:p>
      <w:pPr>
        <w:ind w:firstLine="8"/>
        <w:spacing w:after="0" w:line="288"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items reclassified out of accumulated other comprehensive income. The changes in accumulated other comprehensive income balance by component will be disaggregated to separately present reclassification adjustments and current-period other comprehensive income. Significant items reclassified out of accumulated other comprehensive income by component are required to be presented either on the face of the statement of income or as separate disclosure in the notes to the financial statements. These additional disclosures may be presented before-tax or net-of tax as long as the income tax benefit or expense attributed to each component of other comprehensive income and reclassification adjustments is presented in the financial statement or in the notes to the financial statements. The guidance is effective for interim and annual periods beginning after December 15, 2012 and should be applied prospectively. The adoption of this standard did not have an impact on the Company’s consolidated financial statements.</w:t>
      </w:r>
    </w:p>
    <w:p>
      <w:pPr>
        <w:spacing w:after="0" w:line="12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In October 2012, the FASB issued ASU 2012-04,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this standard did not have a material impact on our Interim Condensed Consolidated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As of May 4, 2013, there was no material change in the market risks described in “Quantitative and Qualitative Disclosures About Market Risks” in the Company’s Annual Report on Form 10-K for the fiscal year ended February 2,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Controller, Chief Accounting Officer, and Interim Chief Financial Officer of the effectiveness of the design and operation of the Company’s disclosure controls and procedures pursuant to Rule 13a-15 of the Securities Exchange Act of 1934. Based on that evaluation, the Chief Executive Officer and Controller, Chief Accounting Officer, and Interim Chief Financial Officer concluded that the Company’s disclosure controls and procedures were effective as of May 4, 2013.</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February 2,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0" w:type="dxa"/>
            <w:vAlign w:val="bottom"/>
          </w:tcPr>
          <w:p>
            <w:pPr>
              <w:spacing w:after="0"/>
              <w:rPr>
                <w:sz w:val="14"/>
                <w:szCs w:val="14"/>
                <w:color w:val="auto"/>
              </w:rPr>
            </w:pPr>
          </w:p>
        </w:tc>
        <w:tc>
          <w:tcPr>
            <w:tcW w:w="442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2014</w:t>
            </w:r>
          </w:p>
        </w:tc>
        <w:tc>
          <w:tcPr>
            <w:tcW w:w="4420" w:type="dxa"/>
            <w:vAlign w:val="bottom"/>
          </w:tcPr>
          <w:p>
            <w:pPr>
              <w:ind w:left="20"/>
              <w:spacing w:after="0"/>
              <w:rPr>
                <w:sz w:val="20"/>
                <w:szCs w:val="20"/>
                <w:color w:val="auto"/>
              </w:rPr>
            </w:pPr>
            <w:r>
              <w:rPr>
                <w:rFonts w:ascii="Arial" w:cs="Arial" w:eastAsia="Arial" w:hAnsi="Arial"/>
                <w:sz w:val="18"/>
                <w:szCs w:val="18"/>
                <w:color w:val="auto"/>
                <w:w w:val="88"/>
              </w:rPr>
              <w:t>Restricted Stock Unit/Performance Unit Terms and Conditions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2014</w:t>
            </w:r>
          </w:p>
        </w:tc>
        <w:tc>
          <w:tcPr>
            <w:tcW w:w="4420" w:type="dxa"/>
            <w:vAlign w:val="bottom"/>
          </w:tcPr>
          <w:p>
            <w:pPr>
              <w:ind w:left="20"/>
              <w:spacing w:after="0"/>
              <w:rPr>
                <w:sz w:val="20"/>
                <w:szCs w:val="20"/>
                <w:color w:val="auto"/>
              </w:rPr>
            </w:pPr>
            <w:r>
              <w:rPr>
                <w:rFonts w:ascii="Arial" w:cs="Arial" w:eastAsia="Arial" w:hAnsi="Arial"/>
                <w:sz w:val="18"/>
                <w:szCs w:val="18"/>
                <w:color w:val="auto"/>
                <w:w w:val="90"/>
              </w:rPr>
              <w:t>Outside Director Restricted Stock Unit Terms and Conditions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2014</w:t>
            </w:r>
          </w:p>
        </w:tc>
        <w:tc>
          <w:tcPr>
            <w:tcW w:w="4420" w:type="dxa"/>
            <w:vAlign w:val="bottom"/>
          </w:tcPr>
          <w:p>
            <w:pPr>
              <w:ind w:left="20"/>
              <w:spacing w:after="0"/>
              <w:rPr>
                <w:sz w:val="20"/>
                <w:szCs w:val="20"/>
                <w:color w:val="auto"/>
              </w:rPr>
            </w:pPr>
            <w:r>
              <w:rPr>
                <w:rFonts w:ascii="Arial" w:cs="Arial" w:eastAsia="Arial" w:hAnsi="Arial"/>
                <w:sz w:val="18"/>
                <w:szCs w:val="18"/>
                <w:color w:val="auto"/>
              </w:rPr>
              <w:t>Annual Incentive Compensation Plan (Executives)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jc w:val="both"/>
        <w:ind w:left="1020" w:right="100" w:hanging="1012"/>
        <w:spacing w:after="0" w:line="298"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May 4, 2013 formatted in Extensible Business Reporting Language (XBRL): (i) Consolidated Statements of Income and Comprehensive Income for the Thirteen Weeks ended May 4, 2013 and April 28, 2012; (ii) Consolidated Balance Sheets at May 4, 2013 and February 2, 2013; (iii) Consolidated Statements of Cash Flows for the Thirteen Weeks Ended May 4, 2013 and April 28, 2012, and (iv)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hanging="452"/>
        <w:spacing w:after="0" w:line="30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Vera Bradley, Inc.</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June 12, 2013</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J. Sierks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Vice President – Controller, Chief Accounting Officer and Interim</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240" w:top="459"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4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2014</w:t>
            </w:r>
          </w:p>
        </w:tc>
        <w:tc>
          <w:tcPr>
            <w:tcW w:w="4540" w:type="dxa"/>
            <w:vAlign w:val="bottom"/>
          </w:tcPr>
          <w:p>
            <w:pPr>
              <w:ind w:left="20"/>
              <w:spacing w:after="0"/>
              <w:rPr>
                <w:sz w:val="20"/>
                <w:szCs w:val="20"/>
                <w:color w:val="auto"/>
              </w:rPr>
            </w:pPr>
            <w:r>
              <w:rPr>
                <w:rFonts w:ascii="Arial" w:cs="Arial" w:eastAsia="Arial" w:hAnsi="Arial"/>
                <w:sz w:val="18"/>
                <w:szCs w:val="18"/>
                <w:color w:val="auto"/>
                <w:w w:val="91"/>
              </w:rPr>
              <w:t>Restricted Stock Unit/Performance Unit Terms and Conditions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2014</w:t>
            </w:r>
          </w:p>
        </w:tc>
        <w:tc>
          <w:tcPr>
            <w:tcW w:w="4540" w:type="dxa"/>
            <w:vAlign w:val="bottom"/>
          </w:tcPr>
          <w:p>
            <w:pPr>
              <w:ind w:left="20"/>
              <w:spacing w:after="0"/>
              <w:rPr>
                <w:sz w:val="20"/>
                <w:szCs w:val="20"/>
                <w:color w:val="auto"/>
              </w:rPr>
            </w:pPr>
            <w:r>
              <w:rPr>
                <w:rFonts w:ascii="Arial" w:cs="Arial" w:eastAsia="Arial" w:hAnsi="Arial"/>
                <w:sz w:val="18"/>
                <w:szCs w:val="18"/>
                <w:color w:val="auto"/>
                <w:w w:val="92"/>
              </w:rPr>
              <w:t>Outside Director Restricted Stock Unit Terms and Conditions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Fiscal 2014</w:t>
            </w:r>
          </w:p>
        </w:tc>
        <w:tc>
          <w:tcPr>
            <w:tcW w:w="4540" w:type="dxa"/>
            <w:vAlign w:val="bottom"/>
          </w:tcPr>
          <w:p>
            <w:pPr>
              <w:ind w:left="20"/>
              <w:spacing w:after="0"/>
              <w:rPr>
                <w:sz w:val="20"/>
                <w:szCs w:val="20"/>
                <w:color w:val="auto"/>
              </w:rPr>
            </w:pPr>
            <w:r>
              <w:rPr>
                <w:rFonts w:ascii="Arial" w:cs="Arial" w:eastAsia="Arial" w:hAnsi="Arial"/>
                <w:sz w:val="18"/>
                <w:szCs w:val="18"/>
                <w:color w:val="auto"/>
              </w:rPr>
              <w:t>Annual Incentive Compensation Plan (Executives)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jc w:val="both"/>
        <w:ind w:left="1020" w:right="100" w:hanging="1012"/>
        <w:spacing w:after="0" w:line="298"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May 4, 2013 formatted in Extensible Business Reporting Language (XBRL): (i) Consolidated Statements of Income and Comprehensive Income for the Thirteen Weeks ended May 4, 2013 and April 28, 2012; (ii) Consolidated Balance Sheets at May 4, 2013 and February 2, 2013; (iii) Consolidated Statements of Cash Flows for the Thirteen Weeks Ended May 4, 2013 and April 28, 2012, and (iv)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hanging="452"/>
        <w:spacing w:after="0" w:line="30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FY14 RESTRICTED STOCK UNIT/PERFORMANCE UNIT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65"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Any term capitalized herein but not defined will have the meaning set forth in the Vera Bradley, Inc. 2010 Equity and Incentive Plan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45" w:lineRule="exact"/>
        <w:rPr>
          <w:rFonts w:ascii="Arial" w:cs="Arial" w:eastAsia="Arial" w:hAnsi="Arial"/>
          <w:sz w:val="16"/>
          <w:szCs w:val="16"/>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90" w:lineRule="exact"/>
        <w:rPr>
          <w:sz w:val="20"/>
          <w:szCs w:val="20"/>
          <w:color w:val="auto"/>
        </w:rPr>
      </w:pPr>
    </w:p>
    <w:p>
      <w:pPr>
        <w:jc w:val="both"/>
        <w:ind w:right="40" w:firstLine="464"/>
        <w:spacing w:after="0" w:line="335" w:lineRule="auto"/>
        <w:tabs>
          <w:tab w:leader="none" w:pos="695" w:val="left"/>
        </w:tabs>
        <w:numPr>
          <w:ilvl w:val="0"/>
          <w:numId w:val="22"/>
        </w:numPr>
        <w:rPr>
          <w:rFonts w:ascii="Arial" w:cs="Arial" w:eastAsia="Arial" w:hAnsi="Arial"/>
          <w:sz w:val="15"/>
          <w:szCs w:val="15"/>
          <w:color w:val="auto"/>
        </w:rPr>
      </w:pPr>
      <w:r>
        <w:rPr>
          <w:rFonts w:ascii="Arial" w:cs="Arial" w:eastAsia="Arial" w:hAnsi="Arial"/>
          <w:sz w:val="15"/>
          <w:szCs w:val="15"/>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7" w:lineRule="exact"/>
        <w:rPr>
          <w:rFonts w:ascii="Arial" w:cs="Arial" w:eastAsia="Arial" w:hAnsi="Arial"/>
          <w:sz w:val="15"/>
          <w:szCs w:val="15"/>
          <w:color w:val="auto"/>
        </w:rPr>
      </w:pPr>
    </w:p>
    <w:p>
      <w:pPr>
        <w:ind w:right="180" w:firstLine="464"/>
        <w:spacing w:after="0" w:line="259"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Stock Units will vest on each of the first three anniversaries of the Grant Date.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221"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Grant and Vesting of Performance Units (“Performance RSUs”)</w:t>
      </w:r>
      <w:r>
        <w:rPr>
          <w:rFonts w:ascii="Arial" w:cs="Arial" w:eastAsia="Arial" w:hAnsi="Arial"/>
          <w:sz w:val="18"/>
          <w:szCs w:val="18"/>
          <w:color w:val="auto"/>
        </w:rPr>
        <w:t>.</w:t>
      </w:r>
    </w:p>
    <w:p>
      <w:pPr>
        <w:spacing w:after="0" w:line="90" w:lineRule="exact"/>
        <w:rPr>
          <w:sz w:val="20"/>
          <w:szCs w:val="20"/>
          <w:color w:val="auto"/>
        </w:rPr>
      </w:pPr>
    </w:p>
    <w:p>
      <w:pPr>
        <w:jc w:val="both"/>
        <w:ind w:right="40" w:firstLine="464"/>
        <w:spacing w:after="0" w:line="306" w:lineRule="auto"/>
        <w:tabs>
          <w:tab w:leader="none" w:pos="6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25" w:lineRule="exact"/>
        <w:rPr>
          <w:rFonts w:ascii="Arial" w:cs="Arial" w:eastAsia="Arial" w:hAnsi="Arial"/>
          <w:sz w:val="16"/>
          <w:szCs w:val="16"/>
          <w:color w:val="auto"/>
        </w:rPr>
      </w:pPr>
    </w:p>
    <w:p>
      <w:pPr>
        <w:ind w:right="20" w:firstLine="464"/>
        <w:spacing w:after="0" w:line="254"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RSUs granted under the Plan are intended to qualify as performance-based compensation under section 162(m) of the Internal Revenue Code of 1986, as amended (“Code”). Performance RSUs (or tranches of such Performance RSUs) will become earned only if the Company achieves a stated level of “Net Income”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63" w:lineRule="exact"/>
        <w:rPr>
          <w:rFonts w:ascii="Arial" w:cs="Arial" w:eastAsia="Arial" w:hAnsi="Arial"/>
          <w:sz w:val="18"/>
          <w:szCs w:val="18"/>
          <w:color w:val="auto"/>
        </w:rPr>
      </w:pPr>
    </w:p>
    <w:p>
      <w:pPr>
        <w:ind w:left="460" w:right="240" w:firstLine="443"/>
        <w:spacing w:after="0" w:line="306" w:lineRule="auto"/>
        <w:tabs>
          <w:tab w:leader="none" w:pos="1108"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Certification of Results. </w:t>
      </w:r>
      <w:r>
        <w:rPr>
          <w:rFonts w:ascii="Arial" w:cs="Arial" w:eastAsia="Arial" w:hAnsi="Arial"/>
          <w:sz w:val="16"/>
          <w:szCs w:val="16"/>
          <w:color w:val="auto"/>
        </w:rPr>
        <w:t>Before any award of Performance RSUs is deemed earned with respect to a Performance Period, the Committee shall</w:t>
      </w:r>
      <w:r>
        <w:rPr>
          <w:rFonts w:ascii="Arial" w:cs="Arial" w:eastAsia="Arial" w:hAnsi="Arial"/>
          <w:sz w:val="16"/>
          <w:szCs w:val="16"/>
          <w:i w:val="1"/>
          <w:iCs w:val="1"/>
          <w:color w:val="auto"/>
        </w:rPr>
        <w:t xml:space="preserve"> </w:t>
      </w:r>
      <w:r>
        <w:rPr>
          <w:rFonts w:ascii="Arial" w:cs="Arial" w:eastAsia="Arial" w:hAnsi="Arial"/>
          <w:sz w:val="16"/>
          <w:szCs w:val="16"/>
          <w:color w:val="auto"/>
        </w:rPr>
        <w:t>certify, in accordance with Section 9.5 of the Plan, in writing (i) that the performance goals described in the Award Agreement has been achieved for the Performance Period, and (ii) the calculation of “Net Income” (as defined below) for each Performance Year within the Performance Period.</w:t>
      </w:r>
    </w:p>
    <w:p>
      <w:pPr>
        <w:sectPr>
          <w:pgSz w:w="11900" w:h="16838" w:orient="portrait"/>
          <w:cols w:equalWidth="0" w:num="1">
            <w:col w:w="11420"/>
          </w:cols>
          <w:pgMar w:left="240" w:top="125" w:right="239" w:bottom="1440" w:gutter="0" w:footer="0" w:header="0"/>
        </w:sectPr>
      </w:pPr>
    </w:p>
    <w:bookmarkStart w:id="24" w:name="page25"/>
    <w:bookmarkEnd w:id="24"/>
    <w:p>
      <w:pPr>
        <w:ind w:left="440" w:right="160" w:firstLine="443"/>
        <w:spacing w:after="0" w:line="291" w:lineRule="auto"/>
        <w:tabs>
          <w:tab w:leader="none" w:pos="1136"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Definition of “Net Income.” </w:t>
      </w:r>
      <w:r>
        <w:rPr>
          <w:rFonts w:ascii="Arial" w:cs="Arial" w:eastAsia="Arial" w:hAnsi="Arial"/>
          <w:sz w:val="16"/>
          <w:szCs w:val="16"/>
          <w:color w:val="auto"/>
        </w:rPr>
        <w:t>For purposes of this Subsection 3(b), the term “Net Income” means, with respect to any Awards of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RSUs, the Company’s consolidated net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39" w:lineRule="exact"/>
        <w:rPr>
          <w:rFonts w:ascii="Arial" w:cs="Arial" w:eastAsia="Arial" w:hAnsi="Arial"/>
          <w:sz w:val="16"/>
          <w:szCs w:val="16"/>
          <w:color w:val="auto"/>
        </w:rPr>
      </w:pPr>
    </w:p>
    <w:p>
      <w:pPr>
        <w:ind w:left="440" w:right="360" w:firstLine="443"/>
        <w:spacing w:after="0" w:line="268" w:lineRule="auto"/>
        <w:tabs>
          <w:tab w:leader="none" w:pos="118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“Performance Year.” </w:t>
      </w:r>
      <w:r>
        <w:rPr>
          <w:rFonts w:ascii="Arial" w:cs="Arial" w:eastAsia="Arial" w:hAnsi="Arial"/>
          <w:sz w:val="18"/>
          <w:szCs w:val="18"/>
          <w:color w:val="auto"/>
        </w:rPr>
        <w:t>For purposes of this Subsection 3(b), the term “Performance Year” means, with respect to any Awards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RSUs, each fiscal year of the Company ending within the Performance Period.</w:t>
      </w:r>
    </w:p>
    <w:p>
      <w:pPr>
        <w:spacing w:after="0" w:line="50" w:lineRule="exact"/>
        <w:rPr>
          <w:rFonts w:ascii="Arial" w:cs="Arial" w:eastAsia="Arial" w:hAnsi="Arial"/>
          <w:sz w:val="18"/>
          <w:szCs w:val="18"/>
          <w:color w:val="auto"/>
        </w:rPr>
      </w:pPr>
    </w:p>
    <w:p>
      <w:pPr>
        <w:ind w:left="440" w:right="20" w:firstLine="443"/>
        <w:spacing w:after="0" w:line="253" w:lineRule="auto"/>
        <w:tabs>
          <w:tab w:leader="none" w:pos="117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Finality of Committee Determinations. </w:t>
      </w:r>
      <w:r>
        <w:rPr>
          <w:rFonts w:ascii="Arial" w:cs="Arial" w:eastAsia="Arial" w:hAnsi="Arial"/>
          <w:sz w:val="18"/>
          <w:szCs w:val="18"/>
          <w:color w:val="auto"/>
        </w:rPr>
        <w:t>Any determination by the Committee of Net Income and the level and entitlement to the Award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RSUs, and any interpretation, rule, or decision adopted by the Committee under the Plan or in carrying out or administering the Plan, is final and binding for all purposes and upon all interested persons, their heirs, and personal representatives. The Committee may rely conclusively on determinations made by the Company and its auditors to determine Net Income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 and Code Section 162(m).</w:t>
      </w:r>
    </w:p>
    <w:p>
      <w:pPr>
        <w:spacing w:after="0" w:line="228" w:lineRule="exact"/>
        <w:rPr>
          <w:sz w:val="20"/>
          <w:szCs w:val="20"/>
          <w:color w:val="auto"/>
        </w:rPr>
      </w:pPr>
    </w:p>
    <w:p>
      <w:pPr>
        <w:ind w:left="620" w:hanging="176"/>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90" w:lineRule="exact"/>
        <w:rPr>
          <w:sz w:val="20"/>
          <w:szCs w:val="20"/>
          <w:color w:val="auto"/>
        </w:rPr>
      </w:pPr>
    </w:p>
    <w:p>
      <w:pPr>
        <w:ind w:left="-20" w:firstLine="464"/>
        <w:spacing w:after="0" w:line="332" w:lineRule="auto"/>
        <w:tabs>
          <w:tab w:leader="none" w:pos="6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4" w:lineRule="exact"/>
        <w:rPr>
          <w:rFonts w:ascii="Arial" w:cs="Arial" w:eastAsia="Arial" w:hAnsi="Arial"/>
          <w:sz w:val="16"/>
          <w:szCs w:val="16"/>
          <w:color w:val="auto"/>
        </w:rPr>
      </w:pPr>
    </w:p>
    <w:p>
      <w:pPr>
        <w:ind w:left="-20" w:right="40" w:firstLine="464"/>
        <w:spacing w:after="0" w:line="289" w:lineRule="auto"/>
        <w:tabs>
          <w:tab w:leader="none" w:pos="6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25" w:name="page26"/>
    <w:bookmarkEnd w:id="25"/>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132" w:lineRule="exact"/>
        <w:rPr>
          <w:sz w:val="20"/>
          <w:szCs w:val="20"/>
          <w:color w:val="auto"/>
        </w:rPr>
      </w:pPr>
    </w:p>
    <w:p>
      <w:pPr>
        <w:ind w:right="40" w:firstLine="464"/>
        <w:spacing w:after="0" w:line="255" w:lineRule="auto"/>
        <w:tabs>
          <w:tab w:leader="none" w:pos="63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of Service; Change in Control</w:t>
      </w:r>
      <w:r>
        <w:rPr>
          <w:rFonts w:ascii="Arial" w:cs="Arial" w:eastAsia="Arial" w:hAnsi="Arial"/>
          <w:sz w:val="18"/>
          <w:szCs w:val="18"/>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24" w:lineRule="exact"/>
        <w:rPr>
          <w:sz w:val="20"/>
          <w:szCs w:val="20"/>
          <w:color w:val="auto"/>
        </w:rPr>
      </w:pPr>
    </w:p>
    <w:p>
      <w:pPr>
        <w:ind w:right="60" w:firstLine="464"/>
        <w:spacing w:after="0" w:line="254"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clauses 2(b) or 3(b) or Section 5, above, once a Restricted Stock Unit vests or a Performance RSU is earned and vested, as applicable, the Participant will be entitled to receive a Share in its place. Delivery of the Share will be made, including delivery with respect to a Disabled Participant, or to the estate of a deceased Participant, after the end of the Restricted Period or Performance Period, as applicable, and not later than the 15</w:t>
      </w:r>
      <w:r>
        <w:rPr>
          <w:rFonts w:ascii="Arial" w:cs="Arial" w:eastAsia="Arial" w:hAnsi="Arial"/>
          <w:sz w:val="11"/>
          <w:szCs w:val="11"/>
          <w:color w:val="auto"/>
        </w:rPr>
        <w:t>th</w:t>
      </w:r>
      <w:r>
        <w:rPr>
          <w:rFonts w:ascii="Arial" w:cs="Arial" w:eastAsia="Arial" w:hAnsi="Arial"/>
          <w:sz w:val="18"/>
          <w:szCs w:val="18"/>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144"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6" w:name="page27"/>
    <w:bookmarkEnd w:id="26"/>
    <w:p>
      <w:pPr>
        <w:jc w:val="both"/>
        <w:ind w:right="20" w:firstLine="464"/>
        <w:spacing w:after="0" w:line="256"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Tax</w:t>
      </w:r>
      <w:r>
        <w:rPr>
          <w:rFonts w:ascii="Arial" w:cs="Arial" w:eastAsia="Arial" w:hAnsi="Arial"/>
          <w:sz w:val="18"/>
          <w:szCs w:val="18"/>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224" w:lineRule="exact"/>
        <w:rPr>
          <w:rFonts w:ascii="Arial" w:cs="Arial" w:eastAsia="Arial" w:hAnsi="Arial"/>
          <w:sz w:val="18"/>
          <w:szCs w:val="18"/>
          <w:color w:val="auto"/>
        </w:rPr>
      </w:pPr>
    </w:p>
    <w:p>
      <w:pPr>
        <w:ind w:left="640" w:hanging="17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90" w:lineRule="exact"/>
        <w:rPr>
          <w:sz w:val="20"/>
          <w:szCs w:val="20"/>
          <w:color w:val="auto"/>
        </w:rPr>
      </w:pPr>
    </w:p>
    <w:p>
      <w:pPr>
        <w:ind w:right="60" w:firstLine="464"/>
        <w:spacing w:after="0" w:line="294"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34" w:lineRule="exact"/>
        <w:rPr>
          <w:rFonts w:ascii="Arial" w:cs="Arial" w:eastAsia="Arial" w:hAnsi="Arial"/>
          <w:sz w:val="16"/>
          <w:szCs w:val="16"/>
          <w:color w:val="auto"/>
        </w:rPr>
      </w:pPr>
    </w:p>
    <w:p>
      <w:pPr>
        <w:ind w:right="40" w:firstLine="464"/>
        <w:spacing w:after="0" w:line="290"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18" w:lineRule="exact"/>
        <w:rPr>
          <w:sz w:val="20"/>
          <w:szCs w:val="20"/>
          <w:color w:val="auto"/>
        </w:rPr>
      </w:pPr>
    </w:p>
    <w:p>
      <w:pPr>
        <w:ind w:firstLine="464"/>
        <w:spacing w:after="0" w:line="259"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40" w:lineRule="exact"/>
        <w:rPr>
          <w:rFonts w:ascii="Arial" w:cs="Arial" w:eastAsia="Arial" w:hAnsi="Arial"/>
          <w:sz w:val="18"/>
          <w:szCs w:val="18"/>
          <w:color w:val="auto"/>
        </w:rPr>
      </w:pPr>
    </w:p>
    <w:p>
      <w:pPr>
        <w:ind w:right="40" w:firstLine="464"/>
        <w:spacing w:after="0" w:line="291" w:lineRule="auto"/>
        <w:tabs>
          <w:tab w:leader="none" w:pos="71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Plan, Restricted Stock Units, Performance RSUs and Award Not a Contract of Employment</w:t>
      </w:r>
      <w:r>
        <w:rPr>
          <w:rFonts w:ascii="Arial" w:cs="Arial" w:eastAsia="Arial" w:hAnsi="Arial"/>
          <w:sz w:val="16"/>
          <w:szCs w:val="16"/>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7" w:name="page28"/>
    <w:bookmarkEnd w:id="27"/>
    <w:p>
      <w:pPr>
        <w:ind w:left="-60" w:right="20" w:firstLine="464"/>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140" w:lineRule="exact"/>
        <w:rPr>
          <w:rFonts w:ascii="Arial" w:cs="Arial" w:eastAsia="Arial" w:hAnsi="Arial"/>
          <w:sz w:val="18"/>
          <w:szCs w:val="18"/>
          <w:color w:val="auto"/>
        </w:rPr>
      </w:pPr>
    </w:p>
    <w:p>
      <w:pPr>
        <w:ind w:left="-60" w:right="80" w:firstLine="464"/>
        <w:spacing w:after="0" w:line="298"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12" w:lineRule="exact"/>
        <w:rPr>
          <w:rFonts w:ascii="Arial" w:cs="Arial" w:eastAsia="Arial" w:hAnsi="Arial"/>
          <w:sz w:val="16"/>
          <w:szCs w:val="16"/>
          <w:color w:val="auto"/>
        </w:rPr>
      </w:pPr>
    </w:p>
    <w:p>
      <w:pPr>
        <w:ind w:left="-60" w:right="200" w:firstLine="464"/>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31" w:lineRule="exact"/>
        <w:rPr>
          <w:rFonts w:ascii="Arial" w:cs="Arial" w:eastAsia="Arial" w:hAnsi="Arial"/>
          <w:sz w:val="18"/>
          <w:szCs w:val="18"/>
          <w:color w:val="auto"/>
        </w:rPr>
      </w:pPr>
    </w:p>
    <w:p>
      <w:pPr>
        <w:ind w:left="-60" w:right="60" w:firstLine="464"/>
        <w:spacing w:after="0" w:line="25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43" w:lineRule="exact"/>
        <w:rPr>
          <w:rFonts w:ascii="Arial" w:cs="Arial" w:eastAsia="Arial" w:hAnsi="Arial"/>
          <w:sz w:val="18"/>
          <w:szCs w:val="18"/>
          <w:color w:val="auto"/>
        </w:rPr>
      </w:pPr>
    </w:p>
    <w:p>
      <w:pPr>
        <w:ind w:left="-60" w:firstLine="464"/>
        <w:spacing w:after="0" w:line="33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Plan Document Controls</w:t>
      </w:r>
      <w:r>
        <w:rPr>
          <w:rFonts w:ascii="Arial" w:cs="Arial" w:eastAsia="Arial" w:hAnsi="Arial"/>
          <w:sz w:val="16"/>
          <w:szCs w:val="16"/>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00" w:top="280" w:right="2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FISCAL 2014 OUTSIDE DIRECTOR RESTRICTED STOCK UNIT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TERMS AND CONDITIONS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Any term capitalized herein but not defined will have the meaning set forth in the Vera Bradley, Inc. 2010 Equity and Incentive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46" w:lineRule="exact"/>
        <w:rPr>
          <w:sz w:val="20"/>
          <w:szCs w:val="20"/>
          <w:color w:val="auto"/>
        </w:rPr>
      </w:pPr>
    </w:p>
    <w:p>
      <w:pPr>
        <w:ind w:left="1100" w:hanging="179"/>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881"/>
        <w:spacing w:after="0" w:line="256" w:lineRule="auto"/>
        <w:tabs>
          <w:tab w:leader="none" w:pos="15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of the grant date specified in the letter that accompanies this document (the “Grant Date”), the Participant will be credited with the number of Restricted Stock Units set forth in the letter that accompanies this document.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62" w:lineRule="exact"/>
        <w:rPr>
          <w:rFonts w:ascii="Arial" w:cs="Arial" w:eastAsia="Arial" w:hAnsi="Arial"/>
          <w:sz w:val="18"/>
          <w:szCs w:val="18"/>
          <w:color w:val="auto"/>
        </w:rPr>
      </w:pPr>
    </w:p>
    <w:p>
      <w:pPr>
        <w:ind w:left="460" w:right="280" w:firstLine="881"/>
        <w:spacing w:after="0" w:line="259" w:lineRule="auto"/>
        <w:tabs>
          <w:tab w:leader="none" w:pos="1585"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Restricted Stock Units will vest on the first anniversaries of the Grant Date. If the Participant’s Service with the Company and all of its Affiliates terminates before the date that all of the Restricted Stock Units vest, his or her right to receive the Shares underlying such unvested Restricted Stock Units will be only as provided in Section 4.</w:t>
      </w:r>
    </w:p>
    <w:p>
      <w:pPr>
        <w:spacing w:after="0" w:line="221" w:lineRule="exact"/>
        <w:rPr>
          <w:rFonts w:ascii="Arial" w:cs="Arial" w:eastAsia="Arial" w:hAnsi="Arial"/>
          <w:sz w:val="18"/>
          <w:szCs w:val="18"/>
          <w:color w:val="auto"/>
        </w:rPr>
      </w:pPr>
    </w:p>
    <w:p>
      <w:pPr>
        <w:ind w:left="1100" w:hanging="179"/>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90" w:lineRule="exact"/>
        <w:rPr>
          <w:sz w:val="20"/>
          <w:szCs w:val="20"/>
          <w:color w:val="auto"/>
        </w:rPr>
      </w:pPr>
    </w:p>
    <w:p>
      <w:pPr>
        <w:ind w:right="140" w:firstLine="921"/>
        <w:spacing w:after="0" w:line="268"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and until a Restricted Stock Unit has vested and the Share underlying it has been distributed to the Participant, the Participant will not be entitled to vote in respect of that Restricted Stock Unit or that Share.</w:t>
      </w:r>
    </w:p>
    <w:p>
      <w:pPr>
        <w:spacing w:after="0" w:line="50" w:lineRule="exact"/>
        <w:rPr>
          <w:rFonts w:ascii="Arial" w:cs="Arial" w:eastAsia="Arial" w:hAnsi="Arial"/>
          <w:sz w:val="18"/>
          <w:szCs w:val="18"/>
          <w:color w:val="auto"/>
        </w:rPr>
      </w:pPr>
    </w:p>
    <w:p>
      <w:pPr>
        <w:ind w:right="20" w:firstLine="921"/>
        <w:spacing w:after="0" w:line="288"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awarded under the applicable Award Agreement, and will be paid in cash in a single sum at the time that the Shares associated with the Participant’s Restricted Stock Units are delivered (or forfeited at the time that the Participant’s Restricted Stock Units are forfeited).</w:t>
      </w:r>
    </w:p>
    <w:p>
      <w:pPr>
        <w:sectPr>
          <w:pgSz w:w="11900" w:h="16838" w:orient="portrait"/>
          <w:cols w:equalWidth="0" w:num="1">
            <w:col w:w="11420"/>
          </w:cols>
          <w:pgMar w:left="240" w:top="125" w:right="239" w:bottom="1440" w:gutter="0" w:footer="0" w:header="0"/>
        </w:sectPr>
      </w:pPr>
    </w:p>
    <w:bookmarkStart w:id="29" w:name="page30"/>
    <w:bookmarkEnd w:id="29"/>
    <w:p>
      <w:pPr>
        <w:ind w:right="200" w:firstLine="921"/>
        <w:spacing w:after="0" w:line="291" w:lineRule="auto"/>
        <w:tabs>
          <w:tab w:leader="none" w:pos="108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Service; Change in Control</w:t>
      </w:r>
      <w:r>
        <w:rPr>
          <w:rFonts w:ascii="Arial" w:cs="Arial" w:eastAsia="Arial" w:hAnsi="Arial"/>
          <w:sz w:val="16"/>
          <w:szCs w:val="16"/>
          <w:color w:val="auto"/>
        </w:rPr>
        <w:t>. A Participant’s right to receive the Shares underlying his or her Restricted Stock Units after termination of his or her Service will be only as provided in this Section. If a Participant’s Service is terminated due to the Participant’s death or Disability, the Participant (or his or her estate) will be immediately entitled to receive the Shares underlying all of the Restricted Stock Units that have not yet vested under Section 2 above. If a Participant’s Service is terminated for any other reason, the Participant will forfeit the right to receive Shares underlying under Restricted Stock Units that have not yet vested. Notwithstanding anything to the contrary herein, all previously unvested Restricted Stock Units then outstanding will vest immediately upon the occurrence of a Change in Control.</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where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24" w:lineRule="exact"/>
        <w:rPr>
          <w:sz w:val="20"/>
          <w:szCs w:val="20"/>
          <w:color w:val="auto"/>
        </w:rPr>
      </w:pPr>
    </w:p>
    <w:p>
      <w:pPr>
        <w:ind w:firstLine="921"/>
        <w:spacing w:after="0" w:line="255" w:lineRule="auto"/>
        <w:tabs>
          <w:tab w:leader="none" w:pos="108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Timing and Form of Payment</w:t>
      </w:r>
      <w:r>
        <w:rPr>
          <w:rFonts w:ascii="Arial" w:cs="Arial" w:eastAsia="Arial" w:hAnsi="Arial"/>
          <w:sz w:val="18"/>
          <w:szCs w:val="18"/>
          <w:color w:val="auto"/>
        </w:rPr>
        <w:t>. Except as provided in this Section or in clauses 2(b) or Section 4, once a Restricted Stock Unit vests, the Participant will be entitled to receive a Share in its place. Delivery of the Share will be made, including delivery with respect to a Disabled Participant, or to the estate of a deceased Participant, as soon as administratively feasible after its associated Restricted Stock Unit vests. Shares will be credited to an account established for the benefit of the Participant with the Company’s administrative agent. The Participant will have full legal and beneficial ownership with respect to the Shares at that time.</w:t>
      </w:r>
    </w:p>
    <w:p>
      <w:pPr>
        <w:spacing w:after="0" w:line="142" w:lineRule="exact"/>
        <w:rPr>
          <w:rFonts w:ascii="Arial" w:cs="Arial" w:eastAsia="Arial" w:hAnsi="Arial"/>
          <w:sz w:val="18"/>
          <w:szCs w:val="18"/>
          <w:color w:val="auto"/>
        </w:rPr>
      </w:pPr>
    </w:p>
    <w:p>
      <w:pPr>
        <w:ind w:firstLine="921"/>
        <w:spacing w:after="0" w:line="268" w:lineRule="auto"/>
        <w:tabs>
          <w:tab w:leader="none" w:pos="108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pacing w:after="0" w:line="131" w:lineRule="exact"/>
        <w:rPr>
          <w:rFonts w:ascii="Arial" w:cs="Arial" w:eastAsia="Arial" w:hAnsi="Arial"/>
          <w:sz w:val="18"/>
          <w:szCs w:val="18"/>
          <w:color w:val="auto"/>
        </w:rPr>
      </w:pPr>
    </w:p>
    <w:p>
      <w:pPr>
        <w:ind w:right="140" w:firstLine="921"/>
        <w:spacing w:after="0" w:line="259" w:lineRule="auto"/>
        <w:tabs>
          <w:tab w:leader="none" w:pos="108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and any Affiliate will have the right to retain Shares or cash that are distributable to the Participant hereunder to the extent necessary to satisfy any withholding taxes, whether federal or state, triggered by the distribution of Shares or cash pursuant to the Award reflected in this document.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0" w:name="page31"/>
    <w:bookmarkEnd w:id="30"/>
    <w:p>
      <w:pPr>
        <w:ind w:left="1092" w:hanging="179"/>
        <w:spacing w:after="0"/>
        <w:tabs>
          <w:tab w:leader="none" w:pos="109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Law Requirements</w:t>
      </w:r>
      <w:r>
        <w:rPr>
          <w:rFonts w:ascii="Arial" w:cs="Arial" w:eastAsia="Arial" w:hAnsi="Arial"/>
          <w:sz w:val="18"/>
          <w:szCs w:val="18"/>
          <w:color w:val="auto"/>
        </w:rPr>
        <w:t>.</w:t>
      </w:r>
    </w:p>
    <w:p>
      <w:pPr>
        <w:spacing w:after="0" w:line="90" w:lineRule="exact"/>
        <w:rPr>
          <w:sz w:val="20"/>
          <w:szCs w:val="20"/>
          <w:color w:val="auto"/>
        </w:rPr>
      </w:pPr>
    </w:p>
    <w:p>
      <w:pPr>
        <w:ind w:left="-8" w:right="100" w:firstLine="921"/>
        <w:spacing w:after="0" w:line="255" w:lineRule="auto"/>
        <w:tabs>
          <w:tab w:leader="none" w:pos="11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Restricted Stock Units are subject to the further requirement that, if at any time the Committee determines in its sole discretion that the listing or qualification of the Shares subject to the Restricted Stock Units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unless the necessary listing, qualification, consent or approval has been effected or obtained free of any conditions not acceptable to the Committee.</w:t>
      </w:r>
    </w:p>
    <w:p>
      <w:pPr>
        <w:spacing w:after="0" w:line="61" w:lineRule="exact"/>
        <w:rPr>
          <w:rFonts w:ascii="Arial" w:cs="Arial" w:eastAsia="Arial" w:hAnsi="Arial"/>
          <w:sz w:val="18"/>
          <w:szCs w:val="18"/>
          <w:color w:val="auto"/>
        </w:rPr>
      </w:pPr>
    </w:p>
    <w:p>
      <w:pPr>
        <w:jc w:val="both"/>
        <w:ind w:left="-8" w:right="40" w:firstLine="921"/>
        <w:spacing w:after="0" w:line="303" w:lineRule="auto"/>
        <w:tabs>
          <w:tab w:leader="none" w:pos="1154" w:val="left"/>
        </w:tabs>
        <w:numPr>
          <w:ilvl w:val="1"/>
          <w:numId w:val="39"/>
        </w:numPr>
        <w:rPr>
          <w:rFonts w:ascii="Arial" w:cs="Arial" w:eastAsia="Arial" w:hAnsi="Arial"/>
          <w:sz w:val="15"/>
          <w:szCs w:val="15"/>
          <w:color w:val="auto"/>
        </w:rPr>
      </w:pPr>
      <w:r>
        <w:rPr>
          <w:rFonts w:ascii="Arial" w:cs="Arial" w:eastAsia="Arial" w:hAnsi="Arial"/>
          <w:sz w:val="15"/>
          <w:szCs w:val="15"/>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w:t>
      </w:r>
    </w:p>
    <w:p>
      <w:pPr>
        <w:spacing w:after="0" w:line="1" w:lineRule="exact"/>
        <w:rPr>
          <w:rFonts w:ascii="Arial" w:cs="Arial" w:eastAsia="Arial" w:hAnsi="Arial"/>
          <w:sz w:val="15"/>
          <w:szCs w:val="15"/>
          <w:color w:val="auto"/>
        </w:rPr>
      </w:pPr>
    </w:p>
    <w:p>
      <w:pPr>
        <w:ind w:left="-8" w:firstLine="8"/>
        <w:spacing w:after="0" w:line="254" w:lineRule="auto"/>
        <w:tabs>
          <w:tab w:leader="none" w:pos="2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44" w:lineRule="exact"/>
        <w:rPr>
          <w:sz w:val="20"/>
          <w:szCs w:val="20"/>
          <w:color w:val="auto"/>
        </w:rPr>
      </w:pPr>
    </w:p>
    <w:p>
      <w:pPr>
        <w:jc w:val="both"/>
        <w:ind w:left="-8" w:right="260" w:firstLine="921"/>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40" w:lineRule="exact"/>
        <w:rPr>
          <w:rFonts w:ascii="Arial" w:cs="Arial" w:eastAsia="Arial" w:hAnsi="Arial"/>
          <w:sz w:val="18"/>
          <w:szCs w:val="18"/>
          <w:color w:val="auto"/>
        </w:rPr>
      </w:pPr>
    </w:p>
    <w:p>
      <w:pPr>
        <w:ind w:left="-8" w:right="160" w:firstLine="921"/>
        <w:spacing w:after="0" w:line="291" w:lineRule="auto"/>
        <w:tabs>
          <w:tab w:leader="none" w:pos="1168"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Plan, Restricted Stock Units, and Award Not a Contract of Employment</w:t>
      </w:r>
      <w:r>
        <w:rPr>
          <w:rFonts w:ascii="Arial" w:cs="Arial" w:eastAsia="Arial" w:hAnsi="Arial"/>
          <w:sz w:val="16"/>
          <w:szCs w:val="16"/>
          <w:color w:val="auto"/>
        </w:rPr>
        <w:t>. Neither the Plan, the Restricted Stock Units, nor any other right or interest that is part of the Award granted under the Plan or this document is a contract of employment, and no terms of employment or Service of the Participant will be affected in any way by the Plan, the Restricted Stock Units,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20" w:lineRule="exact"/>
        <w:rPr>
          <w:rFonts w:ascii="Arial" w:cs="Arial" w:eastAsia="Arial" w:hAnsi="Arial"/>
          <w:sz w:val="16"/>
          <w:szCs w:val="16"/>
          <w:color w:val="auto"/>
        </w:rPr>
      </w:pPr>
    </w:p>
    <w:p>
      <w:pPr>
        <w:ind w:left="-8" w:right="120" w:firstLine="921"/>
        <w:spacing w:after="0" w:line="306" w:lineRule="auto"/>
        <w:tabs>
          <w:tab w:leader="none" w:pos="116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Participant to Have No Rights as a Stockholder</w:t>
      </w:r>
      <w:r>
        <w:rPr>
          <w:rFonts w:ascii="Arial" w:cs="Arial" w:eastAsia="Arial" w:hAnsi="Arial"/>
          <w:sz w:val="16"/>
          <w:szCs w:val="16"/>
          <w:color w:val="auto"/>
        </w:rPr>
        <w:t>. Except as provided in Section 4 above, the Participant will have no rights as a stockholder with respect to any Shares subject to the Restricted Stock Units prior to the date on which he or she is recorded as the holder of those Shares on the records of the Company.</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31" w:name="page32"/>
    <w:bookmarkEnd w:id="31"/>
    <w:p>
      <w:pPr>
        <w:ind w:left="-20" w:firstLine="921"/>
        <w:spacing w:after="0" w:line="298" w:lineRule="auto"/>
        <w:tabs>
          <w:tab w:leader="none" w:pos="115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r>
        <w:rPr>
          <w:rFonts w:ascii="Arial" w:cs="Arial" w:eastAsia="Arial" w:hAnsi="Arial"/>
          <w:sz w:val="16"/>
          <w:szCs w:val="16"/>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2208 Production Road, Fort Wayne, Indiana 46808, Attn: Corporate Secretary, and, in the case of the Participant, to the last known address of the Participant in the Company’s records.</w:t>
      </w:r>
    </w:p>
    <w:p>
      <w:pPr>
        <w:spacing w:after="0" w:line="112" w:lineRule="exact"/>
        <w:rPr>
          <w:rFonts w:ascii="Arial" w:cs="Arial" w:eastAsia="Arial" w:hAnsi="Arial"/>
          <w:sz w:val="16"/>
          <w:szCs w:val="16"/>
          <w:color w:val="auto"/>
        </w:rPr>
      </w:pPr>
    </w:p>
    <w:p>
      <w:pPr>
        <w:ind w:left="-20" w:right="400" w:firstLine="921"/>
        <w:spacing w:after="0" w:line="268" w:lineRule="auto"/>
        <w:tabs>
          <w:tab w:leader="none" w:pos="115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31" w:lineRule="exact"/>
        <w:rPr>
          <w:rFonts w:ascii="Arial" w:cs="Arial" w:eastAsia="Arial" w:hAnsi="Arial"/>
          <w:sz w:val="18"/>
          <w:szCs w:val="18"/>
          <w:color w:val="auto"/>
        </w:rPr>
      </w:pPr>
    </w:p>
    <w:p>
      <w:pPr>
        <w:ind w:left="-20" w:right="60" w:firstLine="921"/>
        <w:spacing w:after="0" w:line="256" w:lineRule="auto"/>
        <w:tabs>
          <w:tab w:leader="none" w:pos="115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pacing w:after="0" w:line="143" w:lineRule="exact"/>
        <w:rPr>
          <w:rFonts w:ascii="Arial" w:cs="Arial" w:eastAsia="Arial" w:hAnsi="Arial"/>
          <w:sz w:val="18"/>
          <w:szCs w:val="18"/>
          <w:color w:val="auto"/>
        </w:rPr>
      </w:pPr>
    </w:p>
    <w:p>
      <w:pPr>
        <w:ind w:left="-20" w:right="200" w:firstLine="921"/>
        <w:spacing w:after="0" w:line="370" w:lineRule="auto"/>
        <w:tabs>
          <w:tab w:leader="none" w:pos="1156"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Plan Document Controls</w:t>
      </w:r>
      <w:r>
        <w:rPr>
          <w:rFonts w:ascii="Arial" w:cs="Arial" w:eastAsia="Arial" w:hAnsi="Arial"/>
          <w:sz w:val="15"/>
          <w:szCs w:val="15"/>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FY14 Annual Incentive Compensation Plan (Executives)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Overview</w:t>
      </w:r>
    </w:p>
    <w:p>
      <w:pPr>
        <w:spacing w:after="0" w:line="9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Grants under this FY14 Annual Incentive Compensation Plan (Executives) (“Annual Executive Plan”) are granted under and governed by the terms and conditions of the Vera Bradley, Inc. 2010 Equity and Incentive Plan (the “2010 Plan”), as amended. Any term capitalized herein but not defined will have the meaning set forth in the 2010 Plan.</w:t>
      </w:r>
    </w:p>
    <w:p>
      <w:pPr>
        <w:spacing w:after="0" w:line="14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 xml:space="preserve">The Annual Executive Plan is designed to give the Company’s Chief Executive Officer (CEO) and each executive-level employee who reports directly to the CEO (and is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 opportunity to share in the Company’s success for the fiscal year ending February 1, 2014 (the “Performance Period”). The target incentive opportunity for the Performance Period is based on a percentage of each Participant’s Base Salary (as defined herein). Each Participant’s incentive opportunity is based on two independent performance measures: net revenue and net income (each making up 50% of corporate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Performance</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Payouts under the Annual Executive Plan are based on the achievement level of the two equally weighted, independent financial metrics, currently defined as net revenue and net income. Assuming at least threshold performance levels are met for the Performance Period, the actual payout levels range from 50%-200% of target.</w:t>
      </w:r>
    </w:p>
    <w:p>
      <w:pPr>
        <w:spacing w:after="0" w:line="17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Net Revenue</w:t>
      </w:r>
    </w:p>
    <w:p>
      <w:pPr>
        <w:spacing w:after="0" w:line="13" w:lineRule="exact"/>
        <w:rPr>
          <w:sz w:val="20"/>
          <w:szCs w:val="20"/>
          <w:color w:val="auto"/>
        </w:rPr>
      </w:pPr>
    </w:p>
    <w:tbl>
      <w:tblPr>
        <w:tblLayout w:type="fixed"/>
        <w:tblInd w:w="1380" w:type="dxa"/>
        <w:tblCellMar>
          <w:top w:w="0" w:type="dxa"/>
          <w:left w:w="0" w:type="dxa"/>
          <w:bottom w:w="0" w:type="dxa"/>
          <w:right w:w="0" w:type="dxa"/>
        </w:tblCellMar>
      </w:tblPr>
      <w:tr>
        <w:trPr>
          <w:trHeight w:val="143"/>
        </w:trPr>
        <w:tc>
          <w:tcPr>
            <w:tcW w:w="78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i w:val="1"/>
                <w:iCs w:val="1"/>
                <w:color w:val="auto"/>
                <w:w w:val="88"/>
              </w:rPr>
              <w:t>Performance</w:t>
            </w:r>
          </w:p>
        </w:tc>
        <w:tc>
          <w:tcPr>
            <w:tcW w:w="6680" w:type="dxa"/>
            <w:vAlign w:val="bottom"/>
            <w:tcBorders>
              <w:top w:val="single" w:sz="8" w:color="auto"/>
            </w:tcBorders>
            <w:gridSpan w:val="3"/>
          </w:tcPr>
          <w:p>
            <w:pPr>
              <w:jc w:val="right"/>
              <w:ind w:right="600"/>
              <w:spacing w:after="0" w:line="143" w:lineRule="exact"/>
              <w:rPr>
                <w:sz w:val="20"/>
                <w:szCs w:val="20"/>
                <w:color w:val="auto"/>
              </w:rPr>
            </w:pPr>
            <w:r>
              <w:rPr>
                <w:rFonts w:ascii="Arial" w:cs="Arial" w:eastAsia="Arial" w:hAnsi="Arial"/>
                <w:sz w:val="14"/>
                <w:szCs w:val="14"/>
                <w:b w:val="1"/>
                <w:bCs w:val="1"/>
                <w:i w:val="1"/>
                <w:iCs w:val="1"/>
                <w:color w:val="auto"/>
              </w:rPr>
              <w:t>Performance Level*</w:t>
            </w:r>
          </w:p>
        </w:tc>
        <w:tc>
          <w:tcPr>
            <w:tcW w:w="1020" w:type="dxa"/>
            <w:vAlign w:val="bottom"/>
            <w:tcBorders>
              <w:top w:val="single" w:sz="8" w:color="auto"/>
            </w:tcBorders>
            <w:gridSpan w:val="2"/>
          </w:tcPr>
          <w:p>
            <w:pPr>
              <w:ind w:left="460"/>
              <w:spacing w:after="0" w:line="143" w:lineRule="exact"/>
              <w:rPr>
                <w:sz w:val="20"/>
                <w:szCs w:val="20"/>
                <w:color w:val="auto"/>
              </w:rPr>
            </w:pPr>
            <w:r>
              <w:rPr>
                <w:rFonts w:ascii="Arial" w:cs="Arial" w:eastAsia="Arial" w:hAnsi="Arial"/>
                <w:sz w:val="14"/>
                <w:szCs w:val="14"/>
                <w:b w:val="1"/>
                <w:bCs w:val="1"/>
                <w:i w:val="1"/>
                <w:iCs w:val="1"/>
                <w:color w:val="auto"/>
                <w:w w:val="85"/>
              </w:rPr>
              <w:t>Payout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i w:val="1"/>
                <w:iCs w:val="1"/>
                <w:color w:val="auto"/>
                <w:w w:val="92"/>
              </w:rPr>
              <w:t>Threshold</w:t>
            </w:r>
          </w:p>
        </w:tc>
        <w:tc>
          <w:tcPr>
            <w:tcW w:w="49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96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i w:val="1"/>
                <w:iCs w:val="1"/>
                <w:color w:val="auto"/>
              </w:rPr>
              <w:t>93%</w:t>
            </w:r>
          </w:p>
        </w:tc>
        <w:tc>
          <w:tcPr>
            <w:tcW w:w="48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i w:val="1"/>
                <w:i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i w:val="1"/>
                <w:iCs w:val="1"/>
                <w:color w:val="auto"/>
              </w:rPr>
              <w:t>Target</w:t>
            </w:r>
          </w:p>
        </w:tc>
        <w:tc>
          <w:tcPr>
            <w:tcW w:w="6680" w:type="dxa"/>
            <w:vAlign w:val="bottom"/>
            <w:gridSpan w:val="3"/>
          </w:tcPr>
          <w:p>
            <w:pPr>
              <w:jc w:val="right"/>
              <w:ind w:right="460"/>
              <w:spacing w:after="0"/>
              <w:rPr>
                <w:sz w:val="20"/>
                <w:szCs w:val="20"/>
                <w:color w:val="auto"/>
              </w:rPr>
            </w:pPr>
            <w:r>
              <w:rPr>
                <w:rFonts w:ascii="Arial" w:cs="Arial" w:eastAsia="Arial" w:hAnsi="Arial"/>
                <w:sz w:val="18"/>
                <w:szCs w:val="18"/>
                <w:i w:val="1"/>
                <w:iCs w:val="1"/>
                <w:color w:val="auto"/>
              </w:rPr>
              <w:t>100%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4"/>
              </w:rPr>
              <w:t>Excellence</w:t>
            </w:r>
          </w:p>
        </w:tc>
        <w:tc>
          <w:tcPr>
            <w:tcW w:w="6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107%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200%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jc w:val="right"/>
              <w:ind w:right="2900"/>
              <w:spacing w:after="0"/>
              <w:rPr>
                <w:sz w:val="20"/>
                <w:szCs w:val="20"/>
                <w:color w:val="auto"/>
              </w:rPr>
            </w:pPr>
            <w:r>
              <w:rPr>
                <w:rFonts w:ascii="Arial" w:cs="Arial" w:eastAsia="Arial" w:hAnsi="Arial"/>
                <w:sz w:val="14"/>
                <w:szCs w:val="14"/>
                <w:b w:val="1"/>
                <w:bCs w:val="1"/>
                <w:color w:val="auto"/>
              </w:rPr>
              <w:t>Net Income</w:t>
            </w: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b w:val="1"/>
                <w:bCs w:val="1"/>
                <w:i w:val="1"/>
                <w:iCs w:val="1"/>
                <w:color w:val="auto"/>
                <w:w w:val="86"/>
              </w:rPr>
              <w:t>Performance</w:t>
            </w:r>
          </w:p>
        </w:tc>
        <w:tc>
          <w:tcPr>
            <w:tcW w:w="6680" w:type="dxa"/>
            <w:vAlign w:val="bottom"/>
            <w:gridSpan w:val="3"/>
          </w:tcPr>
          <w:p>
            <w:pPr>
              <w:jc w:val="right"/>
              <w:ind w:right="600"/>
              <w:spacing w:after="0" w:line="143" w:lineRule="exact"/>
              <w:rPr>
                <w:sz w:val="20"/>
                <w:szCs w:val="20"/>
                <w:color w:val="auto"/>
              </w:rPr>
            </w:pPr>
            <w:r>
              <w:rPr>
                <w:rFonts w:ascii="Arial" w:cs="Arial" w:eastAsia="Arial" w:hAnsi="Arial"/>
                <w:sz w:val="14"/>
                <w:szCs w:val="14"/>
                <w:b w:val="1"/>
                <w:bCs w:val="1"/>
                <w:i w:val="1"/>
                <w:iCs w:val="1"/>
                <w:color w:val="auto"/>
              </w:rPr>
              <w:t>Performance Level*</w:t>
            </w:r>
          </w:p>
        </w:tc>
        <w:tc>
          <w:tcPr>
            <w:tcW w:w="1220" w:type="dxa"/>
            <w:vAlign w:val="bottom"/>
            <w:gridSpan w:val="3"/>
          </w:tcPr>
          <w:p>
            <w:pPr>
              <w:ind w:left="460"/>
              <w:spacing w:after="0" w:line="143" w:lineRule="exact"/>
              <w:rPr>
                <w:sz w:val="20"/>
                <w:szCs w:val="20"/>
                <w:color w:val="auto"/>
              </w:rPr>
            </w:pPr>
            <w:r>
              <w:rPr>
                <w:rFonts w:ascii="Arial" w:cs="Arial" w:eastAsia="Arial" w:hAnsi="Arial"/>
                <w:sz w:val="14"/>
                <w:szCs w:val="14"/>
                <w:b w:val="1"/>
                <w:bCs w:val="1"/>
                <w:i w:val="1"/>
                <w:iCs w:val="1"/>
                <w:color w:val="auto"/>
              </w:rPr>
              <w:t>Payout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vMerge w:val="restart"/>
            <w:shd w:val="clear" w:color="auto" w:fill="CCEEFF"/>
          </w:tcPr>
          <w:p>
            <w:pPr>
              <w:spacing w:after="0"/>
              <w:rPr>
                <w:sz w:val="20"/>
                <w:szCs w:val="20"/>
                <w:color w:val="auto"/>
              </w:rPr>
            </w:pPr>
            <w:r>
              <w:rPr>
                <w:rFonts w:ascii="Arial" w:cs="Arial" w:eastAsia="Arial" w:hAnsi="Arial"/>
                <w:sz w:val="18"/>
                <w:szCs w:val="18"/>
                <w:i w:val="1"/>
                <w:iCs w:val="1"/>
                <w:color w:val="auto"/>
                <w:w w:val="92"/>
              </w:rPr>
              <w:t>Threshold</w:t>
            </w:r>
          </w:p>
        </w:tc>
        <w:tc>
          <w:tcPr>
            <w:tcW w:w="49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96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i w:val="1"/>
                <w:iCs w:val="1"/>
                <w:color w:val="auto"/>
              </w:rPr>
              <w:t>93%</w:t>
            </w:r>
          </w:p>
        </w:tc>
        <w:tc>
          <w:tcPr>
            <w:tcW w:w="48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i w:val="1"/>
                <w:i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i w:val="1"/>
                <w:iCs w:val="1"/>
                <w:color w:val="auto"/>
              </w:rPr>
              <w:t>Target</w:t>
            </w:r>
          </w:p>
        </w:tc>
        <w:tc>
          <w:tcPr>
            <w:tcW w:w="6680" w:type="dxa"/>
            <w:vAlign w:val="bottom"/>
            <w:gridSpan w:val="3"/>
          </w:tcPr>
          <w:p>
            <w:pPr>
              <w:jc w:val="right"/>
              <w:ind w:right="460"/>
              <w:spacing w:after="0"/>
              <w:rPr>
                <w:sz w:val="20"/>
                <w:szCs w:val="20"/>
                <w:color w:val="auto"/>
              </w:rPr>
            </w:pPr>
            <w:r>
              <w:rPr>
                <w:rFonts w:ascii="Arial" w:cs="Arial" w:eastAsia="Arial" w:hAnsi="Arial"/>
                <w:sz w:val="18"/>
                <w:szCs w:val="18"/>
                <w:i w:val="1"/>
                <w:iCs w:val="1"/>
                <w:color w:val="auto"/>
              </w:rPr>
              <w:t>100%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84"/>
              </w:rPr>
              <w:t>Excellence</w:t>
            </w:r>
          </w:p>
        </w:tc>
        <w:tc>
          <w:tcPr>
            <w:tcW w:w="6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107%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Payout levels are determined using linear interpolation for results falling between the three performance levels.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Opportunity</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outlined in the Plan Overview (above), the target incentive opportunity is based on a percentage of each Participant’s Base Salary (as defined below). The actual payout levels range from 50%-200% of target, assuming threshold levels are met.</w:t>
      </w:r>
    </w:p>
    <w:p>
      <w:pPr>
        <w:sectPr>
          <w:pgSz w:w="11900" w:h="16838" w:orient="portrait"/>
          <w:cols w:equalWidth="0" w:num="1">
            <w:col w:w="11420"/>
          </w:cols>
          <w:pgMar w:left="240" w:top="125" w:right="239" w:bottom="1440" w:gutter="0" w:footer="0" w:header="0"/>
        </w:sectPr>
      </w:pPr>
    </w:p>
    <w:bookmarkStart w:id="33" w:name="page34"/>
    <w:bookmarkEnd w:id="33"/>
    <w:tbl>
      <w:tblPr>
        <w:tblLayout w:type="fixed"/>
        <w:tblInd w:w="9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4"/>
              </w:rPr>
              <w:t>Participant Level</w:t>
            </w:r>
          </w:p>
        </w:tc>
        <w:tc>
          <w:tcPr>
            <w:tcW w:w="4380" w:type="dxa"/>
            <w:vAlign w:val="bottom"/>
            <w:vMerge w:val="restart"/>
          </w:tcPr>
          <w:p>
            <w:pPr>
              <w:spacing w:after="0"/>
              <w:rPr>
                <w:sz w:val="14"/>
                <w:szCs w:val="14"/>
                <w:color w:val="auto"/>
              </w:rPr>
            </w:pPr>
          </w:p>
        </w:tc>
        <w:tc>
          <w:tcPr>
            <w:tcW w:w="41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Incentive Opportunity* (% of Base Salary**)</w:t>
            </w:r>
          </w:p>
        </w:tc>
        <w:tc>
          <w:tcPr>
            <w:tcW w:w="0" w:type="dxa"/>
            <w:vAlign w:val="bottom"/>
          </w:tcPr>
          <w:p>
            <w:pPr>
              <w:spacing w:after="0"/>
              <w:rPr>
                <w:sz w:val="1"/>
                <w:szCs w:val="1"/>
                <w:color w:val="auto"/>
              </w:rPr>
            </w:pPr>
          </w:p>
        </w:tc>
      </w:tr>
      <w:tr>
        <w:trPr>
          <w:trHeight w:val="134"/>
        </w:trPr>
        <w:tc>
          <w:tcPr>
            <w:tcW w:w="1080" w:type="dxa"/>
            <w:vAlign w:val="bottom"/>
            <w:tcBorders>
              <w:bottom w:val="single" w:sz="8" w:color="auto"/>
            </w:tcBorders>
            <w:vMerge w:val="continue"/>
          </w:tcPr>
          <w:p>
            <w:pPr>
              <w:spacing w:after="0"/>
              <w:rPr>
                <w:sz w:val="11"/>
                <w:szCs w:val="11"/>
                <w:color w:val="auto"/>
              </w:rPr>
            </w:pPr>
          </w:p>
        </w:tc>
        <w:tc>
          <w:tcPr>
            <w:tcW w:w="4380" w:type="dxa"/>
            <w:vAlign w:val="bottom"/>
            <w:vMerge w:val="continue"/>
          </w:tcPr>
          <w:p>
            <w:pPr>
              <w:spacing w:after="0"/>
              <w:rPr>
                <w:sz w:val="11"/>
                <w:szCs w:val="11"/>
                <w:color w:val="auto"/>
              </w:rPr>
            </w:pPr>
          </w:p>
        </w:tc>
        <w:tc>
          <w:tcPr>
            <w:tcW w:w="1700" w:type="dxa"/>
            <w:vAlign w:val="bottom"/>
            <w:tcBorders>
              <w:top w:val="single" w:sz="8" w:color="auto"/>
            </w:tcBorders>
            <w:gridSpan w:val="2"/>
          </w:tcPr>
          <w:p>
            <w:pPr>
              <w:jc w:val="right"/>
              <w:ind w:right="1040"/>
              <w:spacing w:after="0" w:line="129" w:lineRule="exact"/>
              <w:rPr>
                <w:sz w:val="20"/>
                <w:szCs w:val="20"/>
                <w:color w:val="auto"/>
              </w:rPr>
            </w:pPr>
            <w:r>
              <w:rPr>
                <w:rFonts w:ascii="Arial" w:cs="Arial" w:eastAsia="Arial" w:hAnsi="Arial"/>
                <w:sz w:val="14"/>
                <w:szCs w:val="14"/>
                <w:b w:val="1"/>
                <w:bCs w:val="1"/>
                <w:color w:val="auto"/>
                <w:w w:val="94"/>
              </w:rPr>
              <w:t>Threshold</w:t>
            </w:r>
          </w:p>
        </w:tc>
        <w:tc>
          <w:tcPr>
            <w:tcW w:w="1400" w:type="dxa"/>
            <w:vAlign w:val="bottom"/>
            <w:tcBorders>
              <w:top w:val="single" w:sz="8" w:color="auto"/>
            </w:tcBorders>
            <w:gridSpan w:val="2"/>
          </w:tcPr>
          <w:p>
            <w:pPr>
              <w:jc w:val="right"/>
              <w:ind w:right="980"/>
              <w:spacing w:after="0" w:line="129" w:lineRule="exact"/>
              <w:rPr>
                <w:sz w:val="20"/>
                <w:szCs w:val="20"/>
                <w:color w:val="auto"/>
              </w:rPr>
            </w:pPr>
            <w:r>
              <w:rPr>
                <w:rFonts w:ascii="Arial" w:cs="Arial" w:eastAsia="Arial" w:hAnsi="Arial"/>
                <w:sz w:val="14"/>
                <w:szCs w:val="14"/>
                <w:b w:val="1"/>
                <w:bCs w:val="1"/>
                <w:color w:val="auto"/>
                <w:w w:val="93"/>
              </w:rPr>
              <w:t>Target</w:t>
            </w:r>
          </w:p>
        </w:tc>
        <w:tc>
          <w:tcPr>
            <w:tcW w:w="82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w w:val="96"/>
              </w:rPr>
              <w:t>Excellence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CEO</w:t>
            </w: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vMerge w:val="continue"/>
            <w:shd w:val="clear" w:color="auto" w:fill="CCEEFF"/>
          </w:tcPr>
          <w:p>
            <w:pPr>
              <w:spacing w:after="0"/>
              <w:rPr>
                <w:sz w:val="17"/>
                <w:szCs w:val="17"/>
                <w:color w:val="auto"/>
              </w:rPr>
            </w:pPr>
          </w:p>
        </w:tc>
        <w:tc>
          <w:tcPr>
            <w:tcW w:w="170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37.5%</w:t>
            </w:r>
          </w:p>
        </w:tc>
        <w:tc>
          <w:tcPr>
            <w:tcW w:w="140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75%</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Functional Mgmt. 6 (EVPs)</w:t>
            </w:r>
          </w:p>
        </w:tc>
        <w:tc>
          <w:tcPr>
            <w:tcW w:w="1700" w:type="dxa"/>
            <w:vAlign w:val="bottom"/>
            <w:gridSpan w:val="2"/>
          </w:tcPr>
          <w:p>
            <w:pPr>
              <w:jc w:val="right"/>
              <w:ind w:right="80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50%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60" w:hanging="452"/>
        <w:spacing w:after="0" w:line="253"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actual annual incentive that can be earned under this Annual Executive Plan is based on the level of performance achieved (as summarized in the table above) and can range from 0% of the “Target” (for performance levels below the “Threshold” level) to a maximum of 200% of the “Target” (for performance levels at or above the “Excellence” level).</w:t>
      </w:r>
    </w:p>
    <w:p>
      <w:pPr>
        <w:ind w:left="46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 Salary” is defined as the Participant’s gross base salary (before taxes and deductions) paid by the Company to the Participant during the Performance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Putting It All Together — An Example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Assume Lynn has a Functional Management Level 6 job with a Base Salary of $100,000. Her target incentive is 50% of Base Salary ($50,000).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Target — </w:t>
      </w:r>
      <w:r>
        <w:rPr>
          <w:rFonts w:ascii="Arial" w:cs="Arial" w:eastAsia="Arial" w:hAnsi="Arial"/>
          <w:sz w:val="18"/>
          <w:szCs w:val="18"/>
          <w:color w:val="auto"/>
        </w:rPr>
        <w:t>The performance weightings for Lynn’s grade along with dollar target amounts are:</w:t>
      </w:r>
    </w:p>
    <w:p>
      <w:pPr>
        <w:spacing w:after="0" w:line="9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Revenue: 50% ($25,000)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Income: 50% ($25,000)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Actual — </w:t>
            </w:r>
            <w:r>
              <w:rPr>
                <w:rFonts w:ascii="Arial" w:cs="Arial" w:eastAsia="Arial" w:hAnsi="Arial"/>
                <w:sz w:val="18"/>
                <w:szCs w:val="18"/>
                <w:color w:val="auto"/>
              </w:rPr>
              <w:t>The actual performance levels were:</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540" w:type="dxa"/>
            <w:vAlign w:val="bottom"/>
            <w:gridSpan w:val="3"/>
          </w:tcPr>
          <w:p>
            <w:pPr>
              <w:ind w:left="200"/>
              <w:spacing w:after="0"/>
              <w:rPr>
                <w:sz w:val="20"/>
                <w:szCs w:val="20"/>
                <w:color w:val="auto"/>
              </w:rPr>
            </w:pPr>
            <w:r>
              <w:rPr>
                <w:rFonts w:ascii="Arial" w:cs="Arial" w:eastAsia="Arial" w:hAnsi="Arial"/>
                <w:sz w:val="18"/>
                <w:szCs w:val="18"/>
                <w:color w:val="auto"/>
              </w:rPr>
              <w:t>Net Revenue: at “Excellence” or 200% ($50,000)</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540" w:type="dxa"/>
            <w:vAlign w:val="bottom"/>
            <w:gridSpan w:val="3"/>
          </w:tcPr>
          <w:p>
            <w:pPr>
              <w:ind w:left="200"/>
              <w:spacing w:after="0"/>
              <w:rPr>
                <w:sz w:val="20"/>
                <w:szCs w:val="20"/>
                <w:color w:val="auto"/>
              </w:rPr>
            </w:pPr>
            <w:r>
              <w:rPr>
                <w:rFonts w:ascii="Arial" w:cs="Arial" w:eastAsia="Arial" w:hAnsi="Arial"/>
                <w:sz w:val="18"/>
                <w:szCs w:val="18"/>
                <w:color w:val="auto"/>
              </w:rPr>
              <w:t>Net Income: at “Target” or 100% ($25,000)</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Performance Measure</w:t>
            </w:r>
          </w:p>
        </w:tc>
        <w:tc>
          <w:tcPr>
            <w:tcW w:w="2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Opportunity</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5"/>
              </w:rPr>
              <w:t>Weighting</w:t>
            </w:r>
          </w:p>
        </w:tc>
        <w:tc>
          <w:tcPr>
            <w:tcW w:w="1820" w:type="dxa"/>
            <w:vAlign w:val="bottom"/>
            <w:gridSpan w:val="2"/>
          </w:tcPr>
          <w:p>
            <w:pPr>
              <w:ind w:left="360"/>
              <w:spacing w:after="0"/>
              <w:rPr>
                <w:sz w:val="20"/>
                <w:szCs w:val="20"/>
                <w:color w:val="auto"/>
              </w:rPr>
            </w:pPr>
            <w:r>
              <w:rPr>
                <w:rFonts w:ascii="Arial" w:cs="Arial" w:eastAsia="Arial" w:hAnsi="Arial"/>
                <w:sz w:val="14"/>
                <w:szCs w:val="14"/>
                <w:b w:val="1"/>
                <w:bCs w:val="1"/>
                <w:color w:val="auto"/>
              </w:rPr>
              <w:t>Result</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Award</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w:t>
            </w:r>
          </w:p>
        </w:tc>
        <w:tc>
          <w:tcPr>
            <w:tcW w:w="9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50,000</w:t>
            </w:r>
          </w:p>
        </w:tc>
        <w:tc>
          <w:tcPr>
            <w:tcW w:w="64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50%</w:t>
            </w:r>
          </w:p>
        </w:tc>
        <w:tc>
          <w:tcPr>
            <w:tcW w:w="182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200%</w:t>
            </w: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4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50%</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Actual Total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Bonus Payout:</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5"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Guidelines — Provide additional information regarding how the Annual Executive Plan will be administered.</w:t>
      </w:r>
    </w:p>
    <w:p>
      <w:pPr>
        <w:spacing w:after="0" w:line="96" w:lineRule="exact"/>
        <w:rPr>
          <w:sz w:val="20"/>
          <w:szCs w:val="20"/>
          <w:color w:val="auto"/>
        </w:rPr>
      </w:pPr>
    </w:p>
    <w:p>
      <w:pPr>
        <w:jc w:val="both"/>
        <w:ind w:right="300" w:firstLine="8"/>
        <w:spacing w:after="0" w:line="306" w:lineRule="auto"/>
        <w:tabs>
          <w:tab w:leader="none" w:pos="1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Awards granted under the Annual Executive Plan are intended to qualify as performance-based compensation under section 162(m) of the Internal Revenue Code of 1986, as amended (“Code”). Annual incentive payments will become earned (i.e., vested) only if the Company achieves levels of “Net Revenue” and “Net Income” (as defined below) over the Performance Period as approved by the Compensation Committee.</w:t>
      </w:r>
    </w:p>
    <w:p>
      <w:pPr>
        <w:spacing w:after="0" w:line="25" w:lineRule="exact"/>
        <w:rPr>
          <w:rFonts w:ascii="Arial" w:cs="Arial" w:eastAsia="Arial" w:hAnsi="Arial"/>
          <w:sz w:val="16"/>
          <w:szCs w:val="16"/>
          <w:color w:val="auto"/>
        </w:rPr>
      </w:pPr>
    </w:p>
    <w:p>
      <w:pPr>
        <w:ind w:left="460" w:right="240" w:firstLine="4"/>
        <w:spacing w:after="0" w:line="259" w:lineRule="auto"/>
        <w:tabs>
          <w:tab w:leader="none" w:pos="626"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Certification of Results</w:t>
      </w:r>
      <w:r>
        <w:rPr>
          <w:rFonts w:ascii="Arial" w:cs="Arial" w:eastAsia="Arial" w:hAnsi="Arial"/>
          <w:sz w:val="18"/>
          <w:szCs w:val="18"/>
          <w:color w:val="auto"/>
        </w:rPr>
        <w:t>. Before any Awards under the Annual Executive Plan are deemed earned with respect to a Performance Period,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shall certify, in accordance with Section 9.5 of the 2010 Plan, in writing (i) that the performance goals have been met for the Performance Period, and (ii) the calculation of “Net Income” and “Net Revenue” for the Performance Period.</w:t>
      </w:r>
    </w:p>
    <w:p>
      <w:pPr>
        <w:spacing w:after="0" w:line="59" w:lineRule="exact"/>
        <w:rPr>
          <w:rFonts w:ascii="Arial" w:cs="Arial" w:eastAsia="Arial" w:hAnsi="Arial"/>
          <w:sz w:val="18"/>
          <w:szCs w:val="18"/>
          <w:color w:val="auto"/>
        </w:rPr>
      </w:pPr>
    </w:p>
    <w:p>
      <w:pPr>
        <w:ind w:left="460" w:firstLine="4"/>
        <w:spacing w:after="0" w:line="291" w:lineRule="auto"/>
        <w:tabs>
          <w:tab w:leader="none" w:pos="636"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Definition of “Net Income</w:t>
      </w:r>
      <w:r>
        <w:rPr>
          <w:rFonts w:ascii="Arial" w:cs="Arial" w:eastAsia="Arial" w:hAnsi="Arial"/>
          <w:sz w:val="16"/>
          <w:szCs w:val="16"/>
          <w:color w:val="auto"/>
        </w:rPr>
        <w:t>”. For purposes of this Annual Executive Plan, the term “Net Income” means, with respect to the Performance Period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Awards, the Company’s consolidated net income,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39" w:lineRule="exact"/>
        <w:rPr>
          <w:rFonts w:ascii="Arial" w:cs="Arial" w:eastAsia="Arial" w:hAnsi="Arial"/>
          <w:sz w:val="16"/>
          <w:szCs w:val="16"/>
          <w:color w:val="auto"/>
        </w:rPr>
      </w:pPr>
    </w:p>
    <w:p>
      <w:pPr>
        <w:ind w:left="460" w:right="20" w:firstLine="4"/>
        <w:spacing w:after="0" w:line="268" w:lineRule="auto"/>
        <w:tabs>
          <w:tab w:leader="none" w:pos="626"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Definition of “Net Revenue</w:t>
      </w:r>
      <w:r>
        <w:rPr>
          <w:rFonts w:ascii="Arial" w:cs="Arial" w:eastAsia="Arial" w:hAnsi="Arial"/>
          <w:sz w:val="18"/>
          <w:szCs w:val="18"/>
          <w:color w:val="auto"/>
        </w:rPr>
        <w:t>”. For purposes of this Annual Executive Plan, the term “Net Revenue” means, with respect to the Performance Period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any Awards, the Company’s consolidated net revenue, as determined in accordance with U.S. GAAP.</w:t>
      </w:r>
    </w:p>
    <w:p>
      <w:pPr>
        <w:spacing w:after="0" w:line="50" w:lineRule="exact"/>
        <w:rPr>
          <w:rFonts w:ascii="Arial" w:cs="Arial" w:eastAsia="Arial" w:hAnsi="Arial"/>
          <w:sz w:val="18"/>
          <w:szCs w:val="18"/>
          <w:color w:val="auto"/>
        </w:rPr>
      </w:pPr>
    </w:p>
    <w:p>
      <w:pPr>
        <w:ind w:left="460" w:right="20" w:firstLine="4"/>
        <w:spacing w:after="0" w:line="290" w:lineRule="auto"/>
        <w:tabs>
          <w:tab w:leader="none" w:pos="636"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Finality of Committee Determinations</w:t>
      </w:r>
      <w:r>
        <w:rPr>
          <w:rFonts w:ascii="Arial" w:cs="Arial" w:eastAsia="Arial" w:hAnsi="Arial"/>
          <w:sz w:val="16"/>
          <w:szCs w:val="16"/>
          <w:color w:val="auto"/>
        </w:rPr>
        <w:t>. Any determination by the Committee of Net Income, Net Revenue and the level and entitlement to an Award,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interpretation, rule, or decision adopted by the Committee under the Annual Executive Plan or in carrying out or administering the Annual Executive Plan, is final and binding for all purposes and upon all interested persons, their heirs, and personal representatives. The Committee may rely conclusively on determinations made by the Company and its auditors to determine Net Income, Net Revenue and related information for purposes of administration of the Annual Executive Plan, whether such information is determined by the Company, its auditors, or a third-party vendor engaged to provide such information to the Company. This provision is not intended to limit the Committee’s power, to the extent it deems proper in its sole discretion, to take any action permitted under the Plan and Code Section 162(m)</w:t>
      </w:r>
    </w:p>
    <w:p>
      <w:pPr>
        <w:spacing w:after="0" w:line="118" w:lineRule="exact"/>
        <w:rPr>
          <w:rFonts w:ascii="Arial" w:cs="Arial" w:eastAsia="Arial" w:hAnsi="Arial"/>
          <w:sz w:val="16"/>
          <w:szCs w:val="16"/>
          <w:color w:val="auto"/>
        </w:rPr>
      </w:pPr>
    </w:p>
    <w:p>
      <w:pPr>
        <w:ind w:right="120"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Only those regular, full-time and part-time corporate employees selected by the Compensation Committee and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eligible to participate in this Annual Executive Plan.</w:t>
      </w:r>
    </w:p>
    <w:p>
      <w:pPr>
        <w:spacing w:after="0" w:line="131" w:lineRule="exact"/>
        <w:rPr>
          <w:rFonts w:ascii="Arial" w:cs="Arial" w:eastAsia="Arial" w:hAnsi="Arial"/>
          <w:sz w:val="18"/>
          <w:szCs w:val="18"/>
          <w:color w:val="auto"/>
        </w:rPr>
      </w:pPr>
    </w:p>
    <w:p>
      <w:pPr>
        <w:ind w:right="220" w:firstLine="8"/>
        <w:spacing w:after="0" w:line="268" w:lineRule="auto"/>
        <w:tabs>
          <w:tab w:leader="none" w:pos="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Participation in the Annual Executive Plan neither gives any employee the right to be retained as an employee nor limits the Company’s right to discharge or discipline any employee.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5" w:name="page36"/>
    <w:bookmarkEnd w:id="35"/>
    <w:p>
      <w:pPr>
        <w:ind w:firstLine="8"/>
        <w:spacing w:after="0" w:line="294" w:lineRule="auto"/>
        <w:tabs>
          <w:tab w:leader="none" w:pos="176"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provided herein, (a) no Participant will be entitled to an incentive payment under the Annual Executive Plan unless the Participant is employed by the Company or an Affiliate in an eligible position on the day the incentive payment is made, and (b) a Participant who separates from the Service for any reason prior to the date of payment of such incentive will not be entitled to a prorated award, unless otherwise required by applicable state law. Notwithstanding the preceding provisions, the following provisions will apply if, during the Performance Period (or after the Performance Period and prior to the date of payment), you cease providing Services due to death, Disability or Retirement (and provided that you have not otherwise engaged in an act that would constitute Cause):</w:t>
      </w:r>
    </w:p>
    <w:p>
      <w:pPr>
        <w:spacing w:after="0" w:line="34" w:lineRule="exact"/>
        <w:rPr>
          <w:rFonts w:ascii="Arial" w:cs="Arial" w:eastAsia="Arial" w:hAnsi="Arial"/>
          <w:sz w:val="16"/>
          <w:szCs w:val="16"/>
          <w:color w:val="auto"/>
        </w:rPr>
      </w:pPr>
    </w:p>
    <w:p>
      <w:pPr>
        <w:ind w:left="460" w:firstLine="4"/>
        <w:spacing w:after="0" w:line="255" w:lineRule="auto"/>
        <w:tabs>
          <w:tab w:leader="none" w:pos="67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In the event a Participant’s Service terminates as a result of death or Disability prior to the date on which the incentive payment is made, the outstanding Award shall be treated as earned at the target level (if such Service terminated prior to the end of the Performance Period), or at the actual level (if such Service terminated after the Performance Period and prior to the payment date), but prorated based on the number of full fiscal months (in which the Participant provided Service throughout such month) during the Performance Period, with any such earned Awards becoming fully vested and paid out as provided in section 8, below.</w:t>
      </w:r>
    </w:p>
    <w:p>
      <w:pPr>
        <w:spacing w:after="0" w:line="61" w:lineRule="exact"/>
        <w:rPr>
          <w:rFonts w:ascii="Arial" w:cs="Arial" w:eastAsia="Arial" w:hAnsi="Arial"/>
          <w:sz w:val="18"/>
          <w:szCs w:val="18"/>
          <w:color w:val="auto"/>
        </w:rPr>
      </w:pPr>
    </w:p>
    <w:p>
      <w:pPr>
        <w:ind w:left="460" w:right="40" w:firstLine="4"/>
        <w:spacing w:after="0" w:line="256" w:lineRule="auto"/>
        <w:tabs>
          <w:tab w:leader="none" w:pos="71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In the event a Participant’s Service with the Company terminates as a result of Retirement during the Performance Period, the outstanding Award shall be earned based on the actual performance level obtained (determined at the end of the Performance Period), but prorated based on the number of full fiscal months (in which the Participant provided Service throughout such month) during the Performance Period, with any such earned Awards becoming fully vested and paid out as provided in section 8, below.</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the event a Participant’s Service terminates prior to the date of payment as a result of any reason other than death, Disability, or Retirement, all unearned incentive compensation granted hereunder shall be forfeited to the Company.</w:t>
      </w:r>
    </w:p>
    <w:p>
      <w:pPr>
        <w:spacing w:after="0" w:line="132" w:lineRule="exact"/>
        <w:rPr>
          <w:sz w:val="20"/>
          <w:szCs w:val="20"/>
          <w:color w:val="auto"/>
        </w:rPr>
      </w:pPr>
    </w:p>
    <w:p>
      <w:pPr>
        <w:ind w:right="40" w:firstLine="8"/>
        <w:spacing w:after="0" w:line="283" w:lineRule="auto"/>
        <w:tabs>
          <w:tab w:leader="none" w:pos="1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Annual Executive Plan, in the event of a Change in Control of the Company during the Performance Period, then the outstanding Award shall be treated as earned at the target level, but prorated based on the number of full fiscal months (in which the Participant provided Service throughout such month) during the Performance Period, with any such earned Awards becoming fully vested and paid out on a as soon as practicable (but not later that 30 calendar days) following the Change in Control. For purposes of this Annual Executive Plan, the term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w:t>
      </w: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6" w:name="page37"/>
    <w:bookmarkEnd w:id="36"/>
    <w:p>
      <w:pPr>
        <w:ind w:right="3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47" w:lineRule="exact"/>
        <w:rPr>
          <w:sz w:val="20"/>
          <w:szCs w:val="20"/>
          <w:color w:val="auto"/>
        </w:rPr>
      </w:pPr>
    </w:p>
    <w:p>
      <w:pPr>
        <w:ind w:right="62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the discretion of the Compensation Committee of the Board, Participants will be ineligible to participate in the Annual Executive Plan while employed in any new-hire probationary period.</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goal attainment calculations will follow normal rounding guidelines (i.e., 93.1% to 93.49% = 93%; 93.5% to 93.9% = 94%).</w:t>
      </w:r>
    </w:p>
    <w:p>
      <w:pPr>
        <w:spacing w:after="0" w:line="171" w:lineRule="exact"/>
        <w:rPr>
          <w:rFonts w:ascii="Arial" w:cs="Arial" w:eastAsia="Arial" w:hAnsi="Arial"/>
          <w:sz w:val="18"/>
          <w:szCs w:val="18"/>
          <w:color w:val="auto"/>
        </w:rPr>
      </w:pPr>
    </w:p>
    <w:p>
      <w:pPr>
        <w:ind w:right="60" w:firstLine="8"/>
        <w:spacing w:after="0" w:line="259"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to the certification requirements of the Compensation Committee (above), payments under the Annual Executive Plan will be paid in cash after the end of the Company’s fiscal tax year but no later than the 15th day of the third month following the Company’s fiscal tax year on which the annual incentives under this Annual Executive Plan are based.</w:t>
      </w:r>
    </w:p>
    <w:p>
      <w:pPr>
        <w:spacing w:after="0" w:line="140" w:lineRule="exact"/>
        <w:rPr>
          <w:rFonts w:ascii="Arial" w:cs="Arial" w:eastAsia="Arial" w:hAnsi="Arial"/>
          <w:sz w:val="18"/>
          <w:szCs w:val="18"/>
          <w:color w:val="auto"/>
        </w:rPr>
      </w:pPr>
    </w:p>
    <w:p>
      <w:pPr>
        <w:ind w:right="820" w:firstLine="8"/>
        <w:spacing w:after="0" w:line="268" w:lineRule="auto"/>
        <w:tabs>
          <w:tab w:leader="none" w:pos="17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the power and the right to deduct or withhold an amount sufficient to satisfy federal, state, and local taxes (including FICA obligations), domestic or foreign, and other deductions required to be withheld by law with respect to this Award.</w:t>
      </w:r>
    </w:p>
    <w:p>
      <w:pPr>
        <w:spacing w:after="0" w:line="131" w:lineRule="exact"/>
        <w:rPr>
          <w:rFonts w:ascii="Arial" w:cs="Arial" w:eastAsia="Arial" w:hAnsi="Arial"/>
          <w:sz w:val="18"/>
          <w:szCs w:val="18"/>
          <w:color w:val="auto"/>
        </w:rPr>
      </w:pPr>
    </w:p>
    <w:p>
      <w:pPr>
        <w:ind w:right="740" w:firstLine="8"/>
        <w:spacing w:after="0" w:line="268"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Record keeping and computation required by this Annual Executive Plan will be subject to review by third-party auditors, and by the Compensation Committee.</w:t>
      </w:r>
    </w:p>
    <w:p>
      <w:pPr>
        <w:spacing w:after="0" w:line="131" w:lineRule="exact"/>
        <w:rPr>
          <w:rFonts w:ascii="Arial" w:cs="Arial" w:eastAsia="Arial" w:hAnsi="Arial"/>
          <w:sz w:val="18"/>
          <w:szCs w:val="18"/>
          <w:color w:val="auto"/>
        </w:rPr>
      </w:pPr>
    </w:p>
    <w:p>
      <w:pPr>
        <w:ind w:firstLine="8"/>
        <w:spacing w:after="0" w:line="294" w:lineRule="auto"/>
        <w:tabs>
          <w:tab w:leader="none" w:pos="257"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Interpretations, determinations, and actions regarding plan administration shall be made by the Compensation Committee. Any such determinations and any interpretation, rule, or decision under the Annual Executive Plan or in carrying out or administering the Annual Executive Plan, is final and binding for all purposes and upon all interested persons, their heirs, and personal representatives. The Company or its designee may rely conclusively on determinations made by the Company and its auditors to determine related information for purposes of administration of the Annual Executive Plan, whether such information is determined by the Company, its auditors, or a third-party vendor engaged to provide such information to the Company.</w:t>
      </w:r>
    </w:p>
    <w:p>
      <w:pPr>
        <w:spacing w:after="0" w:line="115" w:lineRule="exact"/>
        <w:rPr>
          <w:rFonts w:ascii="Arial" w:cs="Arial" w:eastAsia="Arial" w:hAnsi="Arial"/>
          <w:sz w:val="16"/>
          <w:szCs w:val="16"/>
          <w:color w:val="auto"/>
        </w:rPr>
      </w:pPr>
    </w:p>
    <w:p>
      <w:pPr>
        <w:ind w:firstLine="8"/>
        <w:spacing w:after="0" w:line="268"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While it is the intent of the Company to continue this Annual Executive Plan as stated herein, the Company reserves the right to amend or discontinue the plan at any time in its sole discretion.</w:t>
      </w:r>
    </w:p>
    <w:p>
      <w:pPr>
        <w:spacing w:after="0" w:line="131" w:lineRule="exact"/>
        <w:rPr>
          <w:rFonts w:ascii="Arial" w:cs="Arial" w:eastAsia="Arial" w:hAnsi="Arial"/>
          <w:sz w:val="18"/>
          <w:szCs w:val="18"/>
          <w:color w:val="auto"/>
        </w:rPr>
      </w:pPr>
    </w:p>
    <w:p>
      <w:pPr>
        <w:ind w:right="20" w:firstLine="8"/>
        <w:spacing w:after="0" w:line="268" w:lineRule="auto"/>
        <w:tabs>
          <w:tab w:leader="none" w:pos="2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Participant can assign, encumber or transfer any of his or her rights and interests under the Award described in this document, except, in the event of his or her death, by will or the laws of descent and distribution.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7" w:name="page38"/>
    <w:bookmarkEnd w:id="37"/>
    <w:p>
      <w:pPr>
        <w:ind w:left="-8" w:firstLine="8"/>
        <w:spacing w:after="0" w:line="332"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rights granted under this document are in all respects subject to the provisions of the 2010 Plan to the same extent and with the same effect as if they were set forth fully therein. If the terms of this document or the Award conflict with the terms of the 2010 Plan, the 2010 Plan will control.</w:t>
      </w: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Exhibit A</w:t>
      </w:r>
    </w:p>
    <w:p>
      <w:pPr>
        <w:spacing w:after="0" w:line="9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Employees Eligible for FY14 Annual Executive Plan</w:t>
      </w:r>
    </w:p>
    <w:p>
      <w:pPr>
        <w:spacing w:after="0" w:line="96" w:lineRule="exact"/>
        <w:rPr>
          <w:sz w:val="20"/>
          <w:szCs w:val="20"/>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Mike Ray</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Barbara Baekgaard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C. Roddy Mann</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Kimberly Colby</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Matthew Wojewuczki</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Bonita Inza</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June 12, 2013</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Kevin J. Sierks</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Kevin J. Sierks</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Vice President – Controller, Chief Accounting Officer and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Interim Chief Financial Officer</w:t>
            </w: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quarterly report on Form 10-Q for the fiscal quarter ended May 4, 2013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 Kevin J. Sierks, the Vice President – Controller, Chief Accounting Officer and Interim Chief Financial Officer of Vera Bradley, Inc., certify that (i) the quarterly report on Form 10-Q for the fiscal quarter ended May 4, 2013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J. Sierks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 Controller, Chief Accounting</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Officer and Interim 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June 12,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decimal"/>
      <w:start w:val="3"/>
    </w:lvl>
    <w:lvl w:ilvl="1">
      <w:lvlJc w:val="left"/>
      <w:lvlText w:val="•"/>
      <w:numFmt w:val="bullet"/>
      <w:start w:val="1"/>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1."/>
      <w:numFmt w:val="decimal"/>
      <w:start w:val="5"/>
    </w:lvl>
  </w:abstractNum>
  <w:abstractNum w:abstractNumId="8">
    <w:nsid w:val="737B8DDC"/>
    <w:multiLevelType w:val="hybridMultilevel"/>
    <w:lvl w:ilvl="0">
      <w:lvlJc w:val="left"/>
      <w:lvlText w:val="%1."/>
      <w:numFmt w:val="decimal"/>
      <w:start w:val="6"/>
    </w:lvl>
  </w:abstractNum>
  <w:abstractNum w:abstractNumId="9">
    <w:nsid w:val="6CEAF087"/>
    <w:multiLevelType w:val="hybridMultilevel"/>
    <w:lvl w:ilvl="0">
      <w:lvlJc w:val="left"/>
      <w:lvlText w:val="%1."/>
      <w:numFmt w:val="decimal"/>
      <w:start w:val="8"/>
    </w:lvl>
  </w:abstractNum>
  <w:abstractNum w:abstractNumId="10">
    <w:nsid w:val="22221A70"/>
    <w:multiLevelType w:val="hybridMultilevel"/>
    <w:lvl w:ilvl="0">
      <w:lvlJc w:val="left"/>
      <w:lvlText w:val="•"/>
      <w:numFmt w:val="bullet"/>
      <w:start w:val="1"/>
    </w:lvl>
    <w:lvl w:ilvl="1">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2"/>
    </w:lvl>
  </w:abstractNum>
  <w:abstractNum w:abstractNumId="14">
    <w:nsid w:val="419AC241"/>
    <w:multiLevelType w:val="hybridMultilevel"/>
    <w:lvl w:ilvl="0">
      <w:lvlJc w:val="left"/>
      <w:lvlText w:val="%1"/>
      <w:numFmt w:val="decimal"/>
      <w:start w:val="10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0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decimal"/>
      <w:start w:val="3"/>
    </w:lvl>
  </w:abstractNum>
  <w:abstractNum w:abstractNumId="23">
    <w:nsid w:val="5E884ADC"/>
    <w:multiLevelType w:val="hybridMultilevel"/>
    <w:lvl w:ilvl="0">
      <w:lvlJc w:val="left"/>
      <w:lvlText w:val="(%1)"/>
      <w:numFmt w:val="lowerLetter"/>
      <w:start w:val="1"/>
    </w:lvl>
    <w:lvl w:ilvl="1">
      <w:lvlJc w:val="left"/>
      <w:lvlText w:val="(%2)"/>
      <w:numFmt w:val="lowerLetter"/>
      <w:start w:val="9"/>
    </w:lvl>
  </w:abstractNum>
  <w:abstractNum w:abstractNumId="24">
    <w:nsid w:val="51EAD36B"/>
    <w:multiLevelType w:val="hybridMultilevel"/>
    <w:lvl w:ilvl="0">
      <w:lvlJc w:val="left"/>
      <w:lvlText w:val="(%1)"/>
      <w:numFmt w:val="lowerRoman"/>
      <w:start w:val="2"/>
    </w:lvl>
  </w:abstractNum>
  <w:abstractNum w:abstractNumId="25">
    <w:nsid w:val="2D517796"/>
    <w:multiLevelType w:val="hybridMultilevel"/>
    <w:lvl w:ilvl="0">
      <w:lvlJc w:val="left"/>
      <w:lvlText w:val="%1."/>
      <w:numFmt w:val="decimal"/>
      <w:start w:val="4"/>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decimal"/>
      <w:start w:val="5"/>
    </w:lvl>
  </w:abstractNum>
  <w:abstractNum w:abstractNumId="28">
    <w:nsid w:val="3855585C"/>
    <w:multiLevelType w:val="hybridMultilevel"/>
    <w:lvl w:ilvl="0">
      <w:lvlJc w:val="left"/>
      <w:lvlText w:val="%1."/>
      <w:numFmt w:val="decimal"/>
      <w:start w:val="6"/>
    </w:lvl>
  </w:abstractNum>
  <w:abstractNum w:abstractNumId="29">
    <w:nsid w:val="70A64E2A"/>
    <w:multiLevelType w:val="hybridMultilevel"/>
    <w:lvl w:ilvl="0">
      <w:lvlJc w:val="left"/>
      <w:lvlText w:val="%1."/>
      <w:numFmt w:val="decimal"/>
      <w:start w:val="8"/>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decimal"/>
      <w:start w:val="10"/>
    </w:lvl>
  </w:abstractNum>
  <w:abstractNum w:abstractNumId="32">
    <w:nsid w:val="1D4ED43B"/>
    <w:multiLevelType w:val="hybridMultilevel"/>
    <w:lvl w:ilvl="0">
      <w:lvlJc w:val="left"/>
      <w:lvlText w:val="%1."/>
      <w:numFmt w:val="decimal"/>
      <w:start w:val="12"/>
    </w:lvl>
  </w:abstractNum>
  <w:abstractNum w:abstractNumId="33">
    <w:nsid w:val="725A06FB"/>
    <w:multiLevelType w:val="hybridMultilevel"/>
    <w:lvl w:ilvl="0">
      <w:lvlJc w:val="left"/>
      <w:lvlText w:val="%1."/>
      <w:numFmt w:val="decimal"/>
      <w:start w:val="2"/>
    </w:lvl>
    <w:lvl w:ilvl="1">
      <w:lvlJc w:val="left"/>
      <w:lvlText w:val="(%2)"/>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decimal"/>
      <w:start w:val="4"/>
    </w:lvl>
  </w:abstractNum>
  <w:abstractNum w:abstractNumId="36">
    <w:nsid w:val="7A6D8D3C"/>
    <w:multiLevelType w:val="hybridMultilevel"/>
    <w:lvl w:ilvl="0">
      <w:lvlJc w:val="left"/>
      <w:lvlText w:val="%1."/>
      <w:numFmt w:val="decimal"/>
      <w:start w:val="5"/>
    </w:lvl>
  </w:abstractNum>
  <w:abstractNum w:abstractNumId="37">
    <w:nsid w:val="4B588F54"/>
    <w:multiLevelType w:val="hybridMultilevel"/>
    <w:lvl w:ilvl="0">
      <w:lvlJc w:val="left"/>
      <w:lvlText w:val="%1."/>
      <w:numFmt w:val="decimal"/>
      <w:start w:val="8"/>
    </w:lvl>
  </w:abstractNum>
  <w:abstractNum w:abstractNumId="38">
    <w:nsid w:val="542289EC"/>
    <w:multiLevelType w:val="hybridMultilevel"/>
    <w:lvl w:ilvl="0">
      <w:lvlJc w:val="left"/>
      <w:lvlText w:val="%1"/>
      <w:numFmt w:val="lowerLetter"/>
      <w:start w:val="1"/>
    </w:lvl>
    <w:lvl w:ilvl="1">
      <w:lvlJc w:val="left"/>
      <w:lvlText w:val="(%2)"/>
      <w:numFmt w:val="lowerLetter"/>
      <w:start w:val="1"/>
    </w:lvl>
  </w:abstractNum>
  <w:abstractNum w:abstractNumId="39">
    <w:nsid w:val="6DE91B18"/>
    <w:multiLevelType w:val="hybridMultilevel"/>
    <w:lvl w:ilvl="0">
      <w:lvlJc w:val="left"/>
      <w:lvlText w:val="(%1)"/>
      <w:numFmt w:val="lowerLetter"/>
      <w:start w:val="35"/>
    </w:lvl>
    <w:lvl w:ilvl="1">
      <w:lvlJc w:val="left"/>
      <w:lvlText w:val="%2"/>
      <w:numFmt w:val="lowerLetter"/>
      <w:start w:val="1"/>
    </w:lvl>
  </w:abstractNum>
  <w:abstractNum w:abstractNumId="40">
    <w:nsid w:val="38437FDB"/>
    <w:multiLevelType w:val="hybridMultilevel"/>
    <w:lvl w:ilvl="0">
      <w:lvlJc w:val="left"/>
      <w:lvlText w:val="%1."/>
      <w:numFmt w:val="decimal"/>
      <w:start w:val="9"/>
    </w:lvl>
  </w:abstractNum>
  <w:abstractNum w:abstractNumId="41">
    <w:nsid w:val="7644A45C"/>
    <w:multiLevelType w:val="hybridMultilevel"/>
    <w:lvl w:ilvl="0">
      <w:lvlJc w:val="left"/>
      <w:lvlText w:val="%1."/>
      <w:numFmt w:val="decimal"/>
      <w:start w:val="12"/>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1"/>
    </w:lvl>
    <w:lvl w:ilvl="1">
      <w:lvlJc w:val="left"/>
      <w:lvlText w:val="%2."/>
      <w:numFmt w:val="lowerLetter"/>
      <w:start w:val="1"/>
    </w:lvl>
  </w:abstractNum>
  <w:abstractNum w:abstractNumId="47">
    <w:nsid w:val="1BA026FA"/>
    <w:multiLevelType w:val="hybridMultilevel"/>
    <w:lvl w:ilvl="0">
      <w:lvlJc w:val="left"/>
      <w:lvlText w:val="%1."/>
      <w:numFmt w:val="decimal"/>
      <w:start w:val="4"/>
    </w:lvl>
    <w:lvl w:ilvl="1">
      <w:lvlJc w:val="left"/>
      <w:lvlText w:val="(%2)"/>
      <w:numFmt w:val="lowerRoman"/>
      <w:start w:val="1"/>
    </w:lvl>
  </w:abstractNum>
  <w:abstractNum w:abstractNumId="48">
    <w:nsid w:val="79A1DEAA"/>
    <w:multiLevelType w:val="hybridMultilevel"/>
    <w:lvl w:ilvl="0">
      <w:lvlJc w:val="left"/>
      <w:lvlText w:val="%1."/>
      <w:numFmt w:val="decimal"/>
      <w:start w:val="5"/>
    </w:lvl>
  </w:abstractNum>
  <w:abstractNum w:abstractNumId="49">
    <w:nsid w:val="75C6C33A"/>
    <w:multiLevelType w:val="hybridMultilevel"/>
    <w:lvl w:ilvl="0">
      <w:lvlJc w:val="left"/>
      <w:lvlText w:val="%1."/>
      <w:numFmt w:val="decimal"/>
      <w:start w:val="6"/>
    </w:lvl>
  </w:abstractNum>
  <w:abstractNum w:abstractNumId="50">
    <w:nsid w:val="12E685FB"/>
    <w:multiLevelType w:val="hybridMultilevel"/>
    <w:lvl w:ilvl="0">
      <w:lvlJc w:val="left"/>
      <w:lvlText w:val="%1."/>
      <w:numFmt w:val="decimal"/>
      <w:start w:val="14"/>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2019-12-07T21:58:22Z</dcterms:created>
  <dcterms:modified xsi:type="dcterms:W3CDTF">2019-12-07T21:58:22Z</dcterms:modified>
</cp:coreProperties>
</file>