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587375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560705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8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336" w:lineRule="exact"/>
        <w:rPr>
          <w:sz w:val="24"/>
          <w:szCs w:val="24"/>
          <w:color w:val="auto"/>
        </w:rPr>
      </w:pPr>
    </w:p>
    <w:p>
      <w:pPr>
        <w:ind w:left="4320" w:right="3700" w:hanging="4301"/>
        <w:spacing w:after="0" w:line="355" w:lineRule="auto"/>
        <w:tabs>
          <w:tab w:leader="none" w:pos="676"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February 1, 2025</w:t>
      </w:r>
    </w:p>
    <w:p>
      <w:pPr>
        <w:spacing w:after="0" w:line="1" w:lineRule="exact"/>
        <w:rPr>
          <w:rFonts w:ascii="MS PGothic" w:cs="MS PGothic" w:eastAsia="MS PGothic" w:hAnsi="MS PGothic"/>
          <w:sz w:val="14"/>
          <w:szCs w:val="14"/>
          <w:color w:val="auto"/>
        </w:rPr>
      </w:pPr>
    </w:p>
    <w:p>
      <w:pPr>
        <w:ind w:left="554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115" w:lineRule="exact"/>
        <w:rPr>
          <w:sz w:val="24"/>
          <w:szCs w:val="24"/>
          <w:color w:val="auto"/>
        </w:rPr>
      </w:pPr>
    </w:p>
    <w:p>
      <w:pPr>
        <w:ind w:left="680" w:hanging="661"/>
        <w:spacing w:after="0"/>
        <w:tabs>
          <w:tab w:leader="none" w:pos="6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3" w:lineRule="exact"/>
        <w:rPr>
          <w:sz w:val="24"/>
          <w:szCs w:val="24"/>
          <w:color w:val="auto"/>
        </w:rPr>
      </w:pPr>
    </w:p>
    <w:p>
      <w:pPr>
        <w:ind w:left="4160"/>
        <w:spacing w:after="0"/>
        <w:tabs>
          <w:tab w:leader="none" w:pos="654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001-34918</w:t>
      </w:r>
    </w:p>
    <w:p>
      <w:pPr>
        <w:spacing w:after="0" w:line="7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48895</wp:posOffset>
            </wp:positionV>
            <wp:extent cx="1010285" cy="1010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0285" cy="1010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tbl>
      <w:tblPr>
        <w:tblLayout w:type="fixed"/>
        <w:tblInd w:w="10" w:type="dxa"/>
        <w:tblCellMar>
          <w:top w:w="0" w:type="dxa"/>
          <w:left w:w="0" w:type="dxa"/>
          <w:bottom w:w="0" w:type="dxa"/>
          <w:right w:w="0" w:type="dxa"/>
        </w:tblCellMar>
      </w:tblPr>
      <w:tr>
        <w:trPr>
          <w:trHeight w:val="387"/>
        </w:trPr>
        <w:tc>
          <w:tcPr>
            <w:tcW w:w="3840" w:type="dxa"/>
            <w:vAlign w:val="bottom"/>
          </w:tcPr>
          <w:p>
            <w:pPr>
              <w:spacing w:after="0"/>
              <w:rPr>
                <w:sz w:val="24"/>
                <w:szCs w:val="24"/>
                <w:color w:val="auto"/>
              </w:rPr>
            </w:pPr>
          </w:p>
        </w:tc>
        <w:tc>
          <w:tcPr>
            <w:tcW w:w="3600" w:type="dxa"/>
            <w:vAlign w:val="bottom"/>
            <w:gridSpan w:val="3"/>
          </w:tcPr>
          <w:p>
            <w:pPr>
              <w:jc w:val="center"/>
              <w:spacing w:after="0"/>
              <w:rPr>
                <w:sz w:val="20"/>
                <w:szCs w:val="20"/>
                <w:color w:val="auto"/>
              </w:rPr>
            </w:pPr>
            <w:r>
              <w:rPr>
                <w:rFonts w:ascii="Times New Roman" w:cs="Times New Roman" w:eastAsia="Times New Roman" w:hAnsi="Times New Roman"/>
                <w:sz w:val="31"/>
                <w:szCs w:val="31"/>
                <w:b w:val="1"/>
                <w:bCs w:val="1"/>
                <w:color w:val="auto"/>
                <w:w w:val="99"/>
              </w:rPr>
              <w:t>VERA BRADLEY, INC.</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3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840" w:type="dxa"/>
            <w:vAlign w:val="bottom"/>
          </w:tcPr>
          <w:p>
            <w:pPr>
              <w:spacing w:after="0"/>
              <w:rPr>
                <w:sz w:val="20"/>
                <w:szCs w:val="20"/>
                <w:color w:val="auto"/>
              </w:rPr>
            </w:pPr>
          </w:p>
        </w:tc>
        <w:tc>
          <w:tcPr>
            <w:tcW w:w="36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_____________________________________________</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40" w:type="dxa"/>
            <w:vAlign w:val="bottom"/>
          </w:tcPr>
          <w:p>
            <w:pPr>
              <w:jc w:val="center"/>
              <w:ind w:left="1694"/>
              <w:spacing w:after="0"/>
              <w:rPr>
                <w:sz w:val="20"/>
                <w:szCs w:val="20"/>
                <w:color w:val="auto"/>
              </w:rPr>
            </w:pPr>
            <w:r>
              <w:rPr>
                <w:rFonts w:ascii="Times New Roman" w:cs="Times New Roman" w:eastAsia="Times New Roman" w:hAnsi="Times New Roman"/>
                <w:sz w:val="14"/>
                <w:szCs w:val="14"/>
                <w:b w:val="1"/>
                <w:bCs w:val="1"/>
                <w:color w:val="auto"/>
              </w:rPr>
              <w:t>Indiana</w:t>
            </w:r>
          </w:p>
        </w:tc>
        <w:tc>
          <w:tcPr>
            <w:tcW w:w="18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40" w:type="dxa"/>
            <w:vAlign w:val="bottom"/>
          </w:tcPr>
          <w:p>
            <w:pPr>
              <w:jc w:val="right"/>
              <w:ind w:right="2395"/>
              <w:spacing w:after="0"/>
              <w:rPr>
                <w:sz w:val="20"/>
                <w:szCs w:val="20"/>
                <w:color w:val="auto"/>
              </w:rPr>
            </w:pPr>
            <w:r>
              <w:rPr>
                <w:rFonts w:ascii="Times New Roman" w:cs="Times New Roman" w:eastAsia="Times New Roman" w:hAnsi="Times New Roman"/>
                <w:sz w:val="14"/>
                <w:szCs w:val="14"/>
                <w:b w:val="1"/>
                <w:bCs w:val="1"/>
                <w:color w:val="auto"/>
              </w:rPr>
              <w:t>27-2935063</w:t>
            </w:r>
          </w:p>
        </w:tc>
        <w:tc>
          <w:tcPr>
            <w:tcW w:w="0" w:type="dxa"/>
            <w:vAlign w:val="bottom"/>
          </w:tcPr>
          <w:p>
            <w:pPr>
              <w:spacing w:after="0"/>
              <w:rPr>
                <w:sz w:val="1"/>
                <w:szCs w:val="1"/>
                <w:color w:val="auto"/>
              </w:rPr>
            </w:pPr>
          </w:p>
        </w:tc>
      </w:tr>
      <w:tr>
        <w:trPr>
          <w:trHeight w:val="117"/>
        </w:trPr>
        <w:tc>
          <w:tcPr>
            <w:tcW w:w="3840" w:type="dxa"/>
            <w:vAlign w:val="bottom"/>
          </w:tcPr>
          <w:p>
            <w:pPr>
              <w:jc w:val="center"/>
              <w:ind w:left="1674"/>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8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40" w:type="dxa"/>
            <w:vAlign w:val="bottom"/>
          </w:tcPr>
          <w:p>
            <w:pPr>
              <w:jc w:val="center"/>
              <w:ind w:right="1715"/>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3840" w:type="dxa"/>
            <w:vAlign w:val="bottom"/>
          </w:tcPr>
          <w:p>
            <w:pPr>
              <w:jc w:val="center"/>
              <w:ind w:left="1694"/>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40" w:type="dxa"/>
            <w:vAlign w:val="bottom"/>
          </w:tcPr>
          <w:p>
            <w:pPr>
              <w:jc w:val="center"/>
              <w:ind w:right="1715"/>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363"/>
        </w:trPr>
        <w:tc>
          <w:tcPr>
            <w:tcW w:w="3840" w:type="dxa"/>
            <w:vAlign w:val="bottom"/>
          </w:tcPr>
          <w:p>
            <w:pPr>
              <w:jc w:val="center"/>
              <w:ind w:left="1694"/>
              <w:spacing w:after="0"/>
              <w:rPr>
                <w:sz w:val="20"/>
                <w:szCs w:val="20"/>
                <w:color w:val="auto"/>
              </w:rPr>
            </w:pPr>
            <w:r>
              <w:rPr>
                <w:rFonts w:ascii="Times New Roman" w:cs="Times New Roman" w:eastAsia="Times New Roman" w:hAnsi="Times New Roman"/>
                <w:sz w:val="14"/>
                <w:szCs w:val="14"/>
                <w:b w:val="1"/>
                <w:bCs w:val="1"/>
                <w:color w:val="auto"/>
              </w:rPr>
              <w:t>12420 Stonebridge Road,</w:t>
            </w: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40" w:type="dxa"/>
            <w:vAlign w:val="bottom"/>
            <w:vMerge w:val="restart"/>
          </w:tcPr>
          <w:p>
            <w:pPr>
              <w:jc w:val="right"/>
              <w:ind w:right="2575"/>
              <w:spacing w:after="0"/>
              <w:rPr>
                <w:sz w:val="20"/>
                <w:szCs w:val="20"/>
                <w:color w:val="auto"/>
              </w:rPr>
            </w:pPr>
            <w:r>
              <w:rPr>
                <w:rFonts w:ascii="Times New Roman" w:cs="Times New Roman" w:eastAsia="Times New Roman" w:hAnsi="Times New Roman"/>
                <w:sz w:val="14"/>
                <w:szCs w:val="14"/>
                <w:b w:val="1"/>
                <w:bCs w:val="1"/>
                <w:color w:val="auto"/>
              </w:rPr>
              <w:t>46783</w:t>
            </w:r>
          </w:p>
        </w:tc>
        <w:tc>
          <w:tcPr>
            <w:tcW w:w="0" w:type="dxa"/>
            <w:vAlign w:val="bottom"/>
          </w:tcPr>
          <w:p>
            <w:pPr>
              <w:spacing w:after="0"/>
              <w:rPr>
                <w:sz w:val="1"/>
                <w:szCs w:val="1"/>
                <w:color w:val="auto"/>
              </w:rPr>
            </w:pPr>
          </w:p>
        </w:tc>
      </w:tr>
      <w:tr>
        <w:trPr>
          <w:trHeight w:val="178"/>
        </w:trPr>
        <w:tc>
          <w:tcPr>
            <w:tcW w:w="3840" w:type="dxa"/>
            <w:vAlign w:val="bottom"/>
          </w:tcPr>
          <w:p>
            <w:pPr>
              <w:jc w:val="center"/>
              <w:ind w:left="1694"/>
              <w:spacing w:after="0"/>
              <w:rPr>
                <w:sz w:val="20"/>
                <w:szCs w:val="20"/>
                <w:color w:val="auto"/>
              </w:rPr>
            </w:pPr>
            <w:r>
              <w:rPr>
                <w:rFonts w:ascii="Times New Roman" w:cs="Times New Roman" w:eastAsia="Times New Roman" w:hAnsi="Times New Roman"/>
                <w:sz w:val="14"/>
                <w:szCs w:val="14"/>
                <w:b w:val="1"/>
                <w:bCs w:val="1"/>
                <w:color w:val="auto"/>
              </w:rPr>
              <w:t>Roanoke, Indiana</w:t>
            </w:r>
          </w:p>
        </w:tc>
        <w:tc>
          <w:tcPr>
            <w:tcW w:w="1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40" w:type="dxa"/>
            <w:vAlign w:val="bottom"/>
          </w:tcPr>
          <w:p>
            <w:pPr>
              <w:jc w:val="center"/>
              <w:ind w:left="1694"/>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40" w:type="dxa"/>
            <w:vAlign w:val="bottom"/>
          </w:tcPr>
          <w:p>
            <w:pPr>
              <w:jc w:val="center"/>
              <w:ind w:right="1715"/>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44"/>
        </w:trPr>
        <w:tc>
          <w:tcPr>
            <w:tcW w:w="3840" w:type="dxa"/>
            <w:vAlign w:val="bottom"/>
          </w:tcPr>
          <w:p>
            <w:pPr>
              <w:spacing w:after="0"/>
              <w:rPr>
                <w:sz w:val="21"/>
                <w:szCs w:val="21"/>
                <w:color w:val="auto"/>
              </w:rPr>
            </w:pPr>
          </w:p>
        </w:tc>
        <w:tc>
          <w:tcPr>
            <w:tcW w:w="3180" w:type="dxa"/>
            <w:vAlign w:val="bottom"/>
            <w:gridSpan w:val="2"/>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(877) 708-8372</w:t>
            </w:r>
          </w:p>
        </w:tc>
        <w:tc>
          <w:tcPr>
            <w:tcW w:w="4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3180" w:type="dxa"/>
            <w:vAlign w:val="bottom"/>
            <w:gridSpan w:val="2"/>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4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3840" w:type="dxa"/>
            <w:vAlign w:val="bottom"/>
          </w:tcPr>
          <w:p>
            <w:pPr>
              <w:spacing w:after="0"/>
              <w:rPr>
                <w:sz w:val="20"/>
                <w:szCs w:val="20"/>
                <w:color w:val="auto"/>
              </w:rPr>
            </w:pPr>
          </w:p>
        </w:tc>
        <w:tc>
          <w:tcPr>
            <w:tcW w:w="360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color w:val="auto"/>
              </w:rPr>
              <w:t>_____________________________________________</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840" w:type="dxa"/>
            <w:vAlign w:val="bottom"/>
          </w:tcPr>
          <w:p>
            <w:pPr>
              <w:spacing w:after="0"/>
              <w:rPr>
                <w:sz w:val="21"/>
                <w:szCs w:val="21"/>
                <w:color w:val="auto"/>
              </w:rPr>
            </w:pPr>
          </w:p>
        </w:tc>
        <w:tc>
          <w:tcPr>
            <w:tcW w:w="3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384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2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1320" w:type="dxa"/>
            <w:vAlign w:val="bottom"/>
            <w:tcBorders>
              <w:bottom w:val="single" w:sz="8" w:color="auto"/>
            </w:tcBorders>
          </w:tcPr>
          <w:p>
            <w:pPr>
              <w:spacing w:after="0"/>
              <w:rPr>
                <w:sz w:val="14"/>
                <w:szCs w:val="14"/>
                <w:color w:val="auto"/>
              </w:rPr>
            </w:pPr>
          </w:p>
        </w:tc>
        <w:tc>
          <w:tcPr>
            <w:tcW w:w="4260" w:type="dxa"/>
            <w:vAlign w:val="bottom"/>
            <w:tcBorders>
              <w:bottom w:val="single" w:sz="8" w:color="auto"/>
              <w:right w:val="single" w:sz="8" w:color="auto"/>
            </w:tcBorders>
            <w:gridSpan w:val="2"/>
          </w:tcPr>
          <w:p>
            <w:pPr>
              <w:jc w:val="center"/>
              <w:ind w:right="1295"/>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71"/>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without par value</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VRA</w:t>
            </w:r>
          </w:p>
        </w:tc>
        <w:tc>
          <w:tcPr>
            <w:tcW w:w="1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40" w:type="dxa"/>
            <w:vAlign w:val="bottom"/>
            <w:tcBorders>
              <w:bottom w:val="single" w:sz="8" w:color="auto"/>
              <w:right w:val="single" w:sz="8" w:color="auto"/>
            </w:tcBorders>
          </w:tcPr>
          <w:p>
            <w:pPr>
              <w:jc w:val="center"/>
              <w:ind w:right="1715"/>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207"/>
        </w:trPr>
        <w:tc>
          <w:tcPr>
            <w:tcW w:w="3840" w:type="dxa"/>
            <w:vAlign w:val="bottom"/>
          </w:tcPr>
          <w:p>
            <w:pPr>
              <w:spacing w:after="0"/>
              <w:rPr>
                <w:sz w:val="18"/>
                <w:szCs w:val="18"/>
                <w:color w:val="auto"/>
              </w:rPr>
            </w:pPr>
          </w:p>
        </w:tc>
        <w:tc>
          <w:tcPr>
            <w:tcW w:w="3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3180" w:type="dxa"/>
            <w:vAlign w:val="bottom"/>
            <w:gridSpan w:val="2"/>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None</w:t>
            </w:r>
          </w:p>
        </w:tc>
        <w:tc>
          <w:tcPr>
            <w:tcW w:w="4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840" w:type="dxa"/>
            <w:vAlign w:val="bottom"/>
          </w:tcPr>
          <w:p>
            <w:pPr>
              <w:spacing w:after="0"/>
              <w:rPr>
                <w:sz w:val="20"/>
                <w:szCs w:val="20"/>
                <w:color w:val="auto"/>
              </w:rPr>
            </w:pPr>
          </w:p>
        </w:tc>
        <w:tc>
          <w:tcPr>
            <w:tcW w:w="36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_____________________________________________</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0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20" w:type="dxa"/>
            <w:vAlign w:val="bottom"/>
          </w:tcPr>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840" w:type="dxa"/>
            <w:vAlign w:val="bottom"/>
          </w:tcPr>
          <w:p>
            <w:pPr>
              <w:jc w:val="center"/>
              <w:ind w:right="3135"/>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4"/>
        </w:trPr>
        <w:tc>
          <w:tcPr>
            <w:tcW w:w="70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Yes</w:t>
            </w:r>
          </w:p>
        </w:tc>
        <w:tc>
          <w:tcPr>
            <w:tcW w:w="3840" w:type="dxa"/>
            <w:vAlign w:val="bottom"/>
          </w:tcPr>
          <w:p>
            <w:pPr>
              <w:jc w:val="center"/>
              <w:ind w:right="3135"/>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right="200"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ind w:right="60"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ind w:right="580" w:firstLine="255"/>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6"/>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20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76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55" w:lineRule="exact"/>
        <w:rPr>
          <w:sz w:val="24"/>
          <w:szCs w:val="24"/>
          <w:color w:val="auto"/>
        </w:rPr>
      </w:pPr>
    </w:p>
    <w:p>
      <w:pPr>
        <w:ind w:right="540"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ind w:right="40"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8" w:lineRule="exact"/>
        <w:rPr>
          <w:sz w:val="24"/>
          <w:szCs w:val="24"/>
          <w:color w:val="auto"/>
        </w:rPr>
      </w:pPr>
    </w:p>
    <w:p>
      <w:pPr>
        <w:ind w:right="100"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8" w:lineRule="exact"/>
        <w:rPr>
          <w:sz w:val="24"/>
          <w:szCs w:val="24"/>
          <w:color w:val="auto"/>
        </w:rPr>
      </w:pPr>
    </w:p>
    <w:p>
      <w:pPr>
        <w:ind w:right="260"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ind w:left="260"/>
        <w:spacing w:after="0" w:line="161" w:lineRule="exact"/>
        <w:tabs>
          <w:tab w:leader="none" w:pos="6800" w:val="left"/>
          <w:tab w:leader="none" w:pos="73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0"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aggregate market value of the registrant’s voting common stock held by non-affiliates of the registrant as of August 3, 2024 was $129,964,153.</w:t>
      </w:r>
    </w:p>
    <w:p>
      <w:pPr>
        <w:spacing w:after="0" w:line="8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 had 27,700,900 shares of its common stock outstanding as of March 21, 2025.</w:t>
      </w:r>
    </w:p>
    <w:p>
      <w:pPr>
        <w:spacing w:after="0" w:line="6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 INCORPORATED BY REFERENCE:</w:t>
      </w:r>
    </w:p>
    <w:p>
      <w:pPr>
        <w:spacing w:after="0" w:line="74" w:lineRule="exact"/>
        <w:rPr>
          <w:sz w:val="24"/>
          <w:szCs w:val="24"/>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the 2025 Annual Meeting of Shareholders are incorporated by reference into Part III of this Annual Report on Form 10-K. Vera Bradley, Inc. intends to file such proxy statement with the Securities and Exchange Commission pursuant to Regulation 14A not later than 120 days after its fiscal year ended February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88265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61595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971" w:right="319" w:bottom="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487045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3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This annual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53"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inability to successfully implement our long-term strategic plans, including Project Restoration;</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declines in our comparable sales;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inability to maintain and enhance our brands;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failure of our multi-channel distribution model;</w:t>
      </w:r>
    </w:p>
    <w:p>
      <w:pPr>
        <w:spacing w:after="0" w:line="72"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adverse changes in general economic conditions and their impact on consumer confidence and consumer spending, including political unrest, social unrest, acts of war and terrorism, impacts related to pandemics or other public health matters;</w:t>
      </w:r>
    </w:p>
    <w:p>
      <w:pPr>
        <w:spacing w:after="0" w:line="2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inability to predict and respond in a timely manner to changes in consumer demand;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inability to successfully open new stores and/or operate current stores as planned;</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loss of key management or design associates or inability to attract and retain the talent required for our business;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data security or privacy breaches or disruptions in our computer systems or website;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disruptions in our supply chain;</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new or increased tariffs on our products and continued increases in inbound and outbound freight expense that could lead to increased product costs and lower profit margins;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pandemics, and actions to contain pandemics by governmental or other actors.</w:t>
      </w:r>
    </w:p>
    <w:p>
      <w:pPr>
        <w:spacing w:after="0" w:line="136"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8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For a discussion of the above-described risks and other risks and uncertainties that could cause actual results to differ materially from those contained in our forward-looking statements, please refer to “Risk Factors” in Item 1A of this report.</w:t>
      </w:r>
    </w:p>
    <w:p>
      <w:pPr>
        <w:spacing w:after="0" w:line="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080" w:type="dxa"/>
            <w:vAlign w:val="bottom"/>
          </w:tcPr>
          <w:p>
            <w:pPr>
              <w:spacing w:after="0"/>
              <w:rPr>
                <w:sz w:val="16"/>
                <w:szCs w:val="16"/>
                <w:color w:val="auto"/>
              </w:rPr>
            </w:pPr>
          </w:p>
        </w:tc>
      </w:tr>
      <w:tr>
        <w:trPr>
          <w:trHeight w:val="393"/>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0000FF"/>
                <w:w w:val="94"/>
              </w:rPr>
              <w:t>PART I.</w:t>
            </w:r>
          </w:p>
        </w:tc>
        <w:tc>
          <w:tcPr>
            <w:tcW w:w="42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w:t>
            </w:r>
          </w:p>
        </w:tc>
        <w:tc>
          <w:tcPr>
            <w:tcW w:w="82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Business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7540" w:type="dxa"/>
            <w:vAlign w:val="bottom"/>
            <w:gridSpan w:val="20"/>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1B.</w:t>
            </w:r>
          </w:p>
        </w:tc>
        <w:tc>
          <w:tcPr>
            <w:tcW w:w="82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1C.</w:t>
            </w:r>
          </w:p>
        </w:tc>
        <w:tc>
          <w:tcPr>
            <w:tcW w:w="8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Cybersecurity</w:t>
            </w:r>
          </w:p>
        </w:tc>
        <w:tc>
          <w:tcPr>
            <w:tcW w:w="800" w:type="dxa"/>
            <w:vAlign w:val="bottom"/>
            <w:tcBorders>
              <w:top w:val="single" w:sz="8" w:color="0000FF"/>
            </w:tcBorders>
            <w:gridSpan w:val="7"/>
          </w:tcPr>
          <w:p>
            <w:pPr>
              <w:spacing w:after="0"/>
              <w:rPr>
                <w:sz w:val="24"/>
                <w:szCs w:val="24"/>
                <w:color w:val="auto"/>
              </w:rPr>
            </w:pPr>
          </w:p>
        </w:tc>
        <w:tc>
          <w:tcPr>
            <w:tcW w:w="6660" w:type="dxa"/>
            <w:vAlign w:val="bottom"/>
            <w:gridSpan w:val="12"/>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2.</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7680" w:type="dxa"/>
            <w:vAlign w:val="bottom"/>
            <w:gridSpan w:val="21"/>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3.</w:t>
            </w: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7200" w:type="dxa"/>
            <w:vAlign w:val="bottom"/>
            <w:gridSpan w:val="17"/>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4.</w:t>
            </w:r>
          </w:p>
        </w:tc>
        <w:tc>
          <w:tcPr>
            <w:tcW w:w="82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Mine Safety Disclosure</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88"/>
        </w:trPr>
        <w:tc>
          <w:tcPr>
            <w:tcW w:w="20" w:type="dxa"/>
            <w:vAlign w:val="bottom"/>
          </w:tcPr>
          <w:p>
            <w:pPr>
              <w:spacing w:after="0"/>
              <w:rPr>
                <w:sz w:val="24"/>
                <w:szCs w:val="24"/>
                <w:color w:val="auto"/>
              </w:rPr>
            </w:pPr>
          </w:p>
        </w:tc>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380" w:type="dxa"/>
            <w:vAlign w:val="bottom"/>
            <w:gridSpan w:val="3"/>
          </w:tcPr>
          <w:p>
            <w:pPr>
              <w:spacing w:after="0"/>
              <w:rPr>
                <w:sz w:val="24"/>
                <w:szCs w:val="24"/>
                <w:color w:val="auto"/>
              </w:rPr>
            </w:pPr>
          </w:p>
        </w:tc>
        <w:tc>
          <w:tcPr>
            <w:tcW w:w="82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7.</w:t>
            </w:r>
          </w:p>
        </w:tc>
        <w:tc>
          <w:tcPr>
            <w:tcW w:w="508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260" w:type="dxa"/>
            <w:vAlign w:val="bottom"/>
            <w:tcBorders>
              <w:top w:val="single" w:sz="8" w:color="0000FF"/>
            </w:tcBorders>
            <w:gridSpan w:val="3"/>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7A.</w:t>
            </w:r>
          </w:p>
        </w:tc>
        <w:tc>
          <w:tcPr>
            <w:tcW w:w="82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8.</w:t>
            </w:r>
          </w:p>
        </w:tc>
        <w:tc>
          <w:tcPr>
            <w:tcW w:w="26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800" w:type="dxa"/>
            <w:vAlign w:val="bottom"/>
            <w:tcBorders>
              <w:top w:val="single" w:sz="8" w:color="0000FF"/>
            </w:tcBorders>
            <w:gridSpan w:val="2"/>
          </w:tcPr>
          <w:p>
            <w:pPr>
              <w:spacing w:after="0"/>
              <w:rPr>
                <w:sz w:val="24"/>
                <w:szCs w:val="24"/>
                <w:color w:val="auto"/>
              </w:rPr>
            </w:pPr>
          </w:p>
        </w:tc>
        <w:tc>
          <w:tcPr>
            <w:tcW w:w="4840" w:type="dxa"/>
            <w:vAlign w:val="bottom"/>
            <w:gridSpan w:val="7"/>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w:t>
            </w:r>
          </w:p>
        </w:tc>
        <w:tc>
          <w:tcPr>
            <w:tcW w:w="5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3160" w:type="dxa"/>
            <w:vAlign w:val="bottom"/>
            <w:gridSpan w:val="3"/>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6860" w:type="dxa"/>
            <w:vAlign w:val="bottom"/>
            <w:gridSpan w:val="14"/>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7220" w:type="dxa"/>
            <w:vAlign w:val="bottom"/>
            <w:gridSpan w:val="18"/>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9C.</w:t>
            </w:r>
          </w:p>
        </w:tc>
        <w:tc>
          <w:tcPr>
            <w:tcW w:w="82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PART III.</w:t>
            </w: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88"/>
        </w:trPr>
        <w:tc>
          <w:tcPr>
            <w:tcW w:w="20" w:type="dxa"/>
            <w:vAlign w:val="bottom"/>
          </w:tcPr>
          <w:p>
            <w:pPr>
              <w:spacing w:after="0"/>
              <w:rPr>
                <w:sz w:val="24"/>
                <w:szCs w:val="24"/>
                <w:color w:val="auto"/>
              </w:rPr>
            </w:pPr>
          </w:p>
        </w:tc>
        <w:tc>
          <w:tcPr>
            <w:tcW w:w="6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auto"/>
              </w:rPr>
              <w:t>Item 10.</w:t>
            </w:r>
          </w:p>
        </w:tc>
        <w:tc>
          <w:tcPr>
            <w:tcW w:w="320" w:type="dxa"/>
            <w:vAlign w:val="bottom"/>
          </w:tcPr>
          <w:p>
            <w:pPr>
              <w:spacing w:after="0"/>
              <w:rPr>
                <w:sz w:val="24"/>
                <w:szCs w:val="24"/>
                <w:color w:val="auto"/>
              </w:rPr>
            </w:pPr>
          </w:p>
        </w:tc>
        <w:tc>
          <w:tcPr>
            <w:tcW w:w="32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5040" w:type="dxa"/>
            <w:vAlign w:val="bottom"/>
            <w:gridSpan w:val="8"/>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11.</w:t>
            </w:r>
          </w:p>
        </w:tc>
        <w:tc>
          <w:tcPr>
            <w:tcW w:w="1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w w:val="99"/>
              </w:rPr>
              <w:t>Executive Compensation</w:t>
            </w:r>
          </w:p>
        </w:tc>
        <w:tc>
          <w:tcPr>
            <w:tcW w:w="6840" w:type="dxa"/>
            <w:vAlign w:val="bottom"/>
            <w:gridSpan w:val="13"/>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12.</w:t>
            </w:r>
          </w:p>
        </w:tc>
        <w:tc>
          <w:tcPr>
            <w:tcW w:w="57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520" w:type="dxa"/>
            <w:vAlign w:val="bottom"/>
            <w:gridSpan w:val="2"/>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13.</w:t>
            </w:r>
          </w:p>
        </w:tc>
        <w:tc>
          <w:tcPr>
            <w:tcW w:w="82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14.</w:t>
            </w:r>
          </w:p>
        </w:tc>
        <w:tc>
          <w:tcPr>
            <w:tcW w:w="42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3980" w:type="dxa"/>
            <w:vAlign w:val="bottom"/>
            <w:gridSpan w:val="5"/>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88"/>
        </w:trPr>
        <w:tc>
          <w:tcPr>
            <w:tcW w:w="2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w w:val="92"/>
              </w:rPr>
              <w:t>PART IV.</w:t>
            </w:r>
          </w:p>
        </w:tc>
        <w:tc>
          <w:tcPr>
            <w:tcW w:w="340" w:type="dxa"/>
            <w:vAlign w:val="bottom"/>
            <w:gridSpan w:val="2"/>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15.</w:t>
            </w:r>
          </w:p>
        </w:tc>
        <w:tc>
          <w:tcPr>
            <w:tcW w:w="22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Exhibits, Financial Statement Schedules</w:t>
            </w:r>
          </w:p>
        </w:tc>
        <w:tc>
          <w:tcPr>
            <w:tcW w:w="5980" w:type="dxa"/>
            <w:vAlign w:val="bottom"/>
            <w:gridSpan w:val="10"/>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8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16.</w:t>
            </w:r>
          </w:p>
        </w:tc>
        <w:tc>
          <w:tcPr>
            <w:tcW w:w="12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Form 10-K Summary</w:t>
            </w:r>
          </w:p>
        </w:tc>
        <w:tc>
          <w:tcPr>
            <w:tcW w:w="7040" w:type="dxa"/>
            <w:vAlign w:val="bottom"/>
            <w:gridSpan w:val="16"/>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69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80" w:type="dxa"/>
            <w:vAlign w:val="bottom"/>
            <w:gridSpan w:val="19"/>
          </w:tcPr>
          <w:p>
            <w:pPr>
              <w:ind w:left="466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6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3"/>
          <w:szCs w:val="13"/>
          <w:i w:val="1"/>
          <w:iCs w:val="1"/>
          <w:color w:val="auto"/>
        </w:rPr>
        <w:t>In this Form 10-K, references to “Vera Bradley, Inc.” or the “Company” refer to Vera Bradley, Inc. and its subsidiaries, including Vera Bradley Designs, Inc. and Creative Genius, LLC. References to “Vera Bradley” relate to the Vera Bradley stand-alone brand and references to “Pura Vida” relate to the Pura Vida stand-alone brand, except where the context requires otherwise or where otherwise indicated. The Company utilizes a 52-53 week fiscal year ending on the Saturday closest to January 31. The fiscal year ending February 1, 2025 (“fiscal 2025”) was a 52-week period. The fiscal year ending February 3, 2024 (“fiscal 2024”) was a 53-week period. The fiscal year ended January 28, 2023 (“fiscal 2023”) was a 52-week periods. The fiscal year ending January 31, 2026 (“fiscal 2026”) will be a 52-week period.</w:t>
      </w:r>
    </w:p>
    <w:p>
      <w:pPr>
        <w:spacing w:after="0" w:line="1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Vera Bradley, Inc. operates two unique lifestyle brands – Vera Bradley and Pura Vida. We believe Vera Bradley and Pura Vida are complementary businesses, both with devoted, emotionally-connected, and multi-generational female customer bases; alignment as casual,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15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In July 2019, Vera Bradley, Inc. acquired a 75% interest in Creative Genius, Inc., which operates under the name Pura Vida Bracelets (“Pura Vida”). Pura Vida results are consolidated within the Company’s financial statements beginning on July 17, 2019, the first full day following the acquisition. On January 30, 2023, the Company acquired the remaining 25% interest in Pura Vida. On March 11, 2025 the Company entered into an Interest Purchase Agreement (the “Agreement”) to sell 100% of Pura Vida. The transaction is expected to close by the end of the first quarter. A copy of the Agreement is included as an exhibit to this Form 10-K. See Note 18 of the Notes to Consolidated Financial Statements.</w:t>
      </w:r>
    </w:p>
    <w:p>
      <w:pPr>
        <w:spacing w:after="0" w:line="5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 has three reportable segments: Vera Bradley Direct (“VB Direct”), Vera Bradley Indirect (“VB Indirect”), and Pura Vida. For financial information about our reportable segments, refer to Note 17 of the Notes to Consolidated Financial Statements set forth in Part II, “Item 8. Financial Statements and Supplementary Data,” of this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Brands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Vera Bradley</w:t>
      </w:r>
    </w:p>
    <w:p>
      <w:pPr>
        <w:spacing w:after="0" w:line="8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Vera Bradley is a leading designer of women’s handbags, luggage and travel items, fashion and home accessories, and unique gifts. Founded in 1982 by friends Barbara Bradley Baekgaard and Patricia R. Miller, the brand is known for its innovative designs, iconic patterns, and brilliant colors that inspire and connect women. The reportable segments within the Vera Bradley brand are VB Direct and VB Indirect.</w:t>
      </w:r>
    </w:p>
    <w:p>
      <w:pPr>
        <w:spacing w:after="0" w:line="3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i w:val="1"/>
          <w:iCs w:val="1"/>
          <w:color w:val="auto"/>
        </w:rPr>
        <w:t>VB Direct</w:t>
      </w:r>
      <w:r>
        <w:rPr>
          <w:rFonts w:ascii="Times New Roman" w:cs="Times New Roman" w:eastAsia="Times New Roman" w:hAnsi="Times New Roman"/>
          <w:sz w:val="14"/>
          <w:szCs w:val="14"/>
          <w:color w:val="auto"/>
        </w:rPr>
        <w:t>. The VB Direct business consists of sales of Vera Bradley products through Vera Bradley full-line and outlet stores in the United States; e-commerce sites (verabradley.com,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outlet.verabradley.com, and international.verabradley.com); and the Vera Bradley annual outlet sale in Fort Wayne, Indiana. As of February 1, 2025, the Company operated 39 full-line stores and 87 outlet stores.</w:t>
      </w:r>
    </w:p>
    <w:p>
      <w:pPr>
        <w:spacing w:after="0" w:line="28"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i w:val="1"/>
          <w:iCs w:val="1"/>
          <w:color w:val="auto"/>
        </w:rPr>
        <w:t>VB Indirect</w:t>
      </w:r>
      <w:r>
        <w:rPr>
          <w:rFonts w:ascii="Times New Roman" w:cs="Times New Roman" w:eastAsia="Times New Roman" w:hAnsi="Times New Roman"/>
          <w:sz w:val="14"/>
          <w:szCs w:val="14"/>
          <w:color w:val="auto"/>
        </w:rPr>
        <w:t>. The VB Indirect business consists of sales of Vera Bradley products to approximately 1,200 specialty retail locations, substantially all of which are located in the United States; sales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department stores, national accounts, third-party e-commerce sites, and third-party inventory liquidators; and royalties recognized through licensing agreements related to the Vera Bradley brand.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Pura Vida</w:t>
      </w:r>
    </w:p>
    <w:p>
      <w:pPr>
        <w:spacing w:after="0" w:line="85"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Pura Vida, based in La Jolla, California, is a digitally native lifestyle brand with a differentiated and expanding offering of bracelets, jewelry, apparel, and other lifestyle accessories. The Pura Vida segment represents revenues generated through the Pura Vida website (www.puravidabracelets.com); through the distribution of Pura Vida-branded products to wholesale retailers and department stores, substantially all of which are located in the United States; and through its seven retail stores.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History</w:t>
      </w:r>
    </w:p>
    <w:p>
      <w:pPr>
        <w:spacing w:after="0" w:line="7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When they were traveling together in 1982, Fort Wayne, Indiana friends Barbara Bradley Baekgaard and Patricia Miller realized there was a lack of stylish travel accessories in the market. Within weeks, the friends created Vera Bradley, named after Ms. Bradley Baekgaard’s mother, and began manufacturing and marketing their distinctive products. The founders, together with past and present members of the executive management team, have been instrumental in our growth and success.</w:t>
      </w:r>
    </w:p>
    <w:p>
      <w:pPr>
        <w:spacing w:after="0" w:line="93"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The passion for design and customer service established by our founders has driven our Company for over 40 years and remains the cornerstone of Vera Bradley, Inc. today. Ms. Baekgaard retired from Vera Bradley operations in 2017 and retired from the Board of Directors in March 2025 but continues to serve in a Director Emeritus role and as a brand ambassador. Ms. Miller retired as our National Spokesperson in October 2012 and from the Board of Directors in August 2019.</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July 2019, Vera Bradley, Inc. acquired a majority interest in Pura Vida. On January 30, 2023, the Company acquired the remaining interest in Pura Vida.</w:t>
      </w:r>
    </w:p>
    <w:p>
      <w:pPr>
        <w:spacing w:after="0" w:line="136"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Similar to the Vera Bradley brand, Pura Vida was founded by two friends, Griffin Thall and Paul Goodman. Thall and Goodman, from Southern California, were traveling through Costa Rica in 2010 and crossed paths with two bracelet artisans. Thall and Goodman asked the artisans to make 400 bracelets to take home with them.</w:t>
      </w:r>
    </w:p>
    <w:p>
      <w:pPr>
        <w:spacing w:after="0" w:line="8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Upon returning to San Diego, Thall and Goodman placed the bracelets in a bowl at a local boutique. Within days, the bracelets sold out and customers were asking for more. Thall and Goodman quickly recognized the significance of these simple string bracelets. They were more than just ordinary locally-crafted bracelets; they symbolized a movement valuing the simple things in life. So, Pura Vida, which means “pure life” in Spanish and is a philosophy that encourages the appreciation of life’s simple treasures, was born.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Enterprise Vision and Growth Strategies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Over the long term, we are committed to driving long-term growth, generating strong cash flow, and returning capital to shareholders.</w:t>
      </w:r>
    </w:p>
    <w:p>
      <w:pPr>
        <w:spacing w:after="0" w:line="13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 xml:space="preserve">At the end of fiscal 2023, we began a comprehensive review of the </w:t>
      </w:r>
      <w:r>
        <w:rPr>
          <w:rFonts w:ascii="Times New Roman" w:cs="Times New Roman" w:eastAsia="Times New Roman" w:hAnsi="Times New Roman"/>
          <w:sz w:val="14"/>
          <w:szCs w:val="14"/>
          <w:b w:val="1"/>
          <w:bCs w:val="1"/>
          <w:color w:val="auto"/>
        </w:rPr>
        <w:t>Consumer, Brand, Product, and Channel</w:t>
      </w:r>
      <w:r>
        <w:rPr>
          <w:rFonts w:ascii="Times New Roman" w:cs="Times New Roman" w:eastAsia="Times New Roman" w:hAnsi="Times New Roman"/>
          <w:sz w:val="14"/>
          <w:szCs w:val="14"/>
          <w:color w:val="auto"/>
        </w:rPr>
        <w:t xml:space="preserve"> components for both of our brands. This work culminated in our long-term strategic plan, Project Restoration, which addresses each of these four pillars. Through Project Restoration, we are taking targeted and prudent actions to stabilize revenues, while remaining focused on strong financial discipline. We believe execution of Project Restoration will drive long-term profitable growth and deliver value to our shareholders.</w:t>
      </w:r>
    </w:p>
    <w:p>
      <w:pPr>
        <w:spacing w:after="0" w:line="93" w:lineRule="exact"/>
        <w:rPr>
          <w:sz w:val="20"/>
          <w:szCs w:val="20"/>
          <w:color w:val="auto"/>
        </w:rPr>
      </w:pPr>
    </w:p>
    <w:p>
      <w:pPr>
        <w:ind w:right="2100"/>
        <w:spacing w:after="0" w:line="403" w:lineRule="auto"/>
        <w:rPr>
          <w:sz w:val="20"/>
          <w:szCs w:val="20"/>
          <w:color w:val="auto"/>
        </w:rPr>
      </w:pPr>
      <w:r>
        <w:rPr>
          <w:rFonts w:ascii="Times New Roman" w:cs="Times New Roman" w:eastAsia="Times New Roman" w:hAnsi="Times New Roman"/>
          <w:sz w:val="14"/>
          <w:szCs w:val="14"/>
          <w:color w:val="auto"/>
        </w:rPr>
        <w:t xml:space="preserve">During fiscal 2025, we made significant progress on this Company-wide, comprehensive initiative, focusing on the four key pillars of the business for each brand. </w:t>
      </w:r>
      <w:r>
        <w:rPr>
          <w:rFonts w:ascii="Times New Roman" w:cs="Times New Roman" w:eastAsia="Times New Roman" w:hAnsi="Times New Roman"/>
          <w:sz w:val="14"/>
          <w:szCs w:val="14"/>
          <w:i w:val="1"/>
          <w:iCs w:val="1"/>
          <w:color w:val="auto"/>
        </w:rPr>
        <w:t>Vera Bradley</w:t>
      </w:r>
    </w:p>
    <w:p>
      <w:pPr>
        <w:ind w:right="380"/>
        <w:spacing w:after="0" w:line="253" w:lineRule="auto"/>
        <w:rPr>
          <w:sz w:val="20"/>
          <w:szCs w:val="20"/>
          <w:color w:val="auto"/>
        </w:rPr>
      </w:pPr>
      <w:r>
        <w:rPr>
          <w:rFonts w:ascii="Times New Roman" w:cs="Times New Roman" w:eastAsia="Times New Roman" w:hAnsi="Times New Roman"/>
          <w:sz w:val="14"/>
          <w:szCs w:val="14"/>
          <w:color w:val="auto"/>
        </w:rPr>
        <w:t>At Vera Bradley, we launched the first manifestation of our Project Restoration in July fiscal 2025. It included, among other things, the reveal of our new and elevated full-line branding and marketing, product, store design, and website. Our work on this initiative was informed by consumer research and current perceptions of the brand from both buyers and non-buyers. We remain confident in our strategic direction and continue to make refinements based on selling data and customer feedback we have received since Project Restoration launch. We will be expanding our heritage products, reducing our assortment in higher price points, as well as bringing back regular deliveries of licensed product and some classic styles our customers are asking for.</w:t>
      </w:r>
    </w:p>
    <w:p>
      <w:pPr>
        <w:spacing w:after="0" w:line="9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i w:val="1"/>
          <w:iCs w:val="1"/>
          <w:color w:val="auto"/>
        </w:rPr>
        <w:t>Consumer</w:t>
      </w:r>
      <w:r>
        <w:rPr>
          <w:rFonts w:ascii="Times New Roman" w:cs="Times New Roman" w:eastAsia="Times New Roman" w:hAnsi="Times New Roman"/>
          <w:sz w:val="14"/>
          <w:szCs w:val="14"/>
          <w:color w:val="auto"/>
        </w:rPr>
        <w:t>. We are focusing on restoring brand relevancy, targeting casual and feminine 35 to 54 year old women who value both fashion and function. Our focus on the 35 to 54 year old led us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search of data to understand where and how she shops. We are using this data to target new customers and embark on new partnerships, licensing deals, and collaborations to extend our reach. With this strategy, we will also inspire and retain our loyal customers outside of this age group.</w:t>
      </w:r>
    </w:p>
    <w:p>
      <w:pPr>
        <w:spacing w:after="0" w:line="9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Brand</w:t>
      </w:r>
      <w:r>
        <w:rPr>
          <w:rFonts w:ascii="Times New Roman" w:cs="Times New Roman" w:eastAsia="Times New Roman" w:hAnsi="Times New Roman"/>
          <w:sz w:val="14"/>
          <w:szCs w:val="14"/>
          <w:color w:val="auto"/>
        </w:rPr>
        <w:t>. We are strategically marketing our distinctive and unique positioning as a colorful, feminine, fashionable brand that connects with consumers on a deep, emotional level. We are refocusing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marketing and elevating our creative efforts through digital marketing, public relations, quality media placements, and store initiatives to drive interest and gain new customers.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continually looking for new ways to creatively engage our customers, grow brand awareness, and introduce new customers to our brands in a cost-effective manner.</w:t>
      </w:r>
    </w:p>
    <w:p>
      <w:pPr>
        <w:spacing w:after="0" w:line="13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i w:val="1"/>
          <w:iCs w:val="1"/>
          <w:color w:val="auto"/>
        </w:rPr>
        <w:t>Product</w:t>
      </w:r>
      <w:r>
        <w:rPr>
          <w:rFonts w:ascii="Times New Roman" w:cs="Times New Roman" w:eastAsia="Times New Roman" w:hAnsi="Times New Roman"/>
          <w:sz w:val="14"/>
          <w:szCs w:val="14"/>
          <w:color w:val="auto"/>
        </w:rPr>
        <w:t>. We are refocusing on core categories and items we are “best at,” such as travel and bags, by innovating and expanding within our core products. We are elevating our colorful feminine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heritage, keeping it distinctive but more trend-right and modern through updated prints, colors, styles, and designs, which will appeal to both existing and new customers. We’ve improved the quality of most of our fabrics while keeping our commitment to increased use of preferred fibers, and our retail price structure is unchanged. Although the assortment will look new, it is unmistakably Vera Bradley, and our existing customers will still recognize their favorite styles and our distinctive colors, patterns, and quilting.</w:t>
      </w:r>
    </w:p>
    <w:p>
      <w:pPr>
        <w:spacing w:after="0" w:line="97"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We will innovate into strategic adjacent lifestyle item introductions that make sense for our customers. We are also continuing to pursue collaborations and partnerships that align with our target customers and expand our customer reach.</w:t>
      </w:r>
    </w:p>
    <w:p>
      <w:pPr>
        <w:spacing w:after="0" w:line="80"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i w:val="1"/>
          <w:iCs w:val="1"/>
          <w:color w:val="auto"/>
        </w:rPr>
        <w:t>Channel</w:t>
      </w:r>
      <w:r>
        <w:rPr>
          <w:rFonts w:ascii="Times New Roman" w:cs="Times New Roman" w:eastAsia="Times New Roman" w:hAnsi="Times New Roman"/>
          <w:sz w:val="14"/>
          <w:szCs w:val="14"/>
          <w:color w:val="auto"/>
        </w:rPr>
        <w:t>. We are building a balanced footprint that more clearly differentiates full-line and outlet assortments. We are continuing to look for opportunities to improve the profitability of our full-line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store portfolio by re-balancing our existing fleet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through select closures along with identifying future market opportunities. We will continue to focus on our highest-potential stores by enhancing the customer experience. We expect to open two full-line stores in fiscal 2026. Maintaining brand-right wholesale relationships is important, and we are actively working to acquire new specialty and key account retailers where we know our customer is shopping. We have improved our online shopping experience through elevating full-line creative and experiences, while offering our outlet assortment online at outlet.verabradley.com.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Pura Vida</w:t>
      </w:r>
    </w:p>
    <w:p>
      <w:pPr>
        <w:spacing w:after="0" w:line="13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Pura Vida has shifted focus to delivering profitability and balancing the ecommerce business with wholesale and retail stores. Pura Vida diversified marketing spend and made additional efforts to retain customers.</w:t>
      </w:r>
    </w:p>
    <w:p>
      <w:pPr>
        <w:spacing w:after="0" w:line="80" w:lineRule="exact"/>
        <w:rPr>
          <w:sz w:val="20"/>
          <w:szCs w:val="20"/>
          <w:color w:val="auto"/>
        </w:rPr>
      </w:pPr>
    </w:p>
    <w:p>
      <w:pPr>
        <w:ind w:right="58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Consumer. </w:t>
      </w:r>
      <w:r>
        <w:rPr>
          <w:rFonts w:ascii="Times New Roman" w:cs="Times New Roman" w:eastAsia="Times New Roman" w:hAnsi="Times New Roman"/>
          <w:sz w:val="14"/>
          <w:szCs w:val="14"/>
          <w:color w:val="auto"/>
        </w:rPr>
        <w:t>Pura Vida has sharpened focus on the 18-24 year old, who both those younger and older aspire to be. Pura Vida's target customer is free-spirited, a trendsetter, and in the midst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discovering who she is and where she is heading.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Brand</w:t>
      </w:r>
      <w:r>
        <w:rPr>
          <w:rFonts w:ascii="Times New Roman" w:cs="Times New Roman" w:eastAsia="Times New Roman" w:hAnsi="Times New Roman"/>
          <w:sz w:val="14"/>
          <w:szCs w:val="14"/>
          <w:color w:val="auto"/>
        </w:rPr>
        <w:t>. Pura Vida has refreshed the brand image with a focus on being more relevant to Gen Z through showing real places, real moments, and real faces that are authentic, diverse, and inclusive.</w:t>
      </w:r>
    </w:p>
    <w:p>
      <w:pPr>
        <w:spacing w:after="0" w:line="13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Pura Vida remains one of the most highly-engaged brands in the accessories space, with nearly 2.2 million followers on Instagram and is consistently listed as one of the most engaged jewelry brands on Instagram.</w:t>
      </w:r>
    </w:p>
    <w:p>
      <w:pPr>
        <w:spacing w:after="0" w:line="80"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i w:val="1"/>
          <w:iCs w:val="1"/>
          <w:color w:val="auto"/>
        </w:rPr>
        <w:t>Product</w:t>
      </w:r>
      <w:r>
        <w:rPr>
          <w:rFonts w:ascii="Times New Roman" w:cs="Times New Roman" w:eastAsia="Times New Roman" w:hAnsi="Times New Roman"/>
          <w:sz w:val="14"/>
          <w:szCs w:val="14"/>
          <w:color w:val="auto"/>
        </w:rPr>
        <w:t>. Pura Vida has focused on delivering unique, fun, playful product designs that are affordable and accessible. Pura Vida has innovated in the hero core category of string bracelets as well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jewelry items. Approximately a third of the total Pura Vida business is comprised of jewelry categories other than bracelets, such as rings, anklets, and necklaces.</w:t>
      </w:r>
    </w:p>
    <w:p>
      <w:pPr>
        <w:spacing w:after="0" w:line="78"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i w:val="1"/>
          <w:iCs w:val="1"/>
          <w:color w:val="auto"/>
        </w:rPr>
        <w:t>Channel</w:t>
      </w:r>
      <w:r>
        <w:rPr>
          <w:rFonts w:ascii="Times New Roman" w:cs="Times New Roman" w:eastAsia="Times New Roman" w:hAnsi="Times New Roman"/>
          <w:sz w:val="14"/>
          <w:szCs w:val="14"/>
          <w:color w:val="auto"/>
        </w:rPr>
        <w:t>. Pura Vida has had a strong focus on restoring e-commerce to a healthy full price customer and prudent sharper management of wholesale. The six full-line Pura Vida stores have played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role in driving new customer acquisition and they demonstrate the power a retail presence can have in driving digital sales, omni-channel loyalty, and spending.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 Release Strategy</w:t>
      </w:r>
    </w:p>
    <w:p>
      <w:pPr>
        <w:spacing w:after="0" w:line="12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i w:val="1"/>
          <w:iCs w:val="1"/>
          <w:color w:val="auto"/>
        </w:rPr>
        <w:t>Vera Bradley</w:t>
      </w:r>
      <w:r>
        <w:rPr>
          <w:rFonts w:ascii="Times New Roman" w:cs="Times New Roman" w:eastAsia="Times New Roman" w:hAnsi="Times New Roman"/>
          <w:sz w:val="14"/>
          <w:szCs w:val="14"/>
          <w:color w:val="auto"/>
        </w:rPr>
        <w:t>. On average, we typically introduce new collections monthly. Each launch typically consists of one to three signature cotton-quilted prints, as well as other fabrications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Featherweight, Leather, Performance Twill, Re-Active, microfiber, and nylon, some of which are also available in solid colors. These collections of prints and solids are incorporated into the designs of a wide range of products, including bags, accessories, and travel items. These collections typically include classic styles, updates to existing designs, and new product introductions.</w:t>
      </w:r>
    </w:p>
    <w:p>
      <w:pPr>
        <w:spacing w:after="0" w:line="9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To keep our assortment current and fresh, and to focus our inventory investments on our best performers, we discontinue prints and fabrications as necessary. We sell our remaining inventory of retired products primarily through our websites (including our online outlet site), outlet stores, our annual outlet sale, and third-party liquidators.</w:t>
      </w:r>
    </w:p>
    <w:p>
      <w:pPr>
        <w:spacing w:after="0" w:line="143"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Pura Vida. </w:t>
      </w:r>
      <w:r>
        <w:rPr>
          <w:rFonts w:ascii="Times New Roman" w:cs="Times New Roman" w:eastAsia="Times New Roman" w:hAnsi="Times New Roman"/>
          <w:sz w:val="14"/>
          <w:szCs w:val="14"/>
          <w:color w:val="auto"/>
        </w:rPr>
        <w:t>New Pura Vida products are released monthly. Each product launch collection typically consists of 10 to 30 customer choices, offering a mix of seasonally inspired designs and next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generation designs of core bestsellers.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chart presents net revenues generated by each of the Company’s product categories and other revenues as a percentage of our total net revenues for fiscal years 2025, 2024, and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520" w:type="dxa"/>
            <w:vAlign w:val="bottom"/>
            <w:tcBorders>
              <w:bottom w:val="single" w:sz="8" w:color="auto"/>
            </w:tcBorders>
          </w:tcPr>
          <w:p>
            <w:pPr>
              <w:spacing w:after="0"/>
              <w:rPr>
                <w:sz w:val="13"/>
                <w:szCs w:val="13"/>
                <w:color w:val="auto"/>
              </w:rPr>
            </w:pPr>
          </w:p>
        </w:tc>
      </w:tr>
      <w:tr>
        <w:trPr>
          <w:trHeight w:val="108"/>
        </w:trPr>
        <w:tc>
          <w:tcPr>
            <w:tcW w:w="6540" w:type="dxa"/>
            <w:vAlign w:val="bottom"/>
          </w:tcPr>
          <w:p>
            <w:pPr>
              <w:spacing w:after="0"/>
              <w:rPr>
                <w:sz w:val="9"/>
                <w:szCs w:val="9"/>
                <w:color w:val="auto"/>
              </w:rPr>
            </w:pPr>
          </w:p>
        </w:tc>
        <w:tc>
          <w:tcPr>
            <w:tcW w:w="1600" w:type="dxa"/>
            <w:vAlign w:val="bottom"/>
            <w:gridSpan w:val="2"/>
          </w:tcPr>
          <w:p>
            <w:pPr>
              <w:ind w:left="460"/>
              <w:spacing w:after="0" w:line="108" w:lineRule="exact"/>
              <w:rPr>
                <w:sz w:val="20"/>
                <w:szCs w:val="20"/>
                <w:color w:val="auto"/>
              </w:rPr>
            </w:pPr>
            <w:r>
              <w:rPr>
                <w:rFonts w:ascii="Times New Roman" w:cs="Times New Roman" w:eastAsia="Times New Roman" w:hAnsi="Times New Roman"/>
                <w:sz w:val="11"/>
                <w:szCs w:val="11"/>
                <w:b w:val="1"/>
                <w:bCs w:val="1"/>
                <w:color w:val="auto"/>
              </w:rPr>
              <w:t>February 1,</w:t>
            </w:r>
          </w:p>
        </w:tc>
        <w:tc>
          <w:tcPr>
            <w:tcW w:w="160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February 3,</w:t>
            </w:r>
          </w:p>
        </w:tc>
        <w:tc>
          <w:tcPr>
            <w:tcW w:w="1520" w:type="dxa"/>
            <w:vAlign w:val="bottom"/>
          </w:tcPr>
          <w:p>
            <w:pPr>
              <w:jc w:val="right"/>
              <w:ind w:right="412"/>
              <w:spacing w:after="0" w:line="108" w:lineRule="exact"/>
              <w:rPr>
                <w:sz w:val="20"/>
                <w:szCs w:val="20"/>
                <w:color w:val="auto"/>
              </w:rPr>
            </w:pPr>
            <w:r>
              <w:rPr>
                <w:rFonts w:ascii="Times New Roman" w:cs="Times New Roman" w:eastAsia="Times New Roman" w:hAnsi="Times New Roman"/>
                <w:sz w:val="11"/>
                <w:szCs w:val="11"/>
                <w:b w:val="1"/>
                <w:bCs w:val="1"/>
                <w:color w:val="auto"/>
              </w:rPr>
              <w:t>January 28,</w:t>
            </w:r>
          </w:p>
        </w:tc>
      </w:tr>
      <w:tr>
        <w:trPr>
          <w:trHeight w:val="153"/>
        </w:trPr>
        <w:tc>
          <w:tcPr>
            <w:tcW w:w="6540" w:type="dxa"/>
            <w:vAlign w:val="bottom"/>
          </w:tcPr>
          <w:p>
            <w:pPr>
              <w:spacing w:after="0"/>
              <w:rPr>
                <w:sz w:val="13"/>
                <w:szCs w:val="13"/>
                <w:color w:val="auto"/>
              </w:rPr>
            </w:pPr>
          </w:p>
        </w:tc>
        <w:tc>
          <w:tcPr>
            <w:tcW w:w="150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Pr>
          <w:p>
            <w:pPr>
              <w:spacing w:after="0"/>
              <w:rPr>
                <w:sz w:val="13"/>
                <w:szCs w:val="13"/>
                <w:color w:val="auto"/>
              </w:rPr>
            </w:pPr>
          </w:p>
        </w:tc>
        <w:tc>
          <w:tcPr>
            <w:tcW w:w="152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8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Bags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37.7 %</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33.9 %</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34.3 %</w:t>
            </w:r>
          </w:p>
        </w:tc>
      </w:tr>
      <w:tr>
        <w:trPr>
          <w:trHeight w:val="180"/>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18.8 %</w:t>
            </w:r>
          </w:p>
        </w:tc>
      </w:tr>
      <w:tr>
        <w:trPr>
          <w:trHeight w:val="18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Accessories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26.7 %</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30.8 %</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32.0 %</w:t>
            </w:r>
          </w:p>
        </w:tc>
      </w:tr>
      <w:tr>
        <w:trPr>
          <w:trHeight w:val="180"/>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Home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8.5 %</w:t>
            </w:r>
          </w:p>
        </w:tc>
      </w:tr>
      <w:tr>
        <w:trPr>
          <w:trHeight w:val="18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Apparel/Footwear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80"/>
        </w:trPr>
        <w:tc>
          <w:tcPr>
            <w:tcW w:w="65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5600" w:right="5400" w:hanging="5595"/>
        <w:spacing w:after="0" w:line="935" w:lineRule="auto"/>
        <w:tabs>
          <w:tab w:leader="none" w:pos="4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primarily stationery, licensing, freight, merchandising, and gift card breakage revenue.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-253365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right="7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Bags. </w:t>
      </w:r>
      <w:r>
        <w:rPr>
          <w:rFonts w:ascii="Times New Roman" w:cs="Times New Roman" w:eastAsia="Times New Roman" w:hAnsi="Times New Roman"/>
          <w:sz w:val="14"/>
          <w:szCs w:val="14"/>
          <w:color w:val="auto"/>
        </w:rPr>
        <w:t>Bags are a core part of our product offerings and are the primary component of every seasonal assortment. The category consists of classic and new styles developed by our product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 team. Our bag product category includes items such as backpacks, totes, crossbodies, lunch bags, satchels, clutches, and baby bags. Bags play a prominent role in our visual merchandising, and we showcase the different fabrications, patterns, colors, and features of each bag.</w:t>
      </w:r>
    </w:p>
    <w:p>
      <w:pPr>
        <w:spacing w:after="0" w:line="91" w:lineRule="exact"/>
        <w:rPr>
          <w:sz w:val="20"/>
          <w:szCs w:val="20"/>
          <w:color w:val="auto"/>
        </w:rPr>
      </w:pPr>
    </w:p>
    <w:p>
      <w:pPr>
        <w:jc w:val="both"/>
        <w:ind w:right="2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Travel. </w:t>
      </w:r>
      <w:r>
        <w:rPr>
          <w:rFonts w:ascii="Times New Roman" w:cs="Times New Roman" w:eastAsia="Times New Roman" w:hAnsi="Times New Roman"/>
          <w:sz w:val="14"/>
          <w:szCs w:val="14"/>
          <w:color w:val="auto"/>
        </w:rPr>
        <w:t>Our travel product category includes rolling luggage, cosmetics, travel and packing accessories, and travel bags which include our iconic duffel and weekend bags. The first Vera Bradley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 offering included duffel bags, which have consistently been strong performers. We believe their popularity, as well as the appeal of our other travel items, results from our vibrant designs, functional styles, and lightweight fabrications.</w:t>
      </w:r>
    </w:p>
    <w:p>
      <w:pPr>
        <w:spacing w:after="0" w:line="9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Accessories. </w:t>
      </w:r>
      <w:r>
        <w:rPr>
          <w:rFonts w:ascii="Times New Roman" w:cs="Times New Roman" w:eastAsia="Times New Roman" w:hAnsi="Times New Roman"/>
          <w:sz w:val="14"/>
          <w:szCs w:val="14"/>
          <w:color w:val="auto"/>
        </w:rPr>
        <w:t>Accessories include Vera Bradley-branded fashion accessories such as ID holders, lanyards, wallets, wristlets, eyewear, scarves, various technology accessories, and hair accessories,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well as Pura Vida-branded accessories such as bracelets, rings, and necklaces. The majority of products sold by Pura Vida are included under the accessories category. We believe our accessories are attractively priced and allow the consumer to include some color in her wardrobe. Our product development teams consistently update the accessories assortment based on consumer demand and fashion trends.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Home. </w:t>
      </w:r>
      <w:r>
        <w:rPr>
          <w:rFonts w:ascii="Times New Roman" w:cs="Times New Roman" w:eastAsia="Times New Roman" w:hAnsi="Times New Roman"/>
          <w:sz w:val="14"/>
          <w:szCs w:val="14"/>
          <w:color w:val="auto"/>
        </w:rPr>
        <w:t>Our home category includes textiles, including throw blankets, beach towels, and bedding, as well as items such as mugs and tumblers.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Apparel/Footwear</w:t>
      </w:r>
      <w:r>
        <w:rPr>
          <w:rFonts w:ascii="Times New Roman" w:cs="Times New Roman" w:eastAsia="Times New Roman" w:hAnsi="Times New Roman"/>
          <w:sz w:val="14"/>
          <w:szCs w:val="14"/>
          <w:color w:val="auto"/>
        </w:rPr>
        <w:t>. Our apparel and footwear category includes, among other items, Vera Bradley sleepwear, footwear, outerwear, socks, and tops, as well as Pura Vida tees and hoodies.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 Development</w:t>
      </w:r>
    </w:p>
    <w:p>
      <w:pPr>
        <w:spacing w:after="0" w:line="7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Vera Bradley. </w:t>
      </w:r>
      <w:r>
        <w:rPr>
          <w:rFonts w:ascii="Times New Roman" w:cs="Times New Roman" w:eastAsia="Times New Roman" w:hAnsi="Times New Roman"/>
          <w:sz w:val="14"/>
          <w:szCs w:val="14"/>
          <w:color w:val="auto"/>
        </w:rPr>
        <w:t>We have implemented a fully-integrated and cross-functional product development process that aligns design, trend and market research, merchandising, planning, sales, marketing,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sourcing. We believe product development is a core capability that makes our products unique and that our designs and aesthetics set our products apart and drive customer loyalty. Our design and product development teams combine an understanding of the desires of our target customers, with knowledge of upcoming color, material, consumer, and fashion trends to design new collections, as well as new product categories.</w:t>
      </w:r>
    </w:p>
    <w:p>
      <w:pPr>
        <w:spacing w:after="0" w:line="9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typically begin the development stage of our products in the Vera Bradley portfolio twelve to eighteen months in advance of their release. The development of each new pattern includes the design of a primary print and sometimes a secondary coordinating print. All print development is managed by our internal print design team. Once developed, we generally copyright our patterns as appropriate. We believe that great design is not only central to our products, but also is a fundamental part of our brand development and growth strategies.</w:t>
      </w:r>
    </w:p>
    <w:p>
      <w:pPr>
        <w:spacing w:after="0" w:line="9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design team works to ensure that new collections contain an assortment of products and styles that are in line with both trends and customer desires and regularly updates classic styles to enhance functionality. Our team monitors fashion trends and customer needs by typically attending trend and industry shows, subscribing to trend monitoring services, and engaging in comparison shopping.</w:t>
      </w:r>
    </w:p>
    <w:p>
      <w:pPr>
        <w:spacing w:after="0" w:line="2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4"/>
          <w:szCs w:val="14"/>
          <w:color w:val="auto"/>
        </w:rPr>
        <w:t>Our product development team works closely with our marketing and merchandising teams to gather consumer insights through a variety of methodologies, including seasonal market research, in-store testing, scheduled interviews, and online and in-person surveys conducted by our internal team. Our work is also informed in part by market data analysis provided through our membership in industry services and organizations. The design and product development teams work to ensure that we offer products that are constructed to meet our design, function, construction, and quality standards in a cost-effective manner. We believe that, with our cross-functional, collaborative approach, we are able to introduce and market our products in a way that clearly communicates the Vera Bradley brand.</w:t>
      </w:r>
    </w:p>
    <w:p>
      <w:pPr>
        <w:spacing w:after="0" w:line="10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addition to products developed in-house, we also pursue brand extensions through strategic partnerships, licensing agreements, and brand collaborations. We currently have licenses in place for eyewear; bedding; stationery/drinkware; and outdoor furniture, accessories, and décor. We also have licensing agreements with NFL, Disney Consumer Products, Peanuts Worldwide, NBC Universal, Warner Brothers, and NCAA (collegiate). We will continue to look for the right strategic partners and licensees that can augment the brand and provide established distribution networks for certain categories of business. Additional arrangements will be launched in fiscal 2026.</w:t>
      </w:r>
    </w:p>
    <w:p>
      <w:pPr>
        <w:spacing w:after="0" w:line="3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Pura Vida</w:t>
      </w:r>
      <w:r>
        <w:rPr>
          <w:rFonts w:ascii="Times New Roman" w:cs="Times New Roman" w:eastAsia="Times New Roman" w:hAnsi="Times New Roman"/>
          <w:sz w:val="14"/>
          <w:szCs w:val="14"/>
          <w:color w:val="auto"/>
        </w:rPr>
        <w:t>. Pura Vida continued to develop new styles and re-invent existing styles. Pura Vida has pursued brand extensions through licensing agreements and partnerships with Discovery, Warner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Brothers Consumer Products, Disney Consumer Products, and Sanrio Inc. (Hello Kitty). Pura Vida has also engaged in collaboration with other relevant brands like Kulani Kinis, and Dutch Brothers Coffee Company to create limited edition products.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w:t>
      </w:r>
    </w:p>
    <w:p>
      <w:pPr>
        <w:spacing w:after="0" w:line="74"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We believe that the growth of our brands and our business is influenced by our ability to introduce and sell our merchandise in a way that clearly conveys the Vera Bradley and Pura Vida brand personalities. We use marketing as a critical tool in our efforts to promote our brands.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continually focused on looking for new ways to creatively engage and retain our customers, grow brand awareness, and introduce new customers to our brands in a cost-effective manner.</w:t>
      </w:r>
    </w:p>
    <w:p>
      <w:pPr>
        <w:spacing w:after="0" w:line="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Vera Bradley’s marketing platform will continue to be a blend of digital and more traditional channels, such as direct mail, email, quality media placements, PR, and targeted TV ads. Our marketing efforts are increasingly reflective of our ongoing commitment to diversity and inclusion. The goal of our 360-brand marketing program is to drive brand awareness and desirability, as well as connect with consumers where they are.</w:t>
      </w:r>
    </w:p>
    <w:p>
      <w:pPr>
        <w:spacing w:after="0" w:line="88"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We will continue to drive social media engagement by employing more user-generated content, growing our influencer and ambassador programs, further enhancing social storytelling and social selling, expanding Facebook, Instagram, and TikTok engagement.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Vera Bradley</w:t>
      </w:r>
    </w:p>
    <w:p>
      <w:pPr>
        <w:spacing w:after="0" w:line="136" w:lineRule="exact"/>
        <w:rPr>
          <w:sz w:val="20"/>
          <w:szCs w:val="20"/>
          <w:color w:val="auto"/>
        </w:rPr>
      </w:pPr>
    </w:p>
    <w:p>
      <w:pPr>
        <w:jc w:val="both"/>
        <w:ind w:right="20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Retention Advertising. </w:t>
      </w:r>
      <w:r>
        <w:rPr>
          <w:rFonts w:ascii="Times New Roman" w:cs="Times New Roman" w:eastAsia="Times New Roman" w:hAnsi="Times New Roman"/>
          <w:sz w:val="14"/>
          <w:szCs w:val="14"/>
          <w:color w:val="auto"/>
        </w:rPr>
        <w:t>We communicate with our established customers consistently throughout the year with regular e-mails, social media, and SMS, as well as seasonal direct mail related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Vera Bradley brand. Our retention advertising is geared to keeping Vera Bradley top of mind with our customers, rewarding our customers, and providing them with news of our seasonal launches, new product introductions, and VB Foundation initiatives.</w:t>
      </w:r>
    </w:p>
    <w:p>
      <w:pPr>
        <w:spacing w:after="0" w:line="91"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New Customer Acquisition Advertising. </w:t>
      </w:r>
      <w:r>
        <w:rPr>
          <w:rFonts w:ascii="Times New Roman" w:cs="Times New Roman" w:eastAsia="Times New Roman" w:hAnsi="Times New Roman"/>
          <w:sz w:val="14"/>
          <w:szCs w:val="14"/>
          <w:color w:val="auto"/>
        </w:rPr>
        <w:t>We primarily employ digital (i.e., paid social media, paid search, affiliate) and direct mail (catalog, postcards) advertising to increase overall brand awareness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attract new customers.</w:t>
      </w:r>
    </w:p>
    <w:p>
      <w:pPr>
        <w:spacing w:after="0" w:line="78"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Public Relations and Product Placement. </w:t>
      </w:r>
      <w:r>
        <w:rPr>
          <w:rFonts w:ascii="Times New Roman" w:cs="Times New Roman" w:eastAsia="Times New Roman" w:hAnsi="Times New Roman"/>
          <w:sz w:val="14"/>
          <w:szCs w:val="14"/>
          <w:color w:val="auto"/>
        </w:rPr>
        <w:t>Vera Bradley has received considerable editorial exposure in the press, with mentions in</w:t>
      </w:r>
      <w:r>
        <w:rPr>
          <w:rFonts w:ascii="Times New Roman" w:cs="Times New Roman" w:eastAsia="Times New Roman" w:hAnsi="Times New Roman"/>
          <w:sz w:val="14"/>
          <w:szCs w:val="14"/>
          <w:i w:val="1"/>
          <w:iCs w:val="1"/>
          <w:color w:val="auto"/>
        </w:rPr>
        <w:t xml:space="preserve"> Travel &amp; Leisure, People, Real Simple, Today, US Weekly, Good Morning America, Refinery 29, Southern Living, Glamour, Seventeen, Elle, Women's Wear Daily, Pop Sugar, and Good Housekeeping. </w:t>
      </w:r>
      <w:r>
        <w:rPr>
          <w:rFonts w:ascii="Times New Roman" w:cs="Times New Roman" w:eastAsia="Times New Roman" w:hAnsi="Times New Roman"/>
          <w:sz w:val="14"/>
          <w:szCs w:val="14"/>
          <w:color w:val="auto"/>
        </w:rPr>
        <w:t>In addition, we have expanded our public relations efforts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reach popular online influencers and content creators.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Partnerships. </w:t>
      </w:r>
      <w:r>
        <w:rPr>
          <w:rFonts w:ascii="Times New Roman" w:cs="Times New Roman" w:eastAsia="Times New Roman" w:hAnsi="Times New Roman"/>
          <w:sz w:val="14"/>
          <w:szCs w:val="14"/>
          <w:color w:val="auto"/>
        </w:rPr>
        <w:t>During fiscal 2025, we reinforced our position as a company empowering women by aligning our efforts to support the Vera Bradley Breast Cancer Foundation.</w:t>
      </w:r>
    </w:p>
    <w:p>
      <w:pPr>
        <w:spacing w:after="0" w:line="136" w:lineRule="exact"/>
        <w:rPr>
          <w:sz w:val="20"/>
          <w:szCs w:val="20"/>
          <w:color w:val="auto"/>
        </w:rPr>
      </w:pPr>
    </w:p>
    <w:p>
      <w:pPr>
        <w:ind w:right="7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Social Media and Online Marketing. </w:t>
      </w:r>
      <w:r>
        <w:rPr>
          <w:rFonts w:ascii="Times New Roman" w:cs="Times New Roman" w:eastAsia="Times New Roman" w:hAnsi="Times New Roman"/>
          <w:sz w:val="14"/>
          <w:szCs w:val="14"/>
          <w:color w:val="auto"/>
        </w:rPr>
        <w:t>We use online marketing and social networking sites as tools to increase brand awareness and drive traffic to our e-commerce sites (verabradley.com,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outlet.verabradley.com, and international.verabradley.com) and to our Vera Bradley stores. Vera Bradley can be found on Facebook, Instagram, TikTok, X, Pinterest, and YouTube.</w:t>
      </w:r>
    </w:p>
    <w:p>
      <w:pPr>
        <w:spacing w:after="0" w:line="8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For Vera Bradley, we have captured approximately 3.3 million active subscribed customer e-mail addresses in our online customer file, with many of these customers providing age, occupation, and location data. This information provides us with deeper insight into the products and categories that are of the highest interest to our customers and allows us to better target our customers with appropriate messages. As of February 1, 2025, we had approximately 2.0 million Facebook followers, nearly 70,000 Twitter ("X") followers, and approximately 55,000 TikTok followers. Our Instagram has grown to approximately 612,000 followers and is our most highly engaged social medium. In addition, we often partner with brand-right influencers to promote our products.</w:t>
      </w:r>
    </w:p>
    <w:p>
      <w:pPr>
        <w:spacing w:after="0" w:line="9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4"/>
          <w:szCs w:val="14"/>
          <w:i w:val="1"/>
          <w:iCs w:val="1"/>
          <w:color w:val="auto"/>
        </w:rPr>
        <w:t>Mall Advertising</w:t>
      </w:r>
      <w:r>
        <w:rPr>
          <w:rFonts w:ascii="Calibri" w:cs="Calibri" w:eastAsia="Calibri" w:hAnsi="Calibri"/>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had representation in key markets with mall partner participation. Collaborations and holiday promotions were the primary focus for our retail store locations. The outlet channel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participated in center marketing throughout the year highlighting key seasonal moments, such as: Spring Break, Back to School, Labor Day, and Holiday.</w:t>
      </w:r>
    </w:p>
    <w:p>
      <w:pPr>
        <w:spacing w:after="0" w:line="7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Direct Mail. </w:t>
      </w:r>
      <w:r>
        <w:rPr>
          <w:rFonts w:ascii="Times New Roman" w:cs="Times New Roman" w:eastAsia="Times New Roman" w:hAnsi="Times New Roman"/>
          <w:sz w:val="14"/>
          <w:szCs w:val="14"/>
          <w:color w:val="auto"/>
        </w:rPr>
        <w:t>Vera Bradley mailers are a vehicle for promoting the Vera Bradley brand and product portfolio. Each mailer is sent to a targeted customer mailing list. We believe our direct mail medium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generates excitement and awareness about the Vera Bradley brand and allows us to reach both new and loyal customers in their homes. We use direct mail for prospecting, customer retention, and reactivation.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Pura Vida</w:t>
      </w:r>
    </w:p>
    <w:p>
      <w:pPr>
        <w:spacing w:after="0" w:line="13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Retention Advertising. </w:t>
      </w:r>
      <w:r>
        <w:rPr>
          <w:rFonts w:ascii="Times New Roman" w:cs="Times New Roman" w:eastAsia="Times New Roman" w:hAnsi="Times New Roman"/>
          <w:sz w:val="14"/>
          <w:szCs w:val="14"/>
          <w:color w:val="auto"/>
        </w:rPr>
        <w:t>Pura Vida has connected with established customers through regular emails, affiliate marketing, SMS marketing, and social media marketing. Pura Vida's retention advertising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focuses on informing customers of new product launches, exclusive offers, inventory restocks of best sellers, promoting referral and loyalty rewards, and the latest Pura Vida news.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New Customer Acquisition Advertising. </w:t>
      </w:r>
      <w:r>
        <w:rPr>
          <w:rFonts w:ascii="Times New Roman" w:cs="Times New Roman" w:eastAsia="Times New Roman" w:hAnsi="Times New Roman"/>
          <w:sz w:val="14"/>
          <w:szCs w:val="14"/>
          <w:color w:val="auto"/>
        </w:rPr>
        <w:t>Pura Vida has focused on digital advertising through Facebook, Instagram, TikTok, Google, Snapchat, and Pinterest to acquire new customers. Pura Vida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consistently tested new audiences, channels, creative ads, and promotions to maximize our return on paid media spend.</w:t>
      </w:r>
    </w:p>
    <w:p>
      <w:pPr>
        <w:spacing w:after="0" w:line="74" w:lineRule="exact"/>
        <w:rPr>
          <w:sz w:val="20"/>
          <w:szCs w:val="20"/>
          <w:color w:val="auto"/>
        </w:rPr>
      </w:pPr>
    </w:p>
    <w:p>
      <w:pPr>
        <w:ind w:right="300"/>
        <w:spacing w:after="0" w:line="310" w:lineRule="auto"/>
        <w:rPr>
          <w:sz w:val="20"/>
          <w:szCs w:val="20"/>
          <w:color w:val="auto"/>
        </w:rPr>
      </w:pPr>
      <w:r>
        <w:rPr>
          <w:rFonts w:ascii="Times New Roman" w:cs="Times New Roman" w:eastAsia="Times New Roman" w:hAnsi="Times New Roman"/>
          <w:sz w:val="14"/>
          <w:szCs w:val="14"/>
          <w:i w:val="1"/>
          <w:iCs w:val="1"/>
          <w:color w:val="auto"/>
        </w:rPr>
        <w:t>Ambassador Program</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Pura Vida has a grassroots program of brand ambassadors who drive customers to the website and generate buzz in local communities, digitally through their social media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channels, in person through events, and through word of mouth.</w:t>
      </w:r>
    </w:p>
    <w:p>
      <w:pPr>
        <w:spacing w:after="0" w:line="11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i w:val="1"/>
          <w:iCs w:val="1"/>
          <w:color w:val="auto"/>
        </w:rPr>
        <w:t>PR &amp; Influencer Marketing</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Pura Vida brand story is told through media and editorial placements, seeding with celebrities and relevant publications, and working with brand influencers across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various key markets and demographic profiles. Pura Vida has also built a network of micro influencers and content creators who post for our brand in exchange for product and exposure on our social channels.</w:t>
      </w:r>
    </w:p>
    <w:p>
      <w:pPr>
        <w:spacing w:after="0" w:line="96"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4"/>
          <w:szCs w:val="14"/>
          <w:i w:val="1"/>
          <w:iCs w:val="1"/>
          <w:color w:val="auto"/>
        </w:rPr>
        <w:t>Charity Collaborations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Pura Vida has partnered with charities to donate to causes that are important to our customers. To date, Pura Vida has donated nearly $6.5 million to various charities around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world.</w:t>
      </w:r>
    </w:p>
    <w:p>
      <w:pPr>
        <w:spacing w:after="0" w:line="114"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4"/>
          <w:szCs w:val="14"/>
          <w:i w:val="1"/>
          <w:iCs w:val="1"/>
          <w:color w:val="auto"/>
        </w:rPr>
        <w:t>Experiential Marketing</w:t>
      </w:r>
      <w:r>
        <w:rPr>
          <w:rFonts w:ascii="Times New Roman" w:cs="Times New Roman" w:eastAsia="Times New Roman" w:hAnsi="Times New Roman"/>
          <w:sz w:val="14"/>
          <w:szCs w:val="14"/>
          <w:color w:val="auto"/>
        </w:rPr>
        <w:t>. To reach both existing and new customers and bring the brand to life, Pura Vida has hosted events at our retail stores, in-person brand activations on college campuses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relevant public events, and built a brand presence at partner-owned events such as the Varsity Cheer League.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8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Because Vera Bradley and Pura Vida products are frequently given as gifts, we have historically realized, and expect to continue to realize, higher sales and operating income in the fourth quarter of our fiscal year, which includes the holiday months of November and December. In addition, our products are popular during back-to-school periods of August and September. Fluctuations in sales and operating income in any fiscal quarter are affected by the timing of seasonal wholesale shipments and other events affecting retail sales.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Channels of Distribution</w:t>
      </w:r>
    </w:p>
    <w:p>
      <w:pPr>
        <w:spacing w:after="0" w:line="8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distribute our Vera Bradley products through our VB Direct (including e-commerce and retail stores) and VB Indirect segments and Pura Vida products primarily through e-commerce, wholesale retailers, and retail stores. This multi-channel distribution model is designed to enable operational flexibility and maximizes the methods by which we can access potential customers.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Vera Bradley Direct Segment</w:t>
      </w:r>
    </w:p>
    <w:p>
      <w:pPr>
        <w:spacing w:after="0" w:line="72"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Full-Line Stores. </w:t>
      </w:r>
      <w:r>
        <w:rPr>
          <w:rFonts w:ascii="Times New Roman" w:cs="Times New Roman" w:eastAsia="Times New Roman" w:hAnsi="Times New Roman"/>
          <w:sz w:val="14"/>
          <w:szCs w:val="14"/>
          <w:color w:val="auto"/>
        </w:rPr>
        <w:t>We have developed a retail presence through our full-line stores, all located in the United States, which provides us with a format to showcase our brand and the full array of Vera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Bradley products. As of February 1, 2025, we operated 39 full-line stores averaging approximately 2,000 square feet per store. Our sales associates are passionate about our products and customer service, which we believe translates into a superior shopping experience.</w:t>
      </w:r>
    </w:p>
    <w:p>
      <w:pPr>
        <w:spacing w:after="0" w:line="9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Outlet Stores</w:t>
      </w:r>
      <w:r>
        <w:rPr>
          <w:rFonts w:ascii="Times New Roman" w:cs="Times New Roman" w:eastAsia="Times New Roman" w:hAnsi="Times New Roman"/>
          <w:sz w:val="14"/>
          <w:szCs w:val="14"/>
          <w:color w:val="auto"/>
        </w:rPr>
        <w:t>. Our outlet stores are a vehicle for selling styles made specifically for our outlet channel, as well as retired merchandise at discounted prices, while maintaining brand integrity. Typically,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93% of the merchandise found in our outlet stores consists of exclusive styles. Outlet stores are an integral part of our distribution strategy, as this format provides an additional channel of distribution for our products and enables us to better target value-oriented customers. Our outlet stores average approximately 3,500 square feet per store. As of February 1, 2025, we operated 87 outlet stores, all located in the United States.</w:t>
      </w:r>
    </w:p>
    <w:p>
      <w:pPr>
        <w:spacing w:after="0" w:line="9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Store Location Selection Strategy. </w:t>
      </w:r>
      <w:r>
        <w:rPr>
          <w:rFonts w:ascii="Times New Roman" w:cs="Times New Roman" w:eastAsia="Times New Roman" w:hAnsi="Times New Roman"/>
          <w:sz w:val="14"/>
          <w:szCs w:val="14"/>
          <w:color w:val="auto"/>
        </w:rPr>
        <w:t>Our store location decisions for both full-line and outlet stores are made based upon our comprehensive retail strategy that includes actual and planned penetration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both Indirect and Direct segments, as well as existing e-commerce demand. While we forecast that we will close additional full-line stores, we believe that long-term expansion of our store base is necessary to increase brand awareness and reinforce our brand image by contributing to our omni-channel retail strategy. In addition to analyzing store economics, we pay particular attention to the location within the shopping center, the size and shape of the space, and co-tenancies. Along with seeking co-tenants that we believe share our target customer, we seek a balanced mix of moderate and high-end retailers to encourage high levels of traffic.</w:t>
      </w:r>
    </w:p>
    <w:p>
      <w:pPr>
        <w:spacing w:after="0" w:line="9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Store Operations. </w:t>
      </w:r>
      <w:r>
        <w:rPr>
          <w:rFonts w:ascii="Times New Roman" w:cs="Times New Roman" w:eastAsia="Times New Roman" w:hAnsi="Times New Roman"/>
          <w:sz w:val="14"/>
          <w:szCs w:val="14"/>
          <w:color w:val="auto"/>
        </w:rPr>
        <w:t>The focus of our store operations is providing consumers with a comfortable and memorable shopping experience. We strive to make the experience interactive through special store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events.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i w:val="1"/>
          <w:iCs w:val="1"/>
          <w:color w:val="auto"/>
        </w:rPr>
        <w:t>E-Commerce</w:t>
      </w:r>
      <w:r>
        <w:rPr>
          <w:rFonts w:ascii="Times New Roman" w:cs="Times New Roman" w:eastAsia="Times New Roman" w:hAnsi="Times New Roman"/>
          <w:sz w:val="14"/>
          <w:szCs w:val="14"/>
          <w:color w:val="auto"/>
        </w:rPr>
        <w:t>. We sell our products through the the Vera Bradley websites (verabradley.com, international.verabradley.com, and outlet.verabradley.com) as well as direct to consumer marketplaces.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objective of these websites is to provide both a mechanism for marketing directly to consumers and a storefront where consumers can find the entire full-line Vera Bradley collection. During fiscal 2021, we re-platformed our websites to become more streamlined, nimble, and efficient in our technology platform and business processes. Between 2018 and late calendar 2023, we also operated a flash online outlet site to reduce clearance sales from verabradley.com. In November 2023, we transformed the online outlet from a flash-sale model to an everyday extension of our outlet stores. This brought new customers to the brand and helped offset weakness in the outlet store channel. We had approximately 62 million visits to verabradley.com and our online outlet site during fiscal 2025.</w:t>
      </w:r>
    </w:p>
    <w:p>
      <w:pPr>
        <w:spacing w:after="0" w:line="99"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Annual Outlet Sale. </w:t>
      </w:r>
      <w:r>
        <w:rPr>
          <w:rFonts w:ascii="Times New Roman" w:cs="Times New Roman" w:eastAsia="Times New Roman" w:hAnsi="Times New Roman"/>
          <w:sz w:val="14"/>
          <w:szCs w:val="14"/>
          <w:color w:val="auto"/>
        </w:rPr>
        <w:t>Our annual outlet sale is typically held in the Allen County War Memorial Coliseum Exposition Center in Fort Wayne, Indiana. The annual outlet sale is an important tradition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Vera Bradley, has many loyal followers, and is an opportunity for us to sell our retired merchandise at discounted prices in a brand-right fashion.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Vera Bradley Indirect Segment</w:t>
      </w:r>
    </w:p>
    <w:p>
      <w:pPr>
        <w:spacing w:after="0" w:line="7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As of February 1, 2025, we sold our products in approximately 1,200 specialty retail locations, as well as department stores, national accounts, third-party e-commerce sites, and third-party inventory liquidators, as well as through licensing agreements. We currently sell our products in approximately 250 department store locations as well as Amazon.com and other third party marketplaces.</w:t>
      </w:r>
    </w:p>
    <w:p>
      <w:pPr>
        <w:spacing w:after="0" w:line="29"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top 25% of our specialty retailers account for approximately 84% of total specialty retailer revenue. No single Indirect retailer represented more than 8% of consolidated net revenues in fiscal 2025, with the top ten Indirect retailers representing in the aggregate, approximately 78% of total Indirect segment net revenues. The majority of our Indirect retailers have been customers for over five years.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Indirect Sales Force</w:t>
      </w:r>
    </w:p>
    <w:p>
      <w:pPr>
        <w:spacing w:after="0" w:line="74"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We believe that having a combination of an in-house field sales force and a third-party agency, covering certain geographies, results in a more consistent brand presentation and messaging, enhanced support for our Indirect customers, and a more predictable, scalable, and cost-efficient business model.</w:t>
      </w:r>
    </w:p>
    <w:p>
      <w:pPr>
        <w:spacing w:after="0" w:line="8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In addition to acquiring new and growing existing accounts, our sales consultants serve as a support center for our Indirect customers by assisting and educating them in areas such as merchandising and visual presentation, marketing the brand, product selection, and inventory management. Our visual merchandising program provides our sales consultants with a framework to guide our Indirect customers regarding optimal product placement and display that is intended to reinforce the message that our brand is distinctive.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Pura Vida Segment</w:t>
      </w:r>
    </w:p>
    <w:p>
      <w:pPr>
        <w:spacing w:after="0" w:line="83"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E-Commerce. </w:t>
      </w:r>
      <w:r>
        <w:rPr>
          <w:rFonts w:ascii="Times New Roman" w:cs="Times New Roman" w:eastAsia="Times New Roman" w:hAnsi="Times New Roman"/>
          <w:sz w:val="14"/>
          <w:szCs w:val="14"/>
          <w:color w:val="auto"/>
        </w:rPr>
        <w:t>Pura Vida products are available on our website, www.puravidabracelets.com. Pura Vida’s website immerses visitors in the brand, its products, and its social mission. Pura Vida is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digitally native brand, and the e-commerce storefront continues to be the primary source of revenues for the Pura Vida business.</w:t>
      </w:r>
    </w:p>
    <w:p>
      <w:pPr>
        <w:spacing w:after="0" w:line="7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Wholesale. </w:t>
      </w:r>
      <w:r>
        <w:rPr>
          <w:rFonts w:ascii="Times New Roman" w:cs="Times New Roman" w:eastAsia="Times New Roman" w:hAnsi="Times New Roman"/>
          <w:sz w:val="14"/>
          <w:szCs w:val="14"/>
          <w:color w:val="auto"/>
        </w:rPr>
        <w:t>The Pura Vida wholesale channel is comprised primarily of specialty stores including Tilly’s, The Paper Store, Ron Jon Surf Shops, and Hallmark stores, among others. Pura Vida also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sells in select department stores and has a presence on Amazon.com through a third-party wholesaler. We have a combination of in-house and external sales personnel who work with our wholesale retailers regarding order fulfillment and compilation.</w:t>
      </w:r>
    </w:p>
    <w:p>
      <w:pPr>
        <w:spacing w:after="0" w:line="12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Retail. </w:t>
      </w:r>
      <w:r>
        <w:rPr>
          <w:rFonts w:ascii="Times New Roman" w:cs="Times New Roman" w:eastAsia="Times New Roman" w:hAnsi="Times New Roman"/>
          <w:sz w:val="14"/>
          <w:szCs w:val="14"/>
          <w:color w:val="auto"/>
        </w:rPr>
        <w:t>Pura Vida has seven retail store locations. Two of the locations opened in fiscal 2025, four opened in fiscal 2023, and one location opened in fiscal 2022. Our full-line locations are allowing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showcase the Pura Vida lifestyle with a full array of existing products and new product innovations.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and Supply Chain Model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Vera Bradley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multi-country manufacturing and supply chain model is designed to achieve efficient, timely, and accurate order fulfillment while maintaining appropriate levels of inventory.</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manufacturing and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while maintaining and focusing on flexibility. Our sourcing team leverages its expertise in negotiation, relationship management, flexibility, and change management to maintain a strong, diverse global supply chain. Our sourcing team also focuses on achieving the right balance of production sites and countries of origin to mitigate the risk of concentrated production, including potential incremental tariffs. To continue to assist in this risk mitigation, our sourcing team reduced our Vera Bradley production in China from over 50% in fiscal 2019 to approximately 11% in fiscal 2025.</w:t>
      </w:r>
    </w:p>
    <w:p>
      <w:pPr>
        <w:spacing w:after="0" w:line="10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strive to maintain the appropriate balance of inventory to enable us to provide a high level of service to our customers, including prompt and accurate delivery of our products at a reasonable cost. We believe that we have an active and nimble sales and operations planning process that helps us balance the supply and demand issues that we encounter in our business, optimize our inventory levels, and anticipate inventory needs. We have also integrated our Vera Bradley planning, forecasting, and segmentation processes under one function called Merchandise Planning and Allocation.</w:t>
      </w:r>
    </w:p>
    <w:p>
      <w:pPr>
        <w:spacing w:after="0" w:line="9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Approximately 40% of Vera Bradley product sales are derived from cotton-based materials. Our remaining fabrics and materials including leather, fleece, polyester, nylon, and microfiber. We work with fabric mill partners across Asia and work with leather tannery partners in South Korea and Europe. Most of our non-cotton fabrics are sourced in China and South Korea. The majority of our cotton-based products are sourced from India, South Korea, and Pakistan.</w:t>
      </w:r>
    </w:p>
    <w:p>
      <w:pPr>
        <w:spacing w:after="0" w:line="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global sourcing team identifies, evaluates, and selects suppliers to fulfill the sourcing strategy. Conducting market analysis and supplier assessment to identify potential partners are integral to maintaining a competitive edge and driving profitability. The global sourcing team collaborates with carefully selected and screened suppliers to negotiate contracts and agreements, balance cost, lead time, quality, and reliability across our supplier network and maximize operational efficiency. Developing a long-term and mutually beneficial relations with suppliers and to foster collaboration and innovation is an important part of our sourcing matrix. The global sourcing team ensures a diversified supplier base to minimize single source dependency and is also monitoring geopolitical factors and market trends to anticipate and mitigate supply chain risks.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proactively manage raw materials cost fluctuations through securing early bookings at strategically favorable times. All of our suppliers must comply with our quality standards, and we use only a limited number of pre-approved suppliers who have demonstrated a commitment to delivering the highest quality products. We are continually updating our factory audit process and building a better compliance program to ensure our vendor code of conduct is met.</w:t>
      </w:r>
    </w:p>
    <w:p>
      <w:pPr>
        <w:spacing w:after="0" w:line="156" w:lineRule="exact"/>
        <w:rPr>
          <w:sz w:val="20"/>
          <w:szCs w:val="20"/>
          <w:color w:val="auto"/>
        </w:rPr>
      </w:pPr>
    </w:p>
    <w:p>
      <w:pPr>
        <w:ind w:right="440"/>
        <w:spacing w:after="0" w:line="239" w:lineRule="auto"/>
        <w:rPr>
          <w:sz w:val="20"/>
          <w:szCs w:val="20"/>
          <w:color w:val="auto"/>
        </w:rPr>
      </w:pPr>
      <w:r>
        <w:rPr>
          <w:rFonts w:ascii="Times New Roman" w:cs="Times New Roman" w:eastAsia="Times New Roman" w:hAnsi="Times New Roman"/>
          <w:sz w:val="14"/>
          <w:szCs w:val="14"/>
          <w:color w:val="auto"/>
        </w:rPr>
        <w:t>We partner with BetterWork to conduct our factory audits. BetterWork brings diverse groups together (governments, global brands, factory owners, unions, and workers) to improve working conditions in the garment industry and make the sector more competitive. These audits encompass both the Vera Bradley and Pura Vida brands as they relate to our purchases in Cambodia and Bangladesh.</w:t>
      </w:r>
    </w:p>
    <w:p>
      <w:pPr>
        <w:spacing w:after="0" w:line="15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The majority of our Vera Bradley finished goods, not sourced through licenses or strategic partners, are manufactured by a variety of global manufacturers located primarily in Cambodia, Vietnam, Indonesia, China, and the Philippines. With the oversight of our office in Hong Kong and our independent contractors, we believe financial benefits have been realized without sacrificing the level of quality inherent in our products or service to our customers.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Pura Vida</w:t>
      </w:r>
    </w:p>
    <w:p>
      <w:pPr>
        <w:spacing w:after="0" w:line="13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Pura Vida products are sourced primarily from El Salvador, as well as China, India, Guatemala, Cambodia, and Indonesia. Pura Vida has continued an active supply chain diversification process to ensure a focus on maintaining flexibility and to help mitigate the risk of concentrated production, similar to the Vera Bradley supply chain.</w:t>
      </w:r>
    </w:p>
    <w:p>
      <w:pPr>
        <w:spacing w:after="0" w:line="82"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When determining the size of orders placed with our manufacturers, Pura Vida has taken into account forward-looking demand, lead times for specific products, current inventory levels, and minimum order quantity requirements. Overseas production has resulted in substantial cost savings and a reduction of capital investment.</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 Centers</w:t>
      </w:r>
    </w:p>
    <w:p>
      <w:pPr>
        <w:spacing w:after="0" w:line="7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Vera Bradley owns a 428,500 square-foot distribution center in Roanoke, Indiana. This facility allows Vera Bradley employees to receive information directly from the order-collection center and quickly identify the products and quantities necessary to fulfill a particular order. The facility’s technology enables us to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 however, we continue to make technology and automation enhancements to our distribution center processes to promote optimal output.</w:t>
      </w:r>
    </w:p>
    <w:p>
      <w:pPr>
        <w:spacing w:after="0" w:line="9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Vera Bradley products are shipped primarily via third-party common carriers to our stores, our Indirect retailers, and directly to our customers who purchase through our website. We believe we are positioned well to support the order fulfillment requirements of our business, including business generated through our website.</w:t>
      </w:r>
    </w:p>
    <w:p>
      <w:pPr>
        <w:spacing w:after="0" w:line="8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Pura Vida products for the U.S. e-commerce site and wholesale accounts are distributed primarily through a third-party provider in Tijuana, Mexico. Pura Vida also distributes product through third-party provider in Canada, which supports Canadian wholesale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 Information Systems</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believe that high levels of automation and technology are essential to maintain our competitive position. We maintain computer hardware, applications, and networks to enhance and accelerate the design process, to support the sale and distribution of our products to our customers, and to improve the integration and efficiency of our operations. Our information systems are designed to provide, among other things, enterprise class business management, comprehensive order processing for all commerce channels, production, accounting, and management information and analytics for the product development, retail, sales, marketing, distribution, finance, and human resources functions of our business. At Vera Bradley, our ERP, POS, Business Intelligence, and Order Management systems are on cloud-based platforms, streamlining and simplifying our work and providing for additional capabilities such as multi-company operations on the same platform. We continue to assess our on-premise and cloud-based technology solutions in an effort to ensure we have the optimal solutions for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8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For both Vera Bradley and Pura Vida, 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Moreover, the general availability of contract manufacturing allows new entrants to relatively easily access the markets in which we compete, which may increase the number of competitors and adversely affect our competitive position and our business. We compete against other independent retailers, department stores, catalog retailers, gift retailers, and Internet businesses that engage in the retail sale of similar products.</w:t>
      </w:r>
    </w:p>
    <w:p>
      <w:pPr>
        <w:spacing w:after="0" w:line="27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market for handbags and accessories, in particular, is highly competitive. Our competitors include not only established companies that are expanding their production and marketing of handbags and accessories, but also frequent new entrants to the market. We directly compete with wholesalers and direct sellers of branded handbags and accessories.</w:t>
      </w:r>
    </w:p>
    <w:p>
      <w:pPr>
        <w:spacing w:after="0" w:line="8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brands, customer loyalty and engagement,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Copyrights and Trademarks</w:t>
      </w:r>
    </w:p>
    <w:p>
      <w:pPr>
        <w:spacing w:after="0" w:line="7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For Vera Bradley, the development of new patterns includes the design of primary and secondary prints. Once developed, we generally copyright our patterns as appropriate. We currently have over 1,350 copyrights related to the Vera Bradley business.</w:t>
      </w:r>
    </w:p>
    <w:p>
      <w:pPr>
        <w:spacing w:after="0" w:line="8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also own the material trademark rights used in connection with the production, marketing, and distribution of all of our products, both in the United States and in the other countries in which our products are principally sold. Our trademarks include “Vera Bradley” and “Pura Vida.” We aggressively police our trademarks and copyrights and pursue infringers and counterfeiters both domestically and internationally. Our trademarks will remain in existence for as long as we continue to use and renew them in advance of their expiration dates. We have no material patents.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7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Equal employment opportunities are available to all persons at Vera Bradley, Inc. without regard to race, sex, sexual orientation, gender, gender identity, gender expression, marital status, age, color, religion, creed, national origin, ancestry, mental or physical disability, medical condition, genetic information, military or veteran status or any other category protected under applicable federal, state, or local law. We put this standard into practice through our hiring, training, and an annual affirmative action program.</w:t>
      </w:r>
    </w:p>
    <w:p>
      <w:pPr>
        <w:spacing w:after="0" w:line="146" w:lineRule="exact"/>
        <w:rPr>
          <w:sz w:val="20"/>
          <w:szCs w:val="20"/>
          <w:color w:val="auto"/>
        </w:rPr>
      </w:pPr>
    </w:p>
    <w:p>
      <w:pPr>
        <w:jc w:val="both"/>
        <w:ind w:right="180"/>
        <w:spacing w:after="0" w:line="238" w:lineRule="auto"/>
        <w:rPr>
          <w:sz w:val="20"/>
          <w:szCs w:val="20"/>
          <w:color w:val="auto"/>
        </w:rPr>
      </w:pPr>
      <w:r>
        <w:rPr>
          <w:rFonts w:ascii="Times New Roman" w:cs="Times New Roman" w:eastAsia="Times New Roman" w:hAnsi="Times New Roman"/>
          <w:sz w:val="14"/>
          <w:szCs w:val="14"/>
          <w:color w:val="auto"/>
        </w:rPr>
        <w:t>As of February 1, 2025, we had approximately 1,725 employees. Of the total, approximately 1,215 were engaged in Vera Bradley retail selling positions; approximately 190 were engaged in Vera Bradley distribution, sourcing and quality functions; approximately 25 were engaged in Vera Bradley product design; approximately 95 were involved in the Pura Vida business, including the Pura Vida retail stores; and approximately 200 were engaged in corporate support and administrative functions. None of our employees are represented by a union. We believe that our relations with our employees are good, and we have never encountered a significant work stoppage other than as related to temporary stoppages necessitated by the COVID-19 pandemic.</w:t>
      </w:r>
    </w:p>
    <w:p>
      <w:pPr>
        <w:spacing w:after="0" w:line="15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i w:val="1"/>
          <w:iCs w:val="1"/>
          <w:color w:val="auto"/>
        </w:rPr>
        <w:t>Project Quilt</w:t>
      </w:r>
      <w:r>
        <w:rPr>
          <w:rFonts w:ascii="Times New Roman" w:cs="Times New Roman" w:eastAsia="Times New Roman" w:hAnsi="Times New Roman"/>
          <w:sz w:val="14"/>
          <w:szCs w:val="14"/>
          <w:color w:val="auto"/>
        </w:rPr>
        <w:t>. Our Company-wide diversity and inclusion initiative, Project Quilt, continues to enhance diversity, equality, and inclusion, focusing on three key areas – the Associate Experience,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 Experience, and the Community Experience. The goal of the program is to make all associates feel welcome and a part of the Vera Bradley community.</w:t>
      </w:r>
    </w:p>
    <w:p>
      <w:pPr>
        <w:spacing w:after="0" w:line="131"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4"/>
          <w:szCs w:val="14"/>
          <w:i w:val="1"/>
          <w:iCs w:val="1"/>
          <w:color w:val="auto"/>
        </w:rPr>
        <w:t>Engagement</w:t>
      </w:r>
      <w:r>
        <w:rPr>
          <w:rFonts w:ascii="Times New Roman" w:cs="Times New Roman" w:eastAsia="Times New Roman" w:hAnsi="Times New Roman"/>
          <w:sz w:val="14"/>
          <w:szCs w:val="14"/>
          <w:color w:val="auto"/>
        </w:rPr>
        <w:t>. Vera Bradley believes it is critical to engage its different stakeholders in order to understand their views, values, and ideas and to design a more responsible environment for all involved.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stakeholder group includes associates. The Company engages its associates through surveys, town halls, and focus groups. Collectively, the Company's success is based upon the unique value of each person's contributions. Our long-term success depends on talented and engaged associates.</w:t>
      </w:r>
    </w:p>
    <w:p>
      <w:pPr>
        <w:spacing w:after="0" w:line="1"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4"/>
          <w:szCs w:val="14"/>
          <w:color w:val="auto"/>
        </w:rPr>
        <w:t>Every year, we conduct an associate engagement survey in order to better understand our associates’ insights into our Company’s strengths and opportunities. The feedback gave us insight into improvement opportunities and is instrumental in decisions we make to shape, strengthen, and improve our Company. As a result of the survey feedback, over the last several years we have made meaningful improvements to benefits, career development, compensation, mental health and wellness programs, and our facilities. We believe listening to our associates’ feedback provided through the annual engagement survey continually strengthens our corporate culture.</w:t>
      </w:r>
    </w:p>
    <w:p>
      <w:pPr>
        <w:spacing w:after="0" w:line="155"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14"/>
          <w:szCs w:val="14"/>
          <w:i w:val="1"/>
          <w:iCs w:val="1"/>
          <w:color w:val="auto"/>
        </w:rPr>
        <w:t>Pay and Benefits</w:t>
      </w:r>
      <w:r>
        <w:rPr>
          <w:rFonts w:ascii="Times New Roman" w:cs="Times New Roman" w:eastAsia="Times New Roman" w:hAnsi="Times New Roman"/>
          <w:sz w:val="14"/>
          <w:szCs w:val="14"/>
          <w:color w:val="auto"/>
        </w:rPr>
        <w:t>. The Company offers competitive pay packages that include market-competitive base and hourly compensation, healthcare, a 401(k) savings plan that includes a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contribution match, paid time off (including for volunteerism), paid family leave, matching gifts program, and an Employee Assistance Program.</w:t>
      </w:r>
    </w:p>
    <w:p>
      <w:pPr>
        <w:spacing w:after="0" w:line="14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i w:val="1"/>
          <w:iCs w:val="1"/>
          <w:color w:val="auto"/>
        </w:rPr>
        <w:t>Leadership Programs</w:t>
      </w:r>
      <w:r>
        <w:rPr>
          <w:rFonts w:ascii="Times New Roman" w:cs="Times New Roman" w:eastAsia="Times New Roman" w:hAnsi="Times New Roman"/>
          <w:sz w:val="14"/>
          <w:szCs w:val="14"/>
          <w:color w:val="auto"/>
        </w:rPr>
        <w:t>. Our associates are our biggest asset and when they win, we all win. We recognize everyone in the Company has the ability to lead by example and influence others in a positive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way that ultimately provides meaningful value and will make us stronger. Our long-term initiative, Leaders by Design, encourages our associates to grow as leaders through new associate orientation and onboarding, formal training programs, mentorship programs, job shadowing and career-pathing programs and development, including THE LEADERSHIP CHALLENGE®, a globally recognized, research-based leadership development program designed to enhance leadership effectiveness.</w:t>
      </w:r>
    </w:p>
    <w:p>
      <w:pPr>
        <w:spacing w:after="0" w:line="15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i w:val="1"/>
          <w:iCs w:val="1"/>
          <w:color w:val="auto"/>
        </w:rPr>
        <w:t>Associate Safety</w:t>
      </w:r>
      <w:r>
        <w:rPr>
          <w:rFonts w:ascii="Times New Roman" w:cs="Times New Roman" w:eastAsia="Times New Roman" w:hAnsi="Times New Roman"/>
          <w:sz w:val="14"/>
          <w:szCs w:val="14"/>
          <w:color w:val="auto"/>
        </w:rPr>
        <w:t>. Associate safety and well-being is of paramount importance to our Company. We have a comprehensive employee safety program, WorkWISE Wellness, that focuses on overall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employee health and safety. The WorkWISE Wellness program emphasizes our high standard of safety throughout all operations of the organization. The program and its materials, including a comprehensive Safety Manual, addresses a variety of topics including reporting injuries, OSHA compliance, and emergency procedures (related to workplace violence, active shooters, severe weather and blood-borne pathogens, among others). Policies are routinely communicated, and training is provided to associates as appropriate.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7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Many of our imported products are subject to existing or potential duties or tariffs that may limit the quantity of products that we may import into the United States and other countries or impact the cost of such products.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9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capital expenditures, earnings, or competitive position. If we violate any laws or regulations, however, it could have a material adverse effect on our business or financial performance.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certain information concerning each of our executive officers: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6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Position(s)</w:t>
            </w:r>
          </w:p>
        </w:tc>
      </w:tr>
      <w:tr>
        <w:trPr>
          <w:trHeight w:val="176"/>
        </w:trPr>
        <w:tc>
          <w:tcPr>
            <w:tcW w:w="3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Jacqueline Ardrey</w:t>
            </w:r>
          </w:p>
        </w:tc>
        <w:tc>
          <w:tcPr>
            <w:tcW w:w="100" w:type="dxa"/>
            <w:vAlign w:val="bottom"/>
          </w:tcPr>
          <w:p>
            <w:pPr>
              <w:spacing w:after="0"/>
              <w:rPr>
                <w:sz w:val="15"/>
                <w:szCs w:val="15"/>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100" w:type="dxa"/>
            <w:vAlign w:val="bottom"/>
          </w:tcPr>
          <w:p>
            <w:pPr>
              <w:spacing w:after="0"/>
              <w:rPr>
                <w:sz w:val="15"/>
                <w:szCs w:val="15"/>
                <w:color w:val="auto"/>
              </w:rPr>
            </w:pPr>
          </w:p>
        </w:tc>
        <w:tc>
          <w:tcPr>
            <w:tcW w:w="6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Chief Executive Officer, President and Director, Vera Bradley, Inc.</w:t>
            </w:r>
          </w:p>
        </w:tc>
      </w:tr>
      <w:tr>
        <w:trPr>
          <w:trHeight w:val="18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Schwindle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100" w:type="dxa"/>
            <w:vAlign w:val="bottom"/>
          </w:tcPr>
          <w:p>
            <w:pPr>
              <w:spacing w:after="0"/>
              <w:rPr>
                <w:sz w:val="15"/>
                <w:szCs w:val="15"/>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 Vera Bradley, Inc.</w:t>
            </w:r>
          </w:p>
        </w:tc>
      </w:tr>
      <w:tr>
        <w:trPr>
          <w:trHeight w:val="18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 C. Dely</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tcPr>
          <w:p>
            <w:pPr>
              <w:spacing w:after="0"/>
              <w:rPr>
                <w:sz w:val="15"/>
                <w:szCs w:val="15"/>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Chief Administrative &amp; Legal Officer and Corporate Secretary, Vera Bradley, Inc.</w:t>
            </w:r>
          </w:p>
        </w:tc>
      </w:tr>
      <w:tr>
        <w:trPr>
          <w:trHeight w:val="18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Alison Hiatt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0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Chief Marketing Officer, Vera Bradley</w:t>
            </w:r>
          </w:p>
        </w:tc>
      </w:tr>
    </w:tbl>
    <w:p>
      <w:pPr>
        <w:spacing w:after="0" w:line="37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Jacqueline Ardrey </w:t>
      </w:r>
      <w:r>
        <w:rPr>
          <w:rFonts w:ascii="Times New Roman" w:cs="Times New Roman" w:eastAsia="Times New Roman" w:hAnsi="Times New Roman"/>
          <w:sz w:val="14"/>
          <w:szCs w:val="14"/>
          <w:color w:val="auto"/>
        </w:rPr>
        <w:t>has served as our Chief Executive Officer and Director since November 2022. Prior to joining Vera Bradley, Inc., Ms. Ardrey held the post of President at home furnishings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seasonal décor catalog and online retailer Grandin Road, part of the Qurate Retail Group, between 2018 and October 2022. Previously, Ms. Ardrey was CEO of Trading Company Holdings and Senior Vice President of Merchandising and Supply Chain for omnichannel gourmet food and gifting brand Harry and David. Prior to that, she spent 14 years at multi-channel high-end children’s retailer Hanna Andersson in various roles of increasing responsibility, including Senior Vice President of Merchandising, Design, and Wholesale. Ms. Ardrey began her retail career with the May Company.</w:t>
      </w:r>
    </w:p>
    <w:p>
      <w:pPr>
        <w:spacing w:after="0" w:line="97"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Michael Schwindle </w:t>
      </w:r>
      <w:r>
        <w:rPr>
          <w:rFonts w:ascii="Times New Roman" w:cs="Times New Roman" w:eastAsia="Times New Roman" w:hAnsi="Times New Roman"/>
          <w:sz w:val="14"/>
          <w:szCs w:val="14"/>
          <w:color w:val="auto"/>
        </w:rPr>
        <w:t>was named Chief Financial Officer in May 2023. Prior to joining Vera Bradley, Mr. Schwindle served as CFO for accessory and jewelry retailer Claire’s, between 2020 and April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 From 2018 to 2020 Mr. Schwindle was CFO at Fleet Farm, a big-box retailer. Prior to that, he held CFO roles at specialty retailers Payless ShoeSource, Harry &amp; David, and Musician’s Friend, as well as other key financial positions at Home Depot and Limited Brands. Mr. Schwindle began his career at Deloitte &amp; Touche, LLP.</w:t>
      </w:r>
    </w:p>
    <w:p>
      <w:pPr>
        <w:spacing w:after="0" w:line="9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Mark C. Dely </w:t>
      </w:r>
      <w:r>
        <w:rPr>
          <w:rFonts w:ascii="Times New Roman" w:cs="Times New Roman" w:eastAsia="Times New Roman" w:hAnsi="Times New Roman"/>
          <w:sz w:val="14"/>
          <w:szCs w:val="14"/>
          <w:color w:val="auto"/>
        </w:rPr>
        <w:t>joined the Company in August 2016 as our Vice President, Chief Legal Officer and Corporate Secretary and was promoted to also serve as the Chief Administrative Officer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September 2017. Between January 2013 and August 2016, Mr. Dely served as Senior Vice President, Chief Legal Officer, General Counsel and Secretary of Fred’s, Inc., a publicly-traded retailer and pharmacy with locations throughout the Southeast. From July 2007 to December 2012, Mr. Dely was Vice President and Divisional General Counsel of the Franchise Services Group for The ServiceMaster Company, where he managed the legal function for the Company's global franchise businesses. Mr. Dely’s additional experience includes being the first in-house counsel for NYSE-listed seed and agricultural-biotech company, Delta &amp; Pine Land Company. Mr. Dely began his legal career at New York law firm Fried Frank, LLP.</w:t>
      </w:r>
    </w:p>
    <w:p>
      <w:pPr>
        <w:spacing w:after="0" w:line="9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Alison Hiatt </w:t>
      </w:r>
      <w:r>
        <w:rPr>
          <w:rFonts w:ascii="Times New Roman" w:cs="Times New Roman" w:eastAsia="Times New Roman" w:hAnsi="Times New Roman"/>
          <w:sz w:val="14"/>
          <w:szCs w:val="14"/>
          <w:color w:val="auto"/>
        </w:rPr>
        <w:t>joined the Company in January 2023 as Chief Marketing Officer of the Vera Bradley brand. From October 2019 through October 2022, Ms. Hiatt was Chief Marketing Officer for Salt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Straw, where she was an instrumental part of transforming the unique ice cream company from a regional brand to an emerging national brand through innovative marketing, digital, and e-commerce initiatives and strategic partnerships. Prior to Salt and Straw, from January 2015 to May 2019, Ms. Hiatt was Chief Marketing Officer of Banfield Pet Hospitals, a division of Mars, Inc. Previously, Ms. Hiatt held marketing-related and other retail posts with REI, Starbucks, and Amazon.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7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Our Annual Reports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8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i w:val="1"/>
          <w:iCs w:val="1"/>
          <w:color w:val="auto"/>
        </w:rPr>
        <w:t>You should carefully consider all of the information in this report, including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Business Operations and Industry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successfully implement our long-term strategic plans and growth strategies, including Project Restoration, our future operating results could suffer.</w:t>
      </w:r>
    </w:p>
    <w:p>
      <w:pPr>
        <w:spacing w:after="0" w:line="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The success of our long-term strategic plan and growth strategies, including Project Restoration, alone or collectively, will depend on various factors, including the appeal of our product designs, retail presentation to consumers, effectiveness of our marketing initiatives, expense-saving initiatives, competitive conditions, and economic conditions. Project Restoration represents our business strategy to revitalize our consumer, brand, product, and channel components for both Vera Bradley and Pura Vida brands in order to serve our customers, grow our revenues, and increase our profitability. There is no assurance that we will be able to successfully implement our strategic plan and growth strategies. If we are unsuccessful in implementing some or all of our strategies or initiatives, our future operating results could be adversely impacted.</w:t>
      </w:r>
    </w:p>
    <w:p>
      <w:pPr>
        <w:spacing w:after="0" w:line="162" w:lineRule="exact"/>
        <w:rPr>
          <w:sz w:val="20"/>
          <w:szCs w:val="20"/>
          <w:color w:val="auto"/>
        </w:rPr>
      </w:pPr>
    </w:p>
    <w:p>
      <w:pPr>
        <w:ind w:right="472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Changes in general economic conditions and political uncertainty, including policies related to global trade and tariffs, and their impact on consumer confidence and consumer spending, could negatively impact our profitability and net revenues, which could force us to delay or slow the implementation of our growth strategies and adversely impact our results of operations.</w:t>
      </w:r>
    </w:p>
    <w:p>
      <w:pPr>
        <w:spacing w:after="0" w:line="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performance is subject to general economic conditions and political uncertainty and their impact on levels of consumer confidence and consumer spending. Consumer confidence and consumer spending may be influenced by levels of inflation, fluctuating interest rates and credit availability (including possible exposure to bank failures), changing fuel and other energy costs, fluctuating commodity prices, levels of unemployment and consumer debt levels, tariffs, trade barriers or other measures that create barriers to or increase the costs associated with international trade, changes in net worth based on market conditions, general uncertainty regarding the overall future economic environment, political turmoil and uncertainty, pandemics or other public health matters, and weather and weather-related phenomena.</w:t>
      </w:r>
    </w:p>
    <w:p>
      <w:pPr>
        <w:spacing w:after="0" w:line="4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Consumer purchases of discretionary items, including our merchandise, generally decline during periods when disposable income is adversely affected or there is economic or political uncertainty. This includes rising geopolitical tensions and U.S. policies related to global trade and tariffs. The deterioration of economic relations between countries, such as changes in or terminations of existing trade agreements, or the imposition of tariffs (including recent U.S. tariffs imposed or threatened to be imposed on Canada, Mexico, China, and other countries, and any retaliatory actions taken by such countries) or otherwise, could impact our profitability or otherwise have an adverse effect on our business.</w:t>
      </w:r>
    </w:p>
    <w:p>
      <w:pPr>
        <w:spacing w:after="0" w:line="3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addition, in the event of a downturn in the U.S. economy, or if there is a decline in consumer-spending levels or other unfavorable conditions, including inflationary pressure, we could experience lower than expected net revenues, which could force us to delay or slow the implementation of our growth strategies and adversely impact our results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predict and respond in a timely manner to changes in consumer demand, our net revenues and results of operations could be adversely affected.</w:t>
      </w:r>
    </w:p>
    <w:p>
      <w:pPr>
        <w:spacing w:after="0" w:line="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that we will be able to develop appealing patterns, styles, and collections or meet changing consumer demands in the future. If we misjudge the market for our products, we may be faced with significant excess inventories for some products and missed opportunities for other products. In addition, changes to our product assortment and to our available fabrications, as well as the availability and breadth of pattern assortment may not gain consumer acceptance. Merchandise misjudgments could adversely impact our net revenues and results of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declines in comparable sales which could negatively affect the price of our common stock.</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may not be able to regain the levels of comparable sales that we have experienced in the past, and comparable sales may also further deteriorate. If our future comparable sales fail to meet market expectations, then the price of our common stock could decline. Also, the aggregate results of operations of our stores have fluctuated in the past and will fluctuate in the future. Numerous factors influence comparable sales, including fashion trends, competition, national and regional economic conditions, pricing, inflation, the timing of the release of new merchandise and promotional events, changes in our merchandise mix, marketing programs, changes in consumer shopping trends, site selection strategies, public health matters, and weather</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conditions. These factors may cause our comparable sales results to be lower in the future than in recent periods or lower than expectations, either of which could result in a decline in the price of our common stock.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multi-channel distribution model is not successful, our business and results of operations may suffer.</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currently sell our Vera Bradley-branded products into two segments: Direct to consumers through Vera Bradley full-line and outlet stores in the United States, the Vera Bradley websites (verabradley.com, international.verabradley.com, and outlet.verabradley.com), the Vera Bradley annual outlet sale in Fort Wayne, Indiana as well as direct to consumer marketplaces; and through our Vera Bradley Indirect wholesale business which consists of sales to specialty retail locations, department stores, national accounts, third-party e-commerce sites, third-party inventory liquidators, as well as royalties recognized through licensing agreements related to the Vera Bradley brand. We currently sell Pura Vida-branded products direct to consumers through our e-commerce website (puravidabracelets.com), through wholesale retailers, and through our seven retail stores. These channels are sometimes in direct competition and sales through these channels may not be incremental to total sales. If our omni-channel distribution model is unsuccessful, our business, financial condition, and results of operations could be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successfully open new stores and/or operate new and current stores as planned, which could adversely impact our results of operations.</w:t>
      </w:r>
    </w:p>
    <w:p>
      <w:pPr>
        <w:spacing w:after="0" w:line="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Our long-term future growth prospects include our ability to successfully open new stores and operate new and current Vera Bradley and Pura Vida stores. In recent years, however, Vera Bradley comparable store sales have declined. Consequently, the rate at which we have opened new stores has slowed. We have closed a total of 79 underperforming full-line stores and four underperforming outlet stores since the beginning of fiscal 2015 and forecast that we will close additional full-line stores. We plan to open two additional Vera Bradley stores during fiscal 2026. We will continue to evaluate our plans for store openings in future years in light of demand and store performance.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ability to successfully open and operate stores depends on many factors, including our ability to:</w:t>
      </w:r>
    </w:p>
    <w:p>
      <w:pPr>
        <w:spacing w:after="0" w:line="83"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suitable store locations, the availability of which may be uncertain;</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 acceptable lease terms, including desired tenant improvement allowances;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train, and retain store personnel and management;</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assimilate new store personnel and management into our corporate culture;</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and manufacture inventory;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integrate new stores into our existing operations and information technology systems.</w:t>
      </w:r>
    </w:p>
    <w:p>
      <w:pPr>
        <w:spacing w:after="0" w:line="136"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success of new store openings may also be affected by our ability to initiate marketing efforts in advance of opening our first store in a particular region. Additionally, we will incur pre-opening costs and we may encounter initial losses while new stores commence operations, which could strain our resources and adversely impact our results of operations.</w:t>
      </w:r>
    </w:p>
    <w:p>
      <w:pPr>
        <w:spacing w:after="0" w:line="154"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strong brands. If we are unable to execute our marketing strategies, intended to enhance our brands, then revenues and our results of operations could be adversely impacted.</w:t>
      </w:r>
    </w:p>
    <w:p>
      <w:pPr>
        <w:spacing w:after="0" w:line="1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believe that the brand images that we have developed have contributed significantly to the success of our business. We also believe that enhancing the Vera Bradley and Pura Vida brands through our marketing strategies is critical to maintaining and expanding our customer base. Enhancing our brands and implementing our marketing strategies may require us to make substantial investments in areas such as product design, store operations, store design, community relations, and marketing. These investments might not succeed. If we are unable to successfully execute our brand strategies, our results of operations could be adversely impacted.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Closing stores could result in significant costs to us.</w:t>
      </w:r>
    </w:p>
    <w:p>
      <w:pPr>
        <w:spacing w:after="0" w:line="85"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color w:val="auto"/>
        </w:rPr>
        <w:t>We have closed a total of 79 underperforming full-line stores and four underperforming outlet stores since the beginning of fiscal 2015 and forecast that we will close additional stores. We could, in the future, decide to close additional stores beyond those currently forecasted that are producing losses or that are not as profitable as we expect. If we decide to close any stores before the expiration of their lease terms, we may incur payments to landlords to terminate or “buy out” the remaining term of the lease. We also may incur costs related to the employees at such stores, whether or not we terminate the leases early. Upon any such closure, the closing costs, including fixed assets and inventory write-downs, could adversely affect our results of operations and our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attract customers to our stores depends heavily on the success of the shopping centers in which many of our stores are located.</w:t>
      </w:r>
    </w:p>
    <w:p>
      <w:pPr>
        <w:spacing w:after="0" w:line="7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Substantially all of our Vera Bradley Direct stores are located in regional mall shopping centers, and many of our Vera Bradley Indirect customers are also located in regional mall shopping centers. Factors beyond our control impact mall traffic, including general economic conditions, consumer spending levels, and pandemics or other public health matters. Consumer spending and mall traffic have been depressed in recent years. As a result, mall operators have faced increasing operational and financial difficulties. The increasing inability of mall “anchor” tenants and other area attractions to generate consumer traffic around our stores, the increasing inability of mall operators to attract “anchor” tenants and maintain viable operations, and the increasing departures of existing “anchor” and other mall tenants due to declines in the sales volume and in the popularity of certain malls as shopping destinations, have reduced and may continue to reduce our sales volume and, consequently, adversely affect our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leasing substantial amounts of space, including future increases in occupancy costs.</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lease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If we expand our store base, our lease expense and our cash outlays for rent under lease agreements will increase. Our substantial operating lease obligations could have significant negative consequences, including:</w:t>
      </w:r>
    </w:p>
    <w:p>
      <w:pPr>
        <w:spacing w:after="0" w:line="40"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that a substantial portion of our available cash be applied to pay our rental obligations, thus reducing cash available for other purposes;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general adverse economic and industry conditions;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our business or industry; and</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w:t>
      </w:r>
    </w:p>
    <w:p>
      <w:pPr>
        <w:spacing w:after="0" w:line="13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jc w:val="both"/>
        <w:ind w:right="140"/>
        <w:spacing w:after="0" w:line="257" w:lineRule="auto"/>
        <w:rPr>
          <w:sz w:val="20"/>
          <w:szCs w:val="20"/>
          <w:color w:val="auto"/>
        </w:rPr>
      </w:pPr>
      <w:r>
        <w:rPr>
          <w:rFonts w:ascii="Times New Roman" w:cs="Times New Roman" w:eastAsia="Times New Roman" w:hAnsi="Times New Roman"/>
          <w:sz w:val="14"/>
          <w:szCs w:val="14"/>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effectively compete with other retailers for sales could have a material adverse effect on our financial condition, results of operations, and cash flows.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market for bags, accessories, travel items and our other products is increasingly competitive. Our competitive challenges include:</w:t>
      </w:r>
    </w:p>
    <w:p>
      <w:pPr>
        <w:spacing w:after="0" w:line="83"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attracting customer traffic;</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sourcing and manufacturing merchandise efficiently;</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competitively pricing our products and achieving customer perception of value;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favorable brand recognition and effectively marketing our products to consumers in diverse market segments;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designs that appeal to a broad range of demographic and age segments;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high-quality products;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offering attractive promotional incentives while maintaining profit margins; and</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maintaining good working relationships with our wholesale retailers.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4"/>
          <w:szCs w:val="14"/>
          <w:color w:val="auto"/>
        </w:rPr>
        <w:t>In our Vera Bradley Indirect business and Pura Vida wholesale business, we compete with numerous manufacturers, importers, and distributors of handbags, accessories, and other products for the limited space available for the display of such products to the consumer. In our Vera Bradley Direct business and Pura Vida e-commerce and retail store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9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addition, in light of a continued difficult consumer environment, pricing is a significant driver of consumer choice in our industry and we regularly engage in price competition, particularly through our promotional programs, which impacts our margins. To the extent that we decrease our promotional activity or are otherwise unable to effectively compete on pricing, our ability to maintain sales levels may be adversely impacted.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wholesale business could suffer as a result of decisions by our wholesale retailers to decrease or eliminate the amount of merchandise purchased from us.</w:t>
      </w:r>
    </w:p>
    <w:p>
      <w:pPr>
        <w:spacing w:after="0" w:line="7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We do not enter into long-term agreements with any of our wholesale retailers. Instead, we enter into a number of purchase order commitments with our customers for each of our lines every season. A decision by a significant number of wholesale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wholesale retailers, we typically do not provide dealer allowances or other economic incentives to support those prices. Possible promotional pricing or discounting by wholesale retailers in response to softening retail demand could have a negative effect on our brand image and prestige, which might be difficult to counteract.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Bankruptcies or other operational or financial difficulties of our wholesale retailers could adversely impact our business.</w:t>
      </w:r>
    </w:p>
    <w:p>
      <w:pPr>
        <w:spacing w:after="0" w:line="13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We sell our wholesale merchandise primarily to specialty retail and department stores across the United States and extend trade credit based on an evaluation of each wholesale retailer’s financial condition, usually without requiring collateral. Perceived or actual financial difficulties of a customer could cause us to curtail or eliminate business with that customer or could decrease demand for our products by that customer. Pending the resolution of a relationship with a financially troubled wholesale retailer, we might assume credit risk that we would otherwise avoid relating to our receivables from that customer. Inability to collect on accounts receivable from our wholesale retailers would adversely impact our results of operations and financial position.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Global Sourcing and Distribution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various contract manufacturers to produce all of our products and generally do not have long-term contracts with our manufacturers.</w:t>
      </w:r>
    </w:p>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Our various contract manufacturers produce all of our products. We generally do not enter into long-term formal written agreements with our manufacturers and instead transact business with each of them on an order-by-order basis. In the event of a disruption in our contract manufacturers’ production systems, we may be unable to locate alternative manufacturers of comparable quality at an acceptable price or in a timely manner, or at all. Identifying a suitable manufacturer is an involved process that requires us to become satisfied with the prospective manufacturer’s quality control, responsiveness and service, financial stability, labor practices, and environmental compliance. Any delay, interruption, or increased cost in the manufactured products that might occur for any reason, such as the lack of long-term contracts or regulatory requirements and the loss of certifications, power interruptions, fires, hurricanes, war, pandemics or other public health matters, tariff-related cost increases,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various suppliers to supply a significant majority of our raw materials.</w:t>
      </w:r>
    </w:p>
    <w:p>
      <w:pPr>
        <w:spacing w:after="0" w:line="7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We generally do not enter into long-term formal written agreements with our suppliers and typically transact business with each of them on an order-by-order basis. In the event of a significant disruption in the supply of fabrics or raw materials from our current sources, we may not be able to locate alternative suppliers of materials of comparable quality at an acceptable price or in a timely manner, or at all. In such a case, we could have difficulty meeting consumer demand and net revenues could be adversely impacted.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a limited number of distribution facilities for the products we sell.</w:t>
      </w:r>
    </w:p>
    <w:p>
      <w:pPr>
        <w:spacing w:after="0" w:line="7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Distribution operations for Vera Bradley-branded products are currently concentrated in a single, company-owned distribution center in Roanoke, Indiana. Pura Vida-branded products are primarily distributed from one third-party distribution center in Tijuana, Mexico.</w:t>
      </w:r>
    </w:p>
    <w:p>
      <w:pPr>
        <w:spacing w:after="0" w:line="2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Any significant disruption in the operation of these facilities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alternative facilities. In addition to the aforementioned events, pandemics or other public health matters could cause disruptions in our distribution operations if we were to temporarily suspend operations, or if we are unable to obtain the staffing levels required to effectively operate the facilities. If we encounter difficulties with our distribution facilities or other problems or disasters arise, we cannot ensure that critical systems and operations will be restored in a timely manner or at all, and this would have a material adverse effect on our business. In addition, if our distribution facilities are unable to sufficiently meet the capacity needs for the future growth of our business and products, we could be required to further expand our current facilities, which could affect us adversely in ways that we cannot predict.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cost of raw materials could increase our cost of sales and cause our results of operations to suffer.</w:t>
      </w:r>
    </w:p>
    <w:p>
      <w:pPr>
        <w:spacing w:after="0" w:line="7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Fluctuations in the price, availability, and quality of fabrics or other raw materials used to manufacture our products, as well as increases in the price for labor, marketing, and transportation, could have adverse impacts on our cost of sales and our ability to meet our customers’ demands. In particular, increases in the price of cotton, our primary raw material, could have an adverse impact on our cost of sales. In addition, because synthetic components of our products are petroleum-based, the cost of oil affects the cost of our products. Upward movements in the price of oil in the global oil markets would also likely result in rising fuel and freight prices, which could increase our shipping costs. In the future, we may not be able to pass all or a portion of such higher costs on to our customers.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inherent in global sourcing and manufacturing activities.</w:t>
      </w:r>
    </w:p>
    <w:p>
      <w:pPr>
        <w:spacing w:after="0" w:line="85"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We source our Vera Bradley raw materials primarily from various suppliers in Asia, with the majority of non-cotton based products coming from China and South Korea. Our cotton-based products are sourced from areas outside of China. For Vera Bradley, we outsource the production of a significant majority of our products to companies in Asia. Pura Vida components are primarily sourced from Asia and outsource the production of products primarily to El Salvador. We are subject to the risks inherent in global sourcing and manufacturing, including, but not limited to:</w:t>
      </w:r>
    </w:p>
    <w:p>
      <w:pPr>
        <w:spacing w:after="0" w:line="30"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rate fluctuations and trends;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raw materials;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labor laws and other foreign governmental regulations;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compliance with U.S. import and export laws and regulations including the </w:t>
      </w:r>
      <w:r>
        <w:rPr>
          <w:rFonts w:ascii="Times New Roman" w:cs="Times New Roman" w:eastAsia="Times New Roman" w:hAnsi="Times New Roman"/>
          <w:sz w:val="14"/>
          <w:szCs w:val="14"/>
          <w:color w:val="080808"/>
        </w:rPr>
        <w:t>Uyghur Forced Labor Prevention Act (“UFLPA”) as described below</w:t>
      </w:r>
      <w:r>
        <w:rPr>
          <w:rFonts w:ascii="Times New Roman" w:cs="Times New Roman" w:eastAsia="Times New Roman" w:hAnsi="Times New Roman"/>
          <w:sz w:val="14"/>
          <w:szCs w:val="14"/>
          <w:color w:val="auto"/>
        </w:rPr>
        <w:t>;</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or delays in shipments;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or impairment of key manufacturing sites;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quality issues;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unrest;</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acts of war and terrorism, changing macroeconomic trends, pandemics or other public health matters, and other external factors over which we have no control; and</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quotas, duties, tariffs, or other trade restrictions or regulations.</w:t>
      </w:r>
    </w:p>
    <w:p>
      <w:pPr>
        <w:spacing w:after="0" w:line="136"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The UFLPA went into effect on June 21, 2022. The act establishes a rebuttable presumption that the importation into the United States of any goods manufactured in whole or partially in Xinjiang Uyghur Autonomous Region of China, or produced by certain entities, is prohibited entry. The Commissioner of U.S. Customs and Border Protection employs a risk-based approach that prioritizes the highest-risk goods based on current data and intelligence available to them at the time of entry.</w:t>
      </w:r>
    </w:p>
    <w:p>
      <w:pPr>
        <w:spacing w:after="0" w:line="9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Violations of labor or other laws by those manufacturers, or the divergence of a contract manufacturer’s labor or other practices from those generally accepted as ethical in the United States or in other markets 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which we may in the future do business, could also draw negative publicity for us and our brands, diminishing the value of our brands and reducing demand for our products.</w:t>
      </w:r>
    </w:p>
    <w:p>
      <w:pPr>
        <w:spacing w:after="0" w:line="208" w:lineRule="exact"/>
        <w:rPr>
          <w:sz w:val="20"/>
          <w:szCs w:val="20"/>
          <w:color w:val="auto"/>
        </w:rPr>
      </w:pPr>
    </w:p>
    <w:p>
      <w:pPr>
        <w:ind w:right="6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ability to source our products at favorable prices, or at all, could be harmed, with adverse effects on our results of operations, if new trade restrictions are imposed,, existing trade restrictions become more burdensome, or increased tariffs are implemented.</w:t>
      </w:r>
    </w:p>
    <w:p>
      <w:pPr>
        <w:spacing w:after="0" w:line="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 significant majority of our Vera Bradley and Pura Vida products are currently manufactured for us in Asia and Central America, respectively.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our supply chain organization or other current business practices, any of which could harm our results of operations.</w:t>
      </w:r>
    </w:p>
    <w:p>
      <w:pPr>
        <w:spacing w:after="0" w:line="10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In addition, the current U.S. presidential administration has implemented tariffs and has signaled that it may implement additional or increased tariffs, other trade restrictions, or may alter trade agreements between the U.S. and Canada, China, the European Union and Mexico, among others. Such actions include limiting trade and/or imposing tariffs on imports from such countries. Tariffs have the potential to significantly raise the cost of our merchandise. In such a case, there can be no assurance that we will be able to shift manufacturing and supply agreements to non-impacted countries to reduce the effects of tariffs. As a result, we may suffer margin erosion or be required to raise our prices, which may result in the loss of customers and negatively impact our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independent transportation providers for substantially all of our product shipments.</w:t>
      </w:r>
    </w:p>
    <w:p>
      <w:pPr>
        <w:spacing w:after="0" w:line="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employee strikes, labor shortages, and inclement weather, which may impact a shipping company’s ability to provide delivery services sufficient to meet our shipping needs.</w:t>
      </w:r>
    </w:p>
    <w:p>
      <w:pPr>
        <w:spacing w:after="0" w:line="93"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distribution facilities and related systems.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Losses or disruptions associated with our distribution systems could have a material adverse effect on our business and operations.</w:t>
      </w:r>
    </w:p>
    <w:p>
      <w:pPr>
        <w:spacing w:after="0" w:line="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operating results depend on the orderly operation of our receiving and distribution functions, which also depends on our vendors' adherence to our shipping and receiving schedules. We may not anticipate all of the changing demands that our operating activities may impose on our receiving and distribution functions. There may also be events that are beyond our control that could cause delays in these functions, including but not limited to, changing macroeconomic trends, pandemics or other public health matters, and general disruptions or delays in shipping and receiving.</w:t>
      </w:r>
    </w:p>
    <w:p>
      <w:pPr>
        <w:spacing w:after="0" w:line="40"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4"/>
          <w:szCs w:val="14"/>
          <w:color w:val="auto"/>
        </w:rPr>
        <w:t>In addition, we rely on the flow of our goods through worldwide ports on a consistent basis. Disruption at the ports, such as labor work stoppages, could create significant risks to our business, particularly if the occurrence is during a peak import time. If we experience significant delays in our receipt of product, we may experience an increase in freight costs, unanticipated inventory shortages, and missed sales opportunities which could adversely affect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Information Technology and 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data security or privacy breach could damage our reputation and our relationships with our customers, expose us to litigation risk and adversely affect our business.</w:t>
      </w:r>
    </w:p>
    <w:p>
      <w:pPr>
        <w:spacing w:after="0" w:line="16"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4"/>
          <w:szCs w:val="14"/>
          <w:color w:val="auto"/>
        </w:rPr>
        <w:t>We remain dependent on information technology systems and networks, including the Internet, for a significant portion of our sales, primarily through our e-commerce operations and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the transmission of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third-party service providers may be vulnerable to security breaches, acts of vandalism, computer viruses, misplaced or lost data, programming and/or human errors, ransomware, or other similar events. The rapid evolution and increased adoption of artificial intelligence technologies by attackers may intensify our cybersecurity risks. Any electronic or physical security breach involving the misappropriation, loss or other unauthorized disclosure of confidential or personally identifiable information, including penetration of our network security, whether by us or by a third-party, could disrupt our business, severely damage our reputation and our relationships with our customers, expose us to risks of litigation and liability, and adversely affect our business and results of operations. We do not control third-party service providers and cannot guarantee that electronic or physical computer break-ins and security breaches will not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suffer if our computer systems and websites are disrupted or cease to operate effectively.</w:t>
      </w:r>
    </w:p>
    <w:p>
      <w:pPr>
        <w:spacing w:after="0" w:line="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the movement of goods through distribution channels, and the collection of information for planning and forecasting. In addition, we have U.S. and international e-commerce websites. Given the complexity of our business and the significant number of transactions that we engage in, it is imperative that we maintain constant operation of our computer hardware and software systems. Despite our preventive efforts, including back-up systems,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business risks as a result of our e-commerce operations.</w:t>
      </w:r>
    </w:p>
    <w:p>
      <w:pPr>
        <w:spacing w:after="0" w:line="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operate e-commerce stores at www.verabradley.com, outlet.verabradley.com, and international.verabradley.com, and www.puravidabracelets.com. Expanding our e-commerce business is one of the key objectives of our business strategy. Our e-commerce operations are subject to numerous risks, including unanticipated operating problems, reliance on third-party computer hardware and software providers, system failures, and the need to invest in additional computer systems. Specific risks include: (i) diversion of sales from our stores; (ii) rapid technological change; (iii) liability for e-commerce content; and (iv) risks related to the failure of the computer systems that operate the websites and their related support systems, including from computer viruses, telecommunication failures, and electronic break-ins and similar disruptions. Internet operations involve risks which may be beyond our control that could have a direct material adverse effect on our operating results, including: (i) price competition involving the items we intend to sell; (ii) the level of merchandise returns we experience; (iii) governmental regulation; (iv) e-commerce security breaches involving unauthorized access to our systems and/or customer information; (v) credit card fraud; and (vi) competition and general economic conditions specific to the Internet, e-commerce, and the accessories industry. If we are unable to effectively address these risks and any other risks that we face in connection with our Internet operations, our business, financial condition, results of operations, and/or cash flows could be materially adversely affected.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Tax and Valuation Matters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Fluctuations in our tax obligations and effective tax rate may result in volatility of our operating results and stock price.</w:t>
      </w:r>
    </w:p>
    <w:p>
      <w:pPr>
        <w:spacing w:after="0" w:line="8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recorded long-lived asset impairment charges in the past and we may record material long-lived asset impairment charges in the future.</w:t>
      </w:r>
    </w:p>
    <w:p>
      <w:pPr>
        <w:spacing w:after="0" w:line="7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Quarterly, we assess whether events or changes in circumstances have occurred that indicate the carrying value of long-lived asset groups may not be recoverable. If we determine that the carrying value of long-lived asset groups are not recoverable, we will be required to record impairment charges relating to those assets. For example, our assessments during fiscal years 2025 and 2023 indicated that operating losses or insufficient operating income existed at certain retail stores, with a projection that the operating losses or insufficient operating income for those locations would continue. As such, we recorded non-cash charges of $2.6 million and $0.8 million during fiscal years 2025 and 2023, respectively, within selling, general, and administrative expenses in the consolidated statements of operations to write down the carrying values of these stores' long-lived asset groups to their estimated fair values. We also recorded $0.6 million of a non-cash impairment charge relating to a corporate right-of-use asset in fiscal 2023. We recorded no long-lived asset impairments in fiscal 2024.</w:t>
      </w:r>
    </w:p>
    <w:p>
      <w:pPr>
        <w:spacing w:after="0" w:line="50"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4"/>
          <w:szCs w:val="14"/>
          <w:color w:val="auto"/>
        </w:rPr>
        <w:t>Our quarterly evaluation of store assets includes consideration of current and historical performance and projections of future profitability. The profitability projections rely upon estimates made by us, including store-level sales, gross margins, and direct expenses, and, by their nature, include judgments about how current strategic initiatives will impact future performance. If we are not able to achieve projected key financial metrics for any reason, including if any of the strategic initiatives we implement do not result in significant improvements in our current financial performance trend, this would indicate that the value of our long-lived assets was not recoverable and we would incur additional impairment of assets in the future.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event we record additional impairment charges, this could have a material adverse effect on our results of operations and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Legal and Regulatory Matters</w:t>
      </w:r>
    </w:p>
    <w:p>
      <w:pPr>
        <w:spacing w:after="0" w:line="210"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the images associated with our brands.</w:t>
      </w:r>
    </w:p>
    <w:p>
      <w:pPr>
        <w:spacing w:after="0" w:line="2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increasingly face the risk of litigation and other claims against us. Litigation and other claims may arise in the ordinary course of our business and include employee claims, custom and duty claims, commercial disputes, intellectual property issues, marketing and solicitation claims, product-oriented allegations, and slip and fall claims. These cases often raise complex factual and legal issues, which are subject to risks and uncertainties and which could divert significant financial and management resources. Litigation and other claims against us could result in unexpected expenses and liability, as well as materially adversely affect our operations and our reputation.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inability or failure to protect our intellectual property or our infringement of other’s intellectual property could have a negative impact on our operating results.</w:t>
      </w:r>
    </w:p>
    <w:p>
      <w:pPr>
        <w:spacing w:after="0" w:line="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We believe that our registered copyrights, registered and common law trademarks, and other proprietary rights have significant value and are critical to our ability to create and sustain demand for our products. The actions taken by us to establish and protect our proprietary rights may not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inability to protect our copyrights, trademarks, and other proprietary rights could adversely impact our results of operations. Any litigation regarding our proprietary rights could be time consuming and costly and could consume significant amounts of management's time that would otherwise be spent operating and growing our business.</w:t>
      </w:r>
    </w:p>
    <w:p>
      <w:pPr>
        <w:spacing w:after="0" w:line="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are also subject to the risk that claims will be brought against us for infringement of the intellectual property rights of third parties, seeking to block the sale of our products claimed to violate their intellectual property rights or to receive payment of monetary amounts related thereto. Although we have not been inhibited from selling our products in connection with intellectual property disputes, intellectual property-related obstacles may arise as we expand our product lines and extend our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brands as well as the geographic scope of our sales and marketing. In particular, we may be subject to copyright infringement claims for which we may not be entitled to indemnification from our suppliers. In addition, in recent years, companies in the retail industry, including us, have been subject to patent infringement claims from non-practicing entities, or “patent trolls.” Any infringement or other intellectual property claim made against us, whether or not it has merit, could be time-consuming and result in costly litigation. As a result, any such claim, or the combination of multiple claims, could have a material adverse effect on our operating results. If we are required to stop using any of our registered or nonregistered trademarks, our brands could be negatively affected, our sales could decline and, consequently, our business and results of operations could be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 of our Environmental, Social, and Governance (“ESG”) actions may impact the value of our brands.</w:t>
      </w:r>
    </w:p>
    <w:p>
      <w:pPr>
        <w:spacing w:after="0" w:line="1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There has been increasing stakeholder and regulatory focus on ESG matters affecting public companies. Expectations regarding ESG disclosures, setting and executing ESG-related goals, and achieving measurable progress in a timely manner could expose us to market, operational, and execution costs or risks. We expect that stakeholder expectations, as well as laws, rules and regulations, in these areas will continue to evolve quickly, which may result in the need for increased resources for ESG monitoring and reporting and adjustments to our operations may be necessary as a result. We could face scrutiny with respect to the accuracy, adequacy, or completeness of our ESG-related disclosures. Additionally, disclosures about our ESG-related initiatives or goals, and progress towards those goals, may be based on standards for measuring progress that are still developing, internal controls and processes that continue to evolve, and assumptions or third-party information that we believe to be reasonable but are subject to change in the future. We could also be subject to scrutiny with respect to the scope or nature of our ESG-related initiatives or goals, or for any</w:t>
      </w:r>
    </w:p>
    <w:p>
      <w:pPr>
        <w:spacing w:after="0" w:line="9" w:lineRule="exact"/>
        <w:rPr>
          <w:sz w:val="20"/>
          <w:szCs w:val="20"/>
          <w:color w:val="auto"/>
        </w:rPr>
      </w:pPr>
    </w:p>
    <w:p>
      <w:pPr>
        <w:ind w:right="480"/>
        <w:spacing w:after="0" w:line="248" w:lineRule="auto"/>
        <w:rPr>
          <w:sz w:val="20"/>
          <w:szCs w:val="20"/>
          <w:color w:val="auto"/>
        </w:rPr>
      </w:pPr>
      <w:r>
        <w:rPr>
          <w:rFonts w:ascii="Times New Roman" w:cs="Times New Roman" w:eastAsia="Times New Roman" w:hAnsi="Times New Roman"/>
          <w:sz w:val="14"/>
          <w:szCs w:val="14"/>
          <w:color w:val="auto"/>
        </w:rPr>
        <w:t>revisions to those goals. Some stakeholders and customers may react negatively to the Company’s disclosure of ESG compliance efforts. Furthermore, if our ESG-related data, processes, and reporting are incomplete or inaccurate, or if we fail to achieve progress with respect to these initiatives or goals on a timely basis, or at all, our reputation and the value of our brands could be adversely affected. Any harm to our reputation resulting from a failure or perceived failure to meet ESG-related goals, metrics, or disclosures could adversely affect our business, financial performance, and growth.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the Securities Markets and Ownership of Our Common Stock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be volatile or may decline regardless of our operating performance, and you may not be able to resell shares at or above the price at which you purchase them.</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market price of our common stock may fluctuate significantly in response to a number of factors, most of which we cannot control, including:</w:t>
      </w:r>
    </w:p>
    <w:p>
      <w:pPr>
        <w:spacing w:after="0" w:line="72"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other shopping mall or lifestyle center tenants;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 particularly during the holiday shopping period;</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departures of key executives;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projections that we may choose to provide to the public, any changes in these projections or our failure for any reason to meet these projections;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response to press releases or other public announcements by us or others, including our filings with the SEC and announcements relating to litigation and other matters;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about our business in the press or the investment community;</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our common stock by our significant shareholders, officers, and directors;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entry into new markets;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wars, hostilities, riots, social unrest or acts of terrorism on trading markets;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that impact the retail industry, including the imposition or increase in the rate of tariffs or trade sanctions;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actions by us or our competitors, such as acquisitions or restructurings;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outbreak of pandemics or other public health matters and the resulting adverse impact on the capital markets;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and other factors may result in a lower market price of our common stock, regardless of our actual operating performance.</w:t>
      </w:r>
    </w:p>
    <w:p>
      <w:pPr>
        <w:spacing w:after="0" w:line="13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 addition, the stock markets, including The NASDAQ Global Select Market, have experienced extreme price and volume fluctuations that have affected and continue to affect the market prices of equity securities of many retail companies. In the past,</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80"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limited number of shareholders control a significant percentage of the voting power of our common stock, and therefore investors may have diminished ability to determine the outcome of shareholder votes.</w:t>
      </w:r>
    </w:p>
    <w:p>
      <w:pPr>
        <w:spacing w:after="0" w:line="1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Robert Hall, Barbara Bradley Baekgaard, Joan Hall (Mr. Hall’s wife and Ms. Bradley Baekgaard’s daughter), Patricia R. Miller, and P. Michael Miller, directly or indirectly, beneficially own and have the ability to exercise voting control over, in the aggregate, 21.2% of our outstanding shares of common stock as of February 1, 2025. Fund 1 Investments, LLC beneficially owns and has the ability to exercise voting control over, in the aggregate, 10% of our outstanding shares of common stock as of February 1, 2025.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 common stock may diminish an investor's ability to influence corporate matters, and the interests of these shareholders may not coincide with our interests or interests of investors. As a result, we may take actions that investors do not believe to be in our interests or their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negatively affected as a result of the actions of activist shareholders.</w:t>
      </w:r>
    </w:p>
    <w:p>
      <w:pPr>
        <w:spacing w:after="0" w:line="13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have been subject to shareholder activism and may be subject to such activism in the future, which could result in substantial costs and divert management’s and our Board of Directors’ (“Board”) attention and resources from our business. For example, on December 30, 2024, Fund 1 Investments, LLC delivered a letter to our Board calling for a the commencement of a strategic alternatives process.</w:t>
      </w:r>
    </w:p>
    <w:p>
      <w:pPr>
        <w:spacing w:after="0" w:line="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 the future, we could become engaged in a consent solicitation, or proxy contest, or experience other shareholder activism. Activist shareholders may advocate for certain governance and strategic changes at our company. In the event of shareholder activism, particularly with respect to matters which our Board, in exercising their fiduciary duties, disagree with or have determined not to pursue, our business could be adversely affected because responding to actions by activist shareholders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101"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In addition, if faced with a consent solicitation or proxy contest, we may not be able to respond successfully to the contest or dispute, which would be disruptive to our business. If individuals are elected to our Board with a differing agenda, our ability to effectively and timely implement our strategic plans and create additional value for our shareholders may be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actual operating results may differ significantly from our guidance, which could cause incongruous fluctuation in our stock price.</w:t>
      </w:r>
    </w:p>
    <w:p>
      <w:pPr>
        <w:spacing w:after="0" w:line="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From time to time, we provide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such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our guidance and no such person expresses any opinion or any other form of assurance with respect thereto.</w:t>
      </w:r>
    </w:p>
    <w:p>
      <w:pPr>
        <w:spacing w:after="0" w:line="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such statements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101"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and the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variations may be material. Investors should also recognize that the reliability of any forecasted financial data diminishes the further into the future that the data are forecast.</w:t>
      </w:r>
    </w:p>
    <w:p>
      <w:pPr>
        <w:spacing w:after="0" w:line="13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In light of the foregoing, if investors, analysts, and others fail to review our guidance within the proper context or place undue reliance on our guidance, deviations from such guidance may result in incongruous fluctuation in our stock price.</w:t>
      </w:r>
    </w:p>
    <w:p>
      <w:pPr>
        <w:spacing w:after="0" w:line="15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1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29"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authorizing our Board to issue preferred stock and additional shares of our common stock without shareholder approval;</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shareholder action by written consent;</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our shareholders from calling a special meeting of shareholders;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advance notice for raising business matters or nominating directors at shareholders’ meetings.</w:t>
      </w:r>
    </w:p>
    <w:p>
      <w:pPr>
        <w:spacing w:after="0" w:line="13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As permitted by our second amended and restated articles of incorporation and amended and restated bylaws, our Board has adopted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our common stock at a discount, leading to the dilution of the potential acquirer’s stake. The adoption of a poison pill, can have negative effects such as those described above.</w:t>
      </w:r>
    </w:p>
    <w:p>
      <w:pPr>
        <w:spacing w:after="0" w:line="9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Pandemics</w:t>
      </w:r>
    </w:p>
    <w:p>
      <w:pPr>
        <w:spacing w:after="0" w:line="200"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outbreak of pandemics, or events related thereto, may cause significant disruptions in our revenue streams, operations, global supply chain and other facets of our business, which may continue to adversely impact our results of operations, financial condition, and share price.</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 pandemic (COVID-19) in the past resulted in travel restrictions both domestically and internationally, community and self-quarantines, certain factory closures or reduced operations, as well as mall closures and reduced mall operating hours. This could happen in the future as well. Due to the past pandemic we experienced significantly reduced traffic, demand, and sales. This could recur in the future. Future pandemic-related mandates from governments and public health officials may necessitate additional closures to some, or all, of our retail stores, the stores of our Indirect segment partners and Pura Vida wholesale retailers, or otherwise detrimentally impact aspects of our operations, as COVID-19 did in the past. Pandemics may reduce consumers' willingness and ability to travel to major cities and vacation destinations in which some of our stores are located.</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recent fiscal years, the COVID-19 pandemic led to temporary factory closures and production and logistics constraints due to workforce availability, as well as global supply chain challenges such as vessel and container shortages and port congestion. As a result of the aforementioned restrictions, or other related factors, we have experienced and may experience in the future delayed shipments and increased shipping costs for some of our merchandise. We may also be adversely impacted should a pandemic compromise operations at our corporate headquarters and distribution center located in Roanoke, Indiana.</w:t>
      </w:r>
    </w:p>
    <w:p>
      <w:pPr>
        <w:spacing w:after="0" w:line="98"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The extent of a pandemic’s impact on our results of operations, financial condition, and share price will likely depend on the nature and seventy of the pandemic, future developments, including as may be related to the spread of new virus variants; mitigation activities undertaken by governments and the general public; the overall economic impacts of quarantines and business closures; and current, and potentially long-term, changes in consumer behavior.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of the above-mentioned factors, the Company’s liquidity, results of operations, and financial condition could be adversely impacted.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General Risk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could suffer if we lose key management or design associates or are unable to attract and retain the talent required for our business.</w:t>
      </w:r>
    </w:p>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Although we have entered into an employment agreement with our Chief Executive Officer, we may not be able to retain her services or those of other key individuals in the future. The unexpected loss of services of key employees could have adverse impacts on our business and results of operations. We may also need to attract and retain additional qualified employees and develop, train, and manage an increasing number of management-level, sales, and other employees. Competition for qualified employees is intense. We may not be able to attract and retain employees as needed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could suffer if we are unable to attract and retain retail and distribution center employees required for our business.</w:t>
      </w:r>
    </w:p>
    <w:p>
      <w:pPr>
        <w:spacing w:after="0" w:line="7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must attract, motivate, and retain a sufficient number of qualified retail and distribution center employees. Historically, competition for talent in these positions has been intense and turnover is generally high. If we are unable to attract and retain such employees with the necessary skills and experience, we may not achieve our objectives and our financial condition, results of operations, and cash flows could be adversely impacted.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are subject to quarterly fluctuations, which could adversely affect the market price of our common stock.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quarterly results of operations may fluctuate significantly as a result of a variety of factors, including, among other things:</w:t>
      </w:r>
    </w:p>
    <w:p>
      <w:pPr>
        <w:spacing w:after="0" w:line="72"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new store openings and store closings;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and profits contributed by new stores;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store traffic and comparable sales;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shifts in the timing of holidays, particularly in the United States and China;</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merchandise mix;</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marketing campaigns or promotions;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sales to Vera Bradley and Pura Vida wholesale retailers;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new pattern and collection releases and new product introductions.</w:t>
      </w:r>
    </w:p>
    <w:p>
      <w:pPr>
        <w:spacing w:after="0" w:line="136"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Any quarterly fluctuations that we report in the future may not match the expectations of market analysts and investors. This could cause the trading price of our common stock to fluctuate significantly.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unionization, work stoppages, slowdowns, or increased labor costs.</w:t>
      </w:r>
    </w:p>
    <w:p>
      <w:pPr>
        <w:spacing w:after="0" w:line="7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Currently, none of our employees are represented by a union. Nevertheless, our employees have the right at any time under the National Labor Relations Act to organize or affiliate with a union. If some or all of our workforce were to become unionized, our business could be exposed to increased risk of work stoppages and slowdowns. In addition, if the terms of a collective bargaining agreement were to be significantly more favorable to union workers than our current pay-and-benefits arrangements, our costs would increase and our results of operations would suffer.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suffer negative publicity and our business may be harmed if we need to recall any products we sell.</w:t>
      </w:r>
    </w:p>
    <w:p>
      <w:pPr>
        <w:spacing w:after="0" w:line="7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have in the past needed to, and may in the future need to, recall products that we determine may present safety issues. If products we sell have safety problems of which we are not aware, or if we or the Consumer Product Safety Commission recall a product sold in our stores, we may suffer negative publicity and, potentially, product liability lawsuits, which could have a material adverse impact on our reputation, financial condition and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1B.</w:t>
        <w:tab/>
        <w:t>Unresolved Staff Comments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Cyber Risk Management and Strategy</w:t>
      </w:r>
    </w:p>
    <w:p>
      <w:pPr>
        <w:spacing w:after="0" w:line="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have an enterprise risk assessment process which specifically addresses risks associated with cybersecurity. Additionally, we have a cyber security incident response plan that outlines the structure, roles, responsibilities and operating procedures to utilize during potentially significant events that could negatively impact the Company. Our cybersecurity incident response plan provides a documented framework for handling high severity security incidents and includes facilitated coordination across multiple functions of the Company. Our incident response plan also includes identifying and responding to material risks from cybersecurity threats associated with our use of third-party service providers. We invest in threat intelligence and are active participants in industry and government forums to strive to improve our overall capabilities with respect to cybersecurity. We routinely perform reviews of threat intelligence and vulnerability management capabilities, while performing simulations and drills at both technical and management levels. Our formal cybersecurity program is modeled after industry best practice global standards and best practices. We incorporate external expertise in all aspects of our program utilizing best practice guidance from third-party cybersecurity advisors to provide objective assessments of our capabilities. We maintain a cyber liability insurance program, although the coverage may not be sufficient in some circumstances. We also have policies and practices in place to address data privacy regulations. Our cybersecurity program is reviewed and assessed by external information security specialists or by our internal audit group at least annually. Further, we conduct annual cybersecurity awareness training for employees and targeted training for high-risk functions of the Company. We also conduct phishing exercises and correlated education with our employees.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Governance Related to Cybersecurity Risks</w:t>
      </w:r>
    </w:p>
    <w:p>
      <w:pPr>
        <w:spacing w:after="0" w:line="7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Our Vice President of Enterprise Technology Solutions is responsible for the strategic leadership and direction of the Company's information technology organization and possesses over 25 years of tenure and experience with the Company in matters of privacy assurance, cyber, digital, and data security. As part of its risk oversight role, our Audit Committee of the Board of Directors oversees cyber risk, information security and technology risk, including management’s actions to identify, assess, mitigate and remediate material cybersecurity issues and risks. The Audit Committee receives regular reporting from our Vice President of Enterprise Technology Solutions on our technology and cyber risk profile, enterprise cybersecurity program and key enterprise cybersecurity activities.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experienced no material cybersecurity incidents in fiscal 2025.</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Properties</w:t>
      </w:r>
    </w:p>
    <w:p>
      <w:pPr>
        <w:spacing w:after="0" w:line="8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location, use, and size of our distribution, corporate facilities, and showrooms as of February 1, 2025. The leases on the leased properties expire at various times through 2035, subject to renewal options.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4200" w:type="dxa"/>
            <w:vAlign w:val="bottom"/>
          </w:tcPr>
          <w:p>
            <w:pPr>
              <w:ind w:left="2400"/>
              <w:spacing w:after="0"/>
              <w:rPr>
                <w:sz w:val="20"/>
                <w:szCs w:val="20"/>
                <w:color w:val="auto"/>
              </w:rPr>
            </w:pPr>
            <w:r>
              <w:rPr>
                <w:rFonts w:ascii="Times New Roman" w:cs="Times New Roman" w:eastAsia="Times New Roman" w:hAnsi="Times New Roman"/>
                <w:sz w:val="11"/>
                <w:szCs w:val="11"/>
                <w:b w:val="1"/>
                <w:bCs w:val="1"/>
                <w:color w:val="auto"/>
              </w:rPr>
              <w:t>Primary Use</w:t>
            </w:r>
          </w:p>
        </w:tc>
        <w:tc>
          <w:tcPr>
            <w:tcW w:w="2540" w:type="dxa"/>
            <w:vAlign w:val="bottom"/>
          </w:tcPr>
          <w:p>
            <w:pPr>
              <w:ind w:left="520"/>
              <w:spacing w:after="0"/>
              <w:rPr>
                <w:sz w:val="20"/>
                <w:szCs w:val="20"/>
                <w:color w:val="auto"/>
              </w:rPr>
            </w:pPr>
            <w:r>
              <w:rPr>
                <w:rFonts w:ascii="Times New Roman" w:cs="Times New Roman" w:eastAsia="Times New Roman" w:hAnsi="Times New Roman"/>
                <w:sz w:val="11"/>
                <w:szCs w:val="11"/>
                <w:b w:val="1"/>
                <w:bCs w:val="1"/>
                <w:color w:val="auto"/>
              </w:rPr>
              <w:t>Approximate Square Footage</w:t>
            </w:r>
          </w:p>
        </w:tc>
        <w:tc>
          <w:tcPr>
            <w:tcW w:w="2080" w:type="dxa"/>
            <w:vAlign w:val="bottom"/>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Leased/Owned</w:t>
            </w:r>
          </w:p>
        </w:tc>
      </w:tr>
      <w:tr>
        <w:trPr>
          <w:trHeight w:val="147"/>
        </w:trPr>
        <w:tc>
          <w:tcPr>
            <w:tcW w:w="24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Roanoke, Indiana</w:t>
            </w:r>
          </w:p>
        </w:tc>
        <w:tc>
          <w:tcPr>
            <w:tcW w:w="4200" w:type="dxa"/>
            <w:vAlign w:val="bottom"/>
            <w:shd w:val="clear" w:color="auto" w:fill="CCEEFF"/>
          </w:tcPr>
          <w:p>
            <w:pPr>
              <w:ind w:left="1180"/>
              <w:spacing w:after="0" w:line="147" w:lineRule="exact"/>
              <w:rPr>
                <w:sz w:val="20"/>
                <w:szCs w:val="20"/>
                <w:color w:val="auto"/>
              </w:rPr>
            </w:pPr>
            <w:r>
              <w:rPr>
                <w:rFonts w:ascii="Times New Roman" w:cs="Times New Roman" w:eastAsia="Times New Roman" w:hAnsi="Times New Roman"/>
                <w:sz w:val="14"/>
                <w:szCs w:val="14"/>
                <w:color w:val="auto"/>
              </w:rPr>
              <w:t>Vera Bradley corporate headquarters, design</w:t>
            </w:r>
          </w:p>
        </w:tc>
        <w:tc>
          <w:tcPr>
            <w:tcW w:w="25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r>
      <w:tr>
        <w:trPr>
          <w:trHeight w:val="191"/>
        </w:trPr>
        <w:tc>
          <w:tcPr>
            <w:tcW w:w="2420" w:type="dxa"/>
            <w:vAlign w:val="bottom"/>
            <w:shd w:val="clear" w:color="auto" w:fill="CCEEFF"/>
          </w:tcPr>
          <w:p>
            <w:pPr>
              <w:spacing w:after="0"/>
              <w:rPr>
                <w:sz w:val="16"/>
                <w:szCs w:val="16"/>
                <w:color w:val="auto"/>
              </w:rPr>
            </w:pPr>
          </w:p>
        </w:tc>
        <w:tc>
          <w:tcPr>
            <w:tcW w:w="42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center, and showroom</w:t>
            </w:r>
          </w:p>
        </w:tc>
        <w:tc>
          <w:tcPr>
            <w:tcW w:w="254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188,000</w:t>
            </w:r>
          </w:p>
        </w:tc>
        <w:tc>
          <w:tcPr>
            <w:tcW w:w="208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Roanoke, Indiana</w:t>
            </w:r>
          </w:p>
        </w:tc>
        <w:tc>
          <w:tcPr>
            <w:tcW w:w="42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Vera Bradley warehouse and distribution</w:t>
            </w:r>
          </w:p>
        </w:tc>
        <w:tc>
          <w:tcPr>
            <w:tcW w:w="254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428,500</w:t>
            </w:r>
          </w:p>
        </w:tc>
        <w:tc>
          <w:tcPr>
            <w:tcW w:w="208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Owned</w:t>
            </w:r>
          </w:p>
        </w:tc>
      </w:tr>
      <w:tr>
        <w:trPr>
          <w:trHeight w:val="18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 New York</w:t>
            </w:r>
          </w:p>
        </w:tc>
        <w:tc>
          <w:tcPr>
            <w:tcW w:w="42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Vera Bradley office and showroom</w:t>
            </w:r>
          </w:p>
        </w:tc>
        <w:tc>
          <w:tcPr>
            <w:tcW w:w="25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4"/>
                <w:szCs w:val="14"/>
                <w:color w:val="auto"/>
              </w:rPr>
              <w:t>3,700</w:t>
            </w:r>
          </w:p>
        </w:tc>
        <w:tc>
          <w:tcPr>
            <w:tcW w:w="208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Hong Kong</w:t>
            </w:r>
          </w:p>
        </w:tc>
        <w:tc>
          <w:tcPr>
            <w:tcW w:w="42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Vera Bradley Asia sourcing office</w:t>
            </w:r>
          </w:p>
        </w:tc>
        <w:tc>
          <w:tcPr>
            <w:tcW w:w="254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5,100</w:t>
            </w:r>
          </w:p>
        </w:tc>
        <w:tc>
          <w:tcPr>
            <w:tcW w:w="208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Atlanta, Georgia</w:t>
            </w:r>
          </w:p>
        </w:tc>
        <w:tc>
          <w:tcPr>
            <w:tcW w:w="42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Vera Bradley showroom</w:t>
            </w:r>
          </w:p>
        </w:tc>
        <w:tc>
          <w:tcPr>
            <w:tcW w:w="25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4"/>
                <w:szCs w:val="14"/>
                <w:color w:val="auto"/>
              </w:rPr>
              <w:t>5,600</w:t>
            </w:r>
          </w:p>
        </w:tc>
        <w:tc>
          <w:tcPr>
            <w:tcW w:w="208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Dallas, Texas</w:t>
            </w:r>
          </w:p>
        </w:tc>
        <w:tc>
          <w:tcPr>
            <w:tcW w:w="42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Vera Bradley showroom</w:t>
            </w:r>
          </w:p>
        </w:tc>
        <w:tc>
          <w:tcPr>
            <w:tcW w:w="254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1,800</w:t>
            </w:r>
          </w:p>
        </w:tc>
        <w:tc>
          <w:tcPr>
            <w:tcW w:w="208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rPr>
              <w:t>Leased</w:t>
            </w:r>
          </w:p>
        </w:tc>
      </w:tr>
      <w:tr>
        <w:trPr>
          <w:trHeight w:val="18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 Jolla, California</w:t>
            </w:r>
          </w:p>
        </w:tc>
        <w:tc>
          <w:tcPr>
            <w:tcW w:w="42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Pura Vida corporate headquarters</w:t>
            </w:r>
          </w:p>
        </w:tc>
        <w:tc>
          <w:tcPr>
            <w:tcW w:w="25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4"/>
                <w:szCs w:val="14"/>
                <w:color w:val="auto"/>
              </w:rPr>
              <w:t>7,400</w:t>
            </w:r>
          </w:p>
        </w:tc>
        <w:tc>
          <w:tcPr>
            <w:tcW w:w="208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rPr>
              <w:t>Leased</w:t>
            </w:r>
          </w:p>
        </w:tc>
      </w:tr>
    </w:tbl>
    <w:p>
      <w:pPr>
        <w:spacing w:after="0" w:line="123"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As of February 1, 2025, we also leased 127 Vera Bradley store locations, including a former location, and seven Pura Vida store locations in the United States. See below for more information regarding the locations of our open stores as of February 1, 2025.</w:t>
      </w:r>
    </w:p>
    <w:p>
      <w:pPr>
        <w:spacing w:after="0" w:line="2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We consider these properties to be in good condition generally and believe that our facilities are adequate for our operations and provide sufficient capacity to meet our anticipated requirements. The Vera Bradley properties in the above table are used by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both the Vera Bradley Direct segment and Vera Bradley Indirect segment, excluding the two standalone showrooms which are used exclusively by the Vera Bradley Indirect segment. The Pura Vida headquarters is used by the Pura Vida segment.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Store Locations</w:t>
      </w:r>
    </w:p>
    <w:p>
      <w:pPr>
        <w:spacing w:after="0" w:line="83"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i w:val="1"/>
          <w:iCs w:val="1"/>
          <w:color w:val="auto"/>
        </w:rPr>
        <w:t>Vera Bradley</w:t>
      </w:r>
      <w:r>
        <w:rPr>
          <w:rFonts w:ascii="Times New Roman" w:cs="Times New Roman" w:eastAsia="Times New Roman" w:hAnsi="Times New Roman"/>
          <w:sz w:val="14"/>
          <w:szCs w:val="14"/>
          <w:color w:val="auto"/>
        </w:rPr>
        <w:t>. Our Vera Bradley full-line stores are located primarily in high-traffic regional malls, lifestyle centers, and mixed-use shopping centers across the United States. The following table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shows the number of Vera Bradley full-line and outlet stores we operated in each state as of February 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44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vMerge w:val="restart"/>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Vera Bradley Full-</w:t>
            </w:r>
          </w:p>
        </w:tc>
        <w:tc>
          <w:tcPr>
            <w:tcW w:w="1540" w:type="dxa"/>
            <w:vAlign w:val="bottom"/>
            <w:gridSpan w:val="2"/>
            <w:vMerge w:val="continue"/>
          </w:tcPr>
          <w:p>
            <w:pPr>
              <w:spacing w:after="0"/>
              <w:rPr>
                <w:sz w:val="4"/>
                <w:szCs w:val="4"/>
                <w:color w:val="auto"/>
              </w:rPr>
            </w:pPr>
          </w:p>
        </w:tc>
        <w:tc>
          <w:tcPr>
            <w:tcW w:w="2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vMerge w:val="restart"/>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Vera Bradley Full-</w:t>
            </w: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Vera Bradley Outlet Stores</w:t>
            </w:r>
          </w:p>
        </w:tc>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Vera Bradley Outlet Stores</w:t>
            </w:r>
          </w:p>
        </w:tc>
        <w:tc>
          <w:tcPr>
            <w:tcW w:w="0" w:type="dxa"/>
            <w:vAlign w:val="bottom"/>
          </w:tcPr>
          <w:p>
            <w:pPr>
              <w:spacing w:after="0"/>
              <w:rPr>
                <w:sz w:val="1"/>
                <w:szCs w:val="1"/>
                <w:color w:val="auto"/>
              </w:rPr>
            </w:pPr>
          </w:p>
        </w:tc>
      </w:tr>
      <w:tr>
        <w:trPr>
          <w:trHeight w:val="87"/>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State</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Line Stores</w:t>
            </w:r>
          </w:p>
        </w:tc>
        <w:tc>
          <w:tcPr>
            <w:tcW w:w="1540" w:type="dxa"/>
            <w:vAlign w:val="bottom"/>
            <w:gridSpan w:val="2"/>
            <w:vMerge w:val="continue"/>
          </w:tcPr>
          <w:p>
            <w:pPr>
              <w:spacing w:after="0"/>
              <w:rPr>
                <w:sz w:val="7"/>
                <w:szCs w:val="7"/>
                <w:color w:val="auto"/>
              </w:rPr>
            </w:pPr>
          </w:p>
        </w:tc>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State</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Line Stores</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620" w:type="dxa"/>
            <w:vAlign w:val="bottom"/>
            <w:gridSpan w:val="2"/>
            <w:vMerge w:val="continue"/>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20" w:type="dxa"/>
            <w:vAlign w:val="bottom"/>
            <w:gridSpan w:val="2"/>
            <w:vMerge w:val="continue"/>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Alabama</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Minnesota</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Mississippi</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Missouri</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Connecticut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Nebraska</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Nevada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Hampshire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Jersey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Hawaii</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North Carolina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Indiana</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Ohio</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Iowa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Oklahoma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Kansas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Pennsylvania</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Kentucky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South Carolina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Louisiana</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Tennessee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Texas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Massachusetts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Virginia</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Michigan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Wisconsin</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Pura Vida. </w:t>
      </w:r>
      <w:r>
        <w:rPr>
          <w:rFonts w:ascii="Times New Roman" w:cs="Times New Roman" w:eastAsia="Times New Roman" w:hAnsi="Times New Roman"/>
          <w:sz w:val="14"/>
          <w:szCs w:val="14"/>
          <w:color w:val="auto"/>
        </w:rPr>
        <w:t>As of February 1, 2025, Pura Vida had seven retail store locations. Of the seven locations, three are in California, two are in Florida, one is in South Carolina, and one is in Arizona.</w:t>
      </w:r>
    </w:p>
    <w:p>
      <w:pPr>
        <w:spacing w:after="0" w:line="7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We lease all of our stores. Lease terms for our retail stores are generally ten years with options to renew for varying terms. The leases generally provide for a fixed minimum rental plus contingent rent, which is determined as a percentage of sales in excess of specified levels.</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may be involved from time to time, as a plaintiff or a defendant, in various routine legal proceedings incidental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w:t>
      </w:r>
    </w:p>
    <w:p>
      <w:pPr>
        <w:spacing w:after="0" w:line="4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Company is subject to other legal proceedings from time to time in the ordinary course of business but does not believe any of these such claims would have a material adverse impact on the Company at this time.</w:t>
      </w:r>
    </w:p>
    <w:p>
      <w:pPr>
        <w:spacing w:after="0" w:line="1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57" w:lineRule="exact"/>
        <w:rPr>
          <w:sz w:val="20"/>
          <w:szCs w:val="20"/>
          <w:color w:val="auto"/>
        </w:rPr>
      </w:pPr>
    </w:p>
    <w:p>
      <w:pPr>
        <w:ind w:right="3860"/>
        <w:spacing w:after="0" w:line="401" w:lineRule="auto"/>
        <w:rPr>
          <w:sz w:val="20"/>
          <w:szCs w:val="20"/>
          <w:color w:val="auto"/>
        </w:rPr>
      </w:pPr>
      <w:r>
        <w:rPr>
          <w:rFonts w:ascii="Times New Roman" w:cs="Times New Roman" w:eastAsia="Times New Roman" w:hAnsi="Times New Roman"/>
          <w:sz w:val="14"/>
          <w:szCs w:val="14"/>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4"/>
          <w:szCs w:val="14"/>
          <w:color w:val="auto"/>
        </w:rPr>
        <w:t>Our common stock is listed on the NASDAQ Global Select Market under the symbol “VRA”.</w:t>
      </w:r>
    </w:p>
    <w:p>
      <w:pPr>
        <w:spacing w:after="0" w:line="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 of March 28, 2025, we had approximately 26 registered shareholders of record. The number of shareholders of record is based upon the actual number of shareholders registered at such date and does not include holders of shares in “street name” or persons, partnerships, associations, corporations, or other entities identified in security position listings maintained by depositories.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Use of Proceeds</w:t>
      </w:r>
    </w:p>
    <w:p>
      <w:pPr>
        <w:spacing w:after="0" w:line="74"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The following table details activity under the 2021 Share Repurchase Program during the thirteen weeks ended February 1, 2025. The 2021 Share Repurchase Program expired in December 2024. Refer to Note 13 of the Notes to the Consolidated Financial Statements as set forth in Part II, Item 8. of this Annual Report on Form 10-K for additional information regarding our share repurchase programs.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regarding the activity under the 2021 Share Repurchase Program during the thirteen weeks ended February 1, 2025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 Shares Purchased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Maximum Approximate Dollar</w:t>
            </w: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jc w:val="center"/>
              <w:ind w:right="37"/>
              <w:spacing w:after="0" w:line="117" w:lineRule="exact"/>
              <w:rPr>
                <w:sz w:val="20"/>
                <w:szCs w:val="20"/>
                <w:color w:val="auto"/>
              </w:rPr>
            </w:pPr>
            <w:r>
              <w:rPr>
                <w:rFonts w:ascii="Times New Roman" w:cs="Times New Roman" w:eastAsia="Times New Roman" w:hAnsi="Times New Roman"/>
                <w:sz w:val="11"/>
                <w:szCs w:val="11"/>
                <w:b w:val="1"/>
                <w:bCs w:val="1"/>
                <w:color w:val="auto"/>
              </w:rPr>
              <w:t>Value of Shares that May Yet be</w:t>
            </w:r>
          </w:p>
        </w:tc>
        <w:tc>
          <w:tcPr>
            <w:tcW w:w="0" w:type="dxa"/>
            <w:vAlign w:val="bottom"/>
          </w:tcPr>
          <w:p>
            <w:pPr>
              <w:spacing w:after="0"/>
              <w:rPr>
                <w:sz w:val="1"/>
                <w:szCs w:val="1"/>
                <w:color w:val="auto"/>
              </w:rPr>
            </w:pPr>
          </w:p>
        </w:tc>
      </w:tr>
      <w:tr>
        <w:trPr>
          <w:trHeight w:val="115"/>
        </w:trPr>
        <w:tc>
          <w:tcPr>
            <w:tcW w:w="3840" w:type="dxa"/>
            <w:vAlign w:val="bottom"/>
            <w:vMerge w:val="restart"/>
          </w:tcPr>
          <w:p>
            <w:pPr>
              <w:ind w:left="176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Number of Shares Purchased</w:t>
            </w:r>
          </w:p>
        </w:tc>
        <w:tc>
          <w:tcPr>
            <w:tcW w:w="120" w:type="dxa"/>
            <w:vAlign w:val="bottom"/>
          </w:tcPr>
          <w:p>
            <w:pPr>
              <w:spacing w:after="0"/>
              <w:rPr>
                <w:sz w:val="9"/>
                <w:szCs w:val="9"/>
                <w:color w:val="auto"/>
              </w:rPr>
            </w:pPr>
          </w:p>
        </w:tc>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Average Price Paid per Share</w:t>
            </w:r>
          </w:p>
        </w:tc>
        <w:tc>
          <w:tcPr>
            <w:tcW w:w="17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as Part of Publicly Announced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jc w:val="center"/>
              <w:ind w:right="37"/>
              <w:spacing w:after="0" w:line="115" w:lineRule="exact"/>
              <w:rPr>
                <w:sz w:val="20"/>
                <w:szCs w:val="20"/>
                <w:color w:val="auto"/>
              </w:rPr>
            </w:pPr>
            <w:r>
              <w:rPr>
                <w:rFonts w:ascii="Times New Roman" w:cs="Times New Roman" w:eastAsia="Times New Roman" w:hAnsi="Times New Roman"/>
                <w:sz w:val="11"/>
                <w:szCs w:val="11"/>
                <w:b w:val="1"/>
                <w:bCs w:val="1"/>
                <w:color w:val="auto"/>
              </w:rPr>
              <w:t>Purchased Under the Plans or</w:t>
            </w:r>
          </w:p>
        </w:tc>
        <w:tc>
          <w:tcPr>
            <w:tcW w:w="0" w:type="dxa"/>
            <w:vAlign w:val="bottom"/>
          </w:tcPr>
          <w:p>
            <w:pPr>
              <w:spacing w:after="0"/>
              <w:rPr>
                <w:sz w:val="1"/>
                <w:szCs w:val="1"/>
                <w:color w:val="auto"/>
              </w:rPr>
            </w:pPr>
          </w:p>
        </w:tc>
      </w:tr>
      <w:tr>
        <w:trPr>
          <w:trHeight w:val="155"/>
        </w:trPr>
        <w:tc>
          <w:tcPr>
            <w:tcW w:w="384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Plans or Programs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8"/>
              </w:rPr>
              <w:t>Programs</w:t>
            </w:r>
          </w:p>
        </w:tc>
        <w:tc>
          <w:tcPr>
            <w:tcW w:w="0" w:type="dxa"/>
            <w:vAlign w:val="bottom"/>
          </w:tcPr>
          <w:p>
            <w:pPr>
              <w:spacing w:after="0"/>
              <w:rPr>
                <w:sz w:val="1"/>
                <w:szCs w:val="1"/>
                <w:color w:val="auto"/>
              </w:rPr>
            </w:pPr>
          </w:p>
        </w:tc>
      </w:tr>
      <w:tr>
        <w:trPr>
          <w:trHeight w:val="175"/>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November 3, 2024 - November 30, 2024</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69,082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69,082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3,993,007</w:t>
            </w:r>
          </w:p>
        </w:tc>
        <w:tc>
          <w:tcPr>
            <w:tcW w:w="0" w:type="dxa"/>
            <w:vAlign w:val="bottom"/>
          </w:tcPr>
          <w:p>
            <w:pPr>
              <w:spacing w:after="0"/>
              <w:rPr>
                <w:sz w:val="1"/>
                <w:szCs w:val="1"/>
                <w:color w:val="auto"/>
              </w:rPr>
            </w:pPr>
          </w:p>
        </w:tc>
      </w:tr>
      <w:tr>
        <w:trPr>
          <w:trHeight w:val="18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1, 2024 - January 4, 2025</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3,774,179</w:t>
            </w:r>
          </w:p>
        </w:tc>
        <w:tc>
          <w:tcPr>
            <w:tcW w:w="0" w:type="dxa"/>
            <w:vAlign w:val="bottom"/>
          </w:tcPr>
          <w:p>
            <w:pPr>
              <w:spacing w:after="0"/>
              <w:rPr>
                <w:sz w:val="1"/>
                <w:szCs w:val="1"/>
                <w:color w:val="auto"/>
              </w:rPr>
            </w:pP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5, 2025 - February 1, 2025</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3,774,179</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113,414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Pr>
          <w:p>
            <w:pPr>
              <w:spacing w:after="0"/>
              <w:rPr>
                <w:sz w:val="14"/>
                <w:szCs w:val="14"/>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8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Our common stock began trading on October 21, 2010, following our initial public offering. Since that time, we have not declared any cash dividends. The payment of dividends is evaluated on a periodic basis.</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graph set forth below compares the cumulative shareholder return on our common stock between February 1, 2020, and February 1, 2025, to the cumulative return of (i) the S&amp;P 500 Index and</w:t>
      </w:r>
    </w:p>
    <w:p>
      <w:pPr>
        <w:spacing w:after="0" w:line="23" w:lineRule="exact"/>
        <w:rPr>
          <w:sz w:val="20"/>
          <w:szCs w:val="20"/>
          <w:color w:val="auto"/>
        </w:rPr>
      </w:pPr>
    </w:p>
    <w:p>
      <w:pPr>
        <w:ind w:right="300" w:firstLine="5"/>
        <w:spacing w:after="0" w:line="266" w:lineRule="auto"/>
        <w:tabs>
          <w:tab w:leader="none" w:pos="20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S&amp;P 500 Apparel, Accessories, and Luxury Goods Index over the same period. This graph assumes an initial investment of $100 on February 1, 2020, in our common stock, the S&amp;P 500 Index, and the S&amp;P 500 Apparel, Accessories, and Luxury Goods Index and assumes the reinvestment of dividends, if any.</w:t>
      </w:r>
    </w:p>
    <w:p>
      <w:pPr>
        <w:spacing w:after="0" w:line="96"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The comparisons shown in the graph below are based on historical data. We caution that the stock price performance presented in the graph below is not necessarily indicative of, nor is it intended to forecast, the potential future performance of our common stock. Information used in the graph was obtained from The NASDAQ Stock Market website. As such, although we believe the information to be accurate, we cannot assure you of its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230505</wp:posOffset>
            </wp:positionV>
            <wp:extent cx="4554220" cy="3234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54220" cy="323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Company/Market/Peer Group</w:t>
            </w:r>
          </w:p>
        </w:tc>
        <w:tc>
          <w:tcPr>
            <w:tcW w:w="180" w:type="dxa"/>
            <w:vAlign w:val="bottom"/>
          </w:tcPr>
          <w:p>
            <w:pPr>
              <w:spacing w:after="0"/>
              <w:rPr>
                <w:sz w:val="13"/>
                <w:szCs w:val="13"/>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2/1/2020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1/30/2021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1/29/2022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1/28/2023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2/3/2024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2/1/2025</w:t>
            </w:r>
          </w:p>
        </w:tc>
        <w:tc>
          <w:tcPr>
            <w:tcW w:w="20" w:type="dxa"/>
            <w:vAlign w:val="bottom"/>
          </w:tcPr>
          <w:p>
            <w:pPr>
              <w:spacing w:after="0"/>
              <w:rPr>
                <w:sz w:val="13"/>
                <w:szCs w:val="13"/>
                <w:color w:val="auto"/>
              </w:rPr>
            </w:pPr>
          </w:p>
        </w:tc>
      </w:tr>
      <w:tr>
        <w:trPr>
          <w:trHeight w:val="180"/>
        </w:trPr>
        <w:tc>
          <w:tcPr>
            <w:tcW w:w="4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Vera Bradley, Inc.</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81.82</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20" w:type="dxa"/>
            <w:vAlign w:val="bottom"/>
          </w:tcPr>
          <w:p>
            <w:pPr>
              <w:spacing w:after="0"/>
              <w:rPr>
                <w:sz w:val="15"/>
                <w:szCs w:val="15"/>
                <w:color w:val="auto"/>
              </w:rPr>
            </w:pPr>
          </w:p>
        </w:tc>
      </w:tr>
      <w:tr>
        <w:trPr>
          <w:trHeight w:val="180"/>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Index</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117.25</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141.87</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132.47</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164.06</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202.59</w:t>
            </w:r>
          </w:p>
        </w:tc>
        <w:tc>
          <w:tcPr>
            <w:tcW w:w="20" w:type="dxa"/>
            <w:vAlign w:val="bottom"/>
          </w:tcPr>
          <w:p>
            <w:pPr>
              <w:spacing w:after="0"/>
              <w:rPr>
                <w:sz w:val="15"/>
                <w:szCs w:val="15"/>
                <w:color w:val="auto"/>
              </w:rPr>
            </w:pPr>
          </w:p>
        </w:tc>
      </w:tr>
      <w:tr>
        <w:trPr>
          <w:trHeight w:val="180"/>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Apparel, Accessories, and Luxury Goods Index</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62.76</w:t>
            </w:r>
          </w:p>
        </w:tc>
        <w:tc>
          <w:tcPr>
            <w:tcW w:w="20" w:type="dxa"/>
            <w:vAlign w:val="bottom"/>
          </w:tcPr>
          <w:p>
            <w:pPr>
              <w:spacing w:after="0"/>
              <w:rPr>
                <w:sz w:val="15"/>
                <w:szCs w:val="15"/>
                <w:color w:val="auto"/>
              </w:rPr>
            </w:pPr>
          </w:p>
        </w:tc>
      </w:tr>
      <w:tr>
        <w:trPr>
          <w:trHeight w:val="679"/>
        </w:trPr>
        <w:tc>
          <w:tcPr>
            <w:tcW w:w="5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560" w:type="dxa"/>
            <w:vAlign w:val="bottom"/>
            <w:tcBorders>
              <w:bottom w:val="single" w:sz="8" w:color="9A9A9A"/>
            </w:tcBorders>
          </w:tcPr>
          <w:p>
            <w:pPr>
              <w:spacing w:after="0"/>
              <w:rPr>
                <w:sz w:val="7"/>
                <w:szCs w:val="7"/>
                <w:color w:val="auto"/>
              </w:rPr>
            </w:pPr>
          </w:p>
        </w:tc>
        <w:tc>
          <w:tcPr>
            <w:tcW w:w="4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in conjunction with the consolidated financial statements and accompanying notes and the information contained in other sections of this report, particularly under the headings “Risk Factors”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Some of our major achievements for fiscal 2025 are as follows:</w:t>
      </w:r>
    </w:p>
    <w:p>
      <w:pPr>
        <w:spacing w:after="0" w:line="20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made continued progress on our long-term strategic plan, Project Restoration, our comprehensive strategic initiative to transform our business model and brand positioning. As a Company, we continued to carefully manage both gross margin and expenses and have instilled a culture of discipline around gross margin and expense control. We continued to strengthen and streamline our organizational structure and right-size our leadership team and cost structure for the size of our business, to address the continuing challenging macroeconomic environment and to best position us to achieve our long-term strategic plans. We also continued to make investments in customer data science, business analytics, and pricing optimization, allowing us to collect and analyze data and make fact-based decisions to more efficiently run our business. While we remain confident in our strategic direction, we continue to make refinements based on selling data and customer feedback. Most of these shifts are occurring in our product and pricing strategy.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At the </w:t>
      </w:r>
      <w:r>
        <w:rPr>
          <w:rFonts w:ascii="Times New Roman" w:cs="Times New Roman" w:eastAsia="Times New Roman" w:hAnsi="Times New Roman"/>
          <w:sz w:val="14"/>
          <w:szCs w:val="14"/>
          <w:b w:val="1"/>
          <w:bCs w:val="1"/>
          <w:u w:val="single" w:color="auto"/>
          <w:color w:val="auto"/>
        </w:rPr>
        <w:t>Vera Bradley</w:t>
      </w:r>
      <w:r>
        <w:rPr>
          <w:rFonts w:ascii="Times New Roman" w:cs="Times New Roman" w:eastAsia="Times New Roman" w:hAnsi="Times New Roman"/>
          <w:sz w:val="14"/>
          <w:szCs w:val="14"/>
          <w:color w:val="auto"/>
        </w:rPr>
        <w:t xml:space="preserve"> brand:</w:t>
      </w:r>
    </w:p>
    <w:p>
      <w:pPr>
        <w:spacing w:after="0" w:line="181" w:lineRule="exact"/>
        <w:rPr>
          <w:sz w:val="20"/>
          <w:szCs w:val="20"/>
          <w:color w:val="auto"/>
        </w:rPr>
      </w:pPr>
    </w:p>
    <w:p>
      <w:pPr>
        <w:ind w:left="520" w:right="140" w:hanging="260"/>
        <w:spacing w:after="0" w:line="271"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launched the first phase of our renewed vision for Vera Bradley in July fiscal 2025, which included elevated brand product, marketing, store design and website in our Brand stores and on verabradley.com.</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expanded our NFL collection by adding representation for more teams.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continued another year of product collaborations with iconic brands such as Disney, Wicked, and Peanuts, which align with our target customers and expand our customer reach.</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Better Cotton</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member and continue to increase our procurement of cotton from Better Cotton</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supply chain partners.</w:t>
      </w:r>
    </w:p>
    <w:p>
      <w:pPr>
        <w:spacing w:after="0" w:line="14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online site – outlet.verabradley.com, has brought new customers to the brand and provided steady performance throughout the year, helping offset weakness in the outlet store channel.</w:t>
      </w:r>
    </w:p>
    <w:p>
      <w:pPr>
        <w:spacing w:after="0" w:line="178" w:lineRule="exact"/>
        <w:rPr>
          <w:rFonts w:ascii="Times New Roman" w:cs="Times New Roman" w:eastAsia="Times New Roman" w:hAnsi="Times New Roman"/>
          <w:sz w:val="14"/>
          <w:szCs w:val="14"/>
          <w:color w:val="auto"/>
        </w:rPr>
      </w:pPr>
    </w:p>
    <w:p>
      <w:pPr>
        <w:ind w:left="520" w:right="80" w:hanging="260"/>
        <w:spacing w:after="0" w:line="238"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continued to strengthen and rationalize our store base. We are continuing to look for opportunities to improve the full-line profitability of our full-line store portfolio by re-balancing our existing fleet through select closures along with identifying future market opportunities. We will continue to focus on our highest-potential stores by enhancing the customer experience. In fiscal 2025, we closed five underperforming full-line stores and one outlet store, and opened one full-line store and seven outlet stores, ending the fiscal year with 39 full-line and 87 outlet locations.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At the </w:t>
      </w:r>
      <w:r>
        <w:rPr>
          <w:rFonts w:ascii="Times New Roman" w:cs="Times New Roman" w:eastAsia="Times New Roman" w:hAnsi="Times New Roman"/>
          <w:sz w:val="14"/>
          <w:szCs w:val="14"/>
          <w:b w:val="1"/>
          <w:bCs w:val="1"/>
          <w:u w:val="single" w:color="auto"/>
          <w:color w:val="auto"/>
        </w:rPr>
        <w:t>Pura Vida</w:t>
      </w:r>
      <w:r>
        <w:rPr>
          <w:rFonts w:ascii="Times New Roman" w:cs="Times New Roman" w:eastAsia="Times New Roman" w:hAnsi="Times New Roman"/>
          <w:sz w:val="14"/>
          <w:szCs w:val="14"/>
          <w:color w:val="auto"/>
        </w:rPr>
        <w:t xml:space="preserve"> brand:</w:t>
      </w:r>
    </w:p>
    <w:p>
      <w:pPr>
        <w:spacing w:after="0" w:line="181"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Pura Vida found positive responses through collegiate football, gymnastics, and sorority activations.</w:t>
      </w:r>
    </w:p>
    <w:p>
      <w:pPr>
        <w:spacing w:after="0" w:line="178" w:lineRule="exact"/>
        <w:rPr>
          <w:rFonts w:ascii="Times New Roman" w:cs="Times New Roman" w:eastAsia="Times New Roman" w:hAnsi="Times New Roman"/>
          <w:sz w:val="14"/>
          <w:szCs w:val="14"/>
          <w:color w:val="auto"/>
        </w:rPr>
      </w:pPr>
    </w:p>
    <w:p>
      <w:pPr>
        <w:ind w:left="520" w:right="480" w:hanging="260"/>
        <w:spacing w:after="0" w:line="271"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2025, Pura Vida had collaborations with Dutch Brothers Coffee, Kulani Kinis swimwear, and the Varsity Cheer League; partnered with key influencers; and offered themed-collections centered around key events such as Shark Week.</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Pura Vida continued to innovate and expand on our personalized offerings through harper charms, which still targets our core customer, and provides her endless options to suit her style.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new Pura Vida store locations were opened in fiscal 2025.</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We Assess the Performance of Our Business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assessing the performance of our business, we consider a variety of performance and financial measures.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Revenues</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Net revenues reflect sales of our merchandise and revenue from distribution and shipping and handling fees, less returns and discounts. Revenues for the VB Direct segment reflect sales through Vera Bradley full-line and outlet stores and the Vera Bradley websites (verabradley.com, international.verabradley.com, and outlet.verabradley.com). There were no sales from our Vera Bradley annual outlet sale in Fort Wayne, Indiana for fiscal year 2023 as it was cancelled due to the COVID-19 pandemic. Revenues for the VB Indirect segment reflect sales of Vera Bradley-branded products to specialty retail partners; department stores; national accounts; third-party e-commerce sites; and third-party inventory liquidators, as well as royalties recognized through licensing agreements related to the Vera Bradley brand. Revenues for the Pura Vida segment reflect revenues generated through the Pura Vida website (www.puravidabracelets.com), through the distribution of Pura Vida-branded products to wholesale retailers, and through Pura Vida retail stores.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Comparable Sales</w:t>
      </w:r>
    </w:p>
    <w:p>
      <w:pPr>
        <w:spacing w:after="0" w:line="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Typically, comparable sales are calculated based upon our stores that have been open for at least 12 full fiscal months and net revenues from our Vera Bradley e-commerce operations.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5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Typically, measuring the change in year-over-year comparable sales allows us and our investors to evaluate how our store base and e-commerce operations are performing. Various factors affect our comparable sales, including:</w:t>
      </w:r>
    </w:p>
    <w:p>
      <w:pPr>
        <w:spacing w:after="0" w:line="29"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economic trends;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preferences and fashion trends;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our releases of new patterns and collections;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holidays;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product mix;</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and level of promotions;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of store, mall, and e-commerce traffic;</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customer service that we provide in stores and to our on-line customers;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source and distribute products efficiently;</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stores we open and close in any period;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promotional and marketing efforts.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Gross Profit</w:t>
      </w:r>
    </w:p>
    <w:p>
      <w:pPr>
        <w:spacing w:after="0" w:line="8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Gross profit is equal to our net revenues less our cost of sales. Cost of sales includes the direct cost of purchased merchandise, distribution center costs, operations overhead, duty, all inbound freight costs incurred, and inventory adjustments including adjustments described in Note 16 to the Notes to the Consolidated Financial Statements herein. The components of our reported cost of sales may not be comparable to those of other retail and wholesale companies.</w:t>
      </w:r>
    </w:p>
    <w:p>
      <w:pPr>
        <w:spacing w:after="0" w:line="9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 (“SG&amp;A”)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SG&amp;A expenses include selling; advertising, marketing, and product development; and administrative expenses. Selling expenses include:</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•VB Direct business expenses, such as store expenses, employee compensation, and store occupancy and supply costs;</w:t>
      </w:r>
    </w:p>
    <w:p>
      <w:pPr>
        <w:spacing w:after="0" w:line="83" w:lineRule="exact"/>
        <w:rPr>
          <w:sz w:val="20"/>
          <w:szCs w:val="20"/>
          <w:color w:val="auto"/>
        </w:rPr>
      </w:pPr>
    </w:p>
    <w:p>
      <w:pPr>
        <w:ind w:left="260" w:right="2800"/>
        <w:spacing w:after="0" w:line="355" w:lineRule="auto"/>
        <w:rPr>
          <w:sz w:val="20"/>
          <w:szCs w:val="20"/>
          <w:color w:val="auto"/>
        </w:rPr>
      </w:pPr>
      <w:r>
        <w:rPr>
          <w:rFonts w:ascii="Times New Roman" w:cs="Times New Roman" w:eastAsia="Times New Roman" w:hAnsi="Times New Roman"/>
          <w:sz w:val="14"/>
          <w:szCs w:val="14"/>
          <w:color w:val="auto"/>
        </w:rPr>
        <w:t>•VB Indirect business expenses consisting primarily of employee compensation and other expenses associated with sales to Indirect retailers; and •Pura Vida business expenses primarily related to employee compensation and store expenses.</w:t>
      </w:r>
    </w:p>
    <w:p>
      <w:pPr>
        <w:spacing w:after="0" w:line="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 as well as severance charges and consulting fees associated with cost savings initiatives disclosed in Note 16 to the Notes to the Consolidated Financial Statements herein.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Savings Initiatives and Other Charges</w:t>
      </w:r>
    </w:p>
    <w:p>
      <w:pPr>
        <w:spacing w:after="0" w:line="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During fiscal 2025, the Company continued the implementation of targeted cost reductions. Expense savings are being derived across various areas of the Company, including retail store efficiencies, marketing expenses, information technology contracts, professional services, logistics and operational costs, and corporate payroll. Refer to Note 16 to the Notes to the Consolidated Financial Statements herein for additional information regarding charges for cost savings initiatives and remaining liabilities, as well as other charges not comparable with the prior year.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Macroeconomic Environment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is impacted by broader macroeconomic issues in the U.S. marketplace – and can be affected both positively and negatively over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macroeconomic environment has been challenged by inflationary pressures, including high gas prices, interest rates, and other related factors that have impacted consumer discretionary spending.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also seen a trend of steeply increasing digital media costs.</w:t>
      </w:r>
    </w:p>
    <w:p>
      <w:pPr>
        <w:spacing w:after="0" w:line="18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To mitigate some of these inflationary and supply chain pressures, we implemented strategic price increases across both of our brands in late fiscal 2022 through fiscal 2024. We will continue to monitor our pricing as it relates to the current macroeconomic trends. In addition, in fiscal 2023 through fiscal 2025, we implemented targeted cost reductions across various areas of the Company, including retail store efficiencies, marketing expenses, information technology contracts, professional services, logistics and operational costs, and corporate payroll. We will continue to review our expense structure in future years for additional cost reduction opportunities.</w:t>
      </w:r>
    </w:p>
    <w:p>
      <w:pPr>
        <w:spacing w:after="0" w:line="16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We continue to actively monitor the changing macroeconomic circumstances and take mitigating actions where appropriate. Ongoing macroeconomic pressures could have a material adverse effect on our liquidity, operating results, and financial condition.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key components of our consolidated results of operations for the last three fiscal years, both in dollars and as a percentage of our net revenues.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 xml:space="preserve">Fiscal Year Ended </w:t>
            </w:r>
            <w:r>
              <w:rPr>
                <w:rFonts w:ascii="Times New Roman" w:cs="Times New Roman" w:eastAsia="Times New Roman" w:hAnsi="Times New Roman"/>
                <w:sz w:val="18"/>
                <w:szCs w:val="18"/>
                <w:b w:val="1"/>
                <w:bCs w:val="1"/>
                <w:color w:val="auto"/>
                <w:w w:val="98"/>
                <w:vertAlign w:val="superscript"/>
              </w:rPr>
              <w:t>(1)</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gridSpan w:val="2"/>
          </w:tcPr>
          <w:p>
            <w:pPr>
              <w:ind w:left="200"/>
              <w:spacing w:after="0" w:line="99" w:lineRule="exact"/>
              <w:rPr>
                <w:sz w:val="20"/>
                <w:szCs w:val="20"/>
                <w:color w:val="auto"/>
              </w:rPr>
            </w:pPr>
            <w:r>
              <w:rPr>
                <w:rFonts w:ascii="Times New Roman" w:cs="Times New Roman" w:eastAsia="Times New Roman" w:hAnsi="Times New Roman"/>
                <w:sz w:val="11"/>
                <w:szCs w:val="11"/>
                <w:b w:val="1"/>
                <w:bCs w:val="1"/>
                <w:color w:val="auto"/>
              </w:rPr>
              <w:t>February 1,</w:t>
            </w:r>
          </w:p>
        </w:tc>
        <w:tc>
          <w:tcPr>
            <w:tcW w:w="160" w:type="dxa"/>
            <w:vAlign w:val="bottom"/>
          </w:tcPr>
          <w:p>
            <w:pPr>
              <w:spacing w:after="0"/>
              <w:rPr>
                <w:sz w:val="8"/>
                <w:szCs w:val="8"/>
                <w:color w:val="auto"/>
              </w:rPr>
            </w:pPr>
          </w:p>
        </w:tc>
        <w:tc>
          <w:tcPr>
            <w:tcW w:w="144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1"/>
                <w:szCs w:val="11"/>
                <w:b w:val="1"/>
                <w:bCs w:val="1"/>
                <w:color w:val="auto"/>
              </w:rPr>
              <w:t>February 3,</w:t>
            </w:r>
          </w:p>
        </w:tc>
        <w:tc>
          <w:tcPr>
            <w:tcW w:w="280" w:type="dxa"/>
            <w:vAlign w:val="bottom"/>
          </w:tcPr>
          <w:p>
            <w:pPr>
              <w:spacing w:after="0"/>
              <w:rPr>
                <w:sz w:val="8"/>
                <w:szCs w:val="8"/>
                <w:color w:val="auto"/>
              </w:rPr>
            </w:pPr>
          </w:p>
        </w:tc>
        <w:tc>
          <w:tcPr>
            <w:tcW w:w="1240" w:type="dxa"/>
            <w:vAlign w:val="bottom"/>
          </w:tcPr>
          <w:p>
            <w:pPr>
              <w:jc w:val="right"/>
              <w:ind w:right="410"/>
              <w:spacing w:after="0" w:line="99" w:lineRule="exact"/>
              <w:rPr>
                <w:sz w:val="20"/>
                <w:szCs w:val="20"/>
                <w:color w:val="auto"/>
              </w:rPr>
            </w:pPr>
            <w:r>
              <w:rPr>
                <w:rFonts w:ascii="Times New Roman" w:cs="Times New Roman" w:eastAsia="Times New Roman" w:hAnsi="Times New Roman"/>
                <w:sz w:val="11"/>
                <w:szCs w:val="11"/>
                <w:b w:val="1"/>
                <w:bCs w:val="1"/>
                <w:color w:val="auto"/>
              </w:rPr>
              <w:t>January 28,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600" w:type="dxa"/>
            <w:vAlign w:val="bottom"/>
            <w:tcBorders>
              <w:bottom w:val="single" w:sz="8" w:color="CCEEFF"/>
            </w:tcBorders>
            <w:vMerge w:val="continue"/>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(Loss) Income Data:</w:t>
            </w:r>
          </w:p>
        </w:tc>
        <w:tc>
          <w:tcPr>
            <w:tcW w:w="1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22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371,967</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470,786</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499,961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9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185,128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214,373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261,017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186,839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256,413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238,944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Selling, general, and administrative expenses </w:t>
            </w:r>
            <w:r>
              <w:rPr>
                <w:rFonts w:ascii="Times New Roman" w:cs="Times New Roman" w:eastAsia="Times New Roman" w:hAnsi="Times New Roman"/>
                <w:sz w:val="18"/>
                <w:szCs w:val="18"/>
                <w:color w:val="auto"/>
                <w:vertAlign w:val="superscript"/>
              </w:rPr>
              <w:t>(2)</w:t>
            </w:r>
          </w:p>
        </w:tc>
        <w:tc>
          <w:tcPr>
            <w:tcW w:w="1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223,808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241,457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265,016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goodwill and intangible assets</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6,237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5,429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69,256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9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(loss) income</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(42,356)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10,442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(94,871)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19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(41,238)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11,332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(95,024)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9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20,950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3,494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(15,640)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income</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(62,188)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7,838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(79,384)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redeemable noncontrolling interest</w:t>
            </w:r>
          </w:p>
        </w:tc>
        <w:tc>
          <w:tcPr>
            <w:tcW w:w="1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(19,649)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income attributable to Vera Bradley, Inc.</w:t>
            </w:r>
          </w:p>
        </w:tc>
        <w:tc>
          <w:tcPr>
            <w:tcW w:w="19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(62,188)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7,838</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(59,735)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of Net Revenues:</w:t>
            </w:r>
          </w:p>
        </w:tc>
        <w:tc>
          <w:tcPr>
            <w:tcW w:w="1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9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45.5 %</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goodwill and intangible assets</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9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(loss) income</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19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9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income</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redeemable noncontrolling interest</w:t>
            </w:r>
          </w:p>
        </w:tc>
        <w:tc>
          <w:tcPr>
            <w:tcW w:w="1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income attributable to Vera Bradley, Inc.</w:t>
            </w:r>
          </w:p>
        </w:tc>
        <w:tc>
          <w:tcPr>
            <w:tcW w:w="19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920" w:type="dxa"/>
            <w:vAlign w:val="bottom"/>
            <w:vMerge w:val="restart"/>
          </w:tcPr>
          <w:p>
            <w:pPr>
              <w:jc w:val="right"/>
              <w:ind w:right="729"/>
              <w:spacing w:after="0"/>
              <w:rPr>
                <w:sz w:val="20"/>
                <w:szCs w:val="20"/>
                <w:color w:val="auto"/>
              </w:rPr>
            </w:pPr>
            <w:r>
              <w:rPr>
                <w:rFonts w:ascii="Times New Roman" w:cs="Times New Roman" w:eastAsia="Times New Roman" w:hAnsi="Times New Roman"/>
                <w:sz w:val="14"/>
                <w:szCs w:val="14"/>
                <w:color w:val="auto"/>
              </w:rPr>
              <w:t>34</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46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0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net revenues by operating segment, both in dollars and as a percentage of our net revenues, and Vera Bradley full-line and outlet store data for the last three fiscal years: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 xml:space="preserve">Fiscal Year Ended </w:t>
            </w:r>
            <w:r>
              <w:rPr>
                <w:rFonts w:ascii="Times New Roman" w:cs="Times New Roman" w:eastAsia="Times New Roman" w:hAnsi="Times New Roman"/>
                <w:sz w:val="18"/>
                <w:szCs w:val="18"/>
                <w:b w:val="1"/>
                <w:bCs w:val="1"/>
                <w:color w:val="auto"/>
                <w:w w:val="98"/>
                <w:vertAlign w:val="superscript"/>
              </w:rPr>
              <w:t>(1)</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 in thousands, except as otherwise indicated)</w:t>
            </w:r>
          </w:p>
        </w:tc>
        <w:tc>
          <w:tcPr>
            <w:tcW w:w="280" w:type="dxa"/>
            <w:vAlign w:val="bottom"/>
          </w:tcPr>
          <w:p>
            <w:pPr>
              <w:spacing w:after="0"/>
              <w:rPr>
                <w:sz w:val="8"/>
                <w:szCs w:val="8"/>
                <w:color w:val="auto"/>
              </w:rPr>
            </w:pPr>
          </w:p>
        </w:tc>
        <w:tc>
          <w:tcPr>
            <w:tcW w:w="134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1"/>
                <w:szCs w:val="11"/>
                <w:b w:val="1"/>
                <w:bCs w:val="1"/>
                <w:color w:val="auto"/>
              </w:rPr>
              <w:t>February 1,</w:t>
            </w:r>
          </w:p>
        </w:tc>
        <w:tc>
          <w:tcPr>
            <w:tcW w:w="160" w:type="dxa"/>
            <w:vAlign w:val="bottom"/>
          </w:tcPr>
          <w:p>
            <w:pPr>
              <w:spacing w:after="0"/>
              <w:rPr>
                <w:sz w:val="8"/>
                <w:szCs w:val="8"/>
                <w:color w:val="auto"/>
              </w:rPr>
            </w:pPr>
          </w:p>
        </w:tc>
        <w:tc>
          <w:tcPr>
            <w:tcW w:w="144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1"/>
                <w:szCs w:val="11"/>
                <w:b w:val="1"/>
                <w:bCs w:val="1"/>
                <w:color w:val="auto"/>
              </w:rPr>
              <w:t>February 3,</w:t>
            </w:r>
          </w:p>
        </w:tc>
        <w:tc>
          <w:tcPr>
            <w:tcW w:w="280" w:type="dxa"/>
            <w:vAlign w:val="bottom"/>
          </w:tcPr>
          <w:p>
            <w:pPr>
              <w:spacing w:after="0"/>
              <w:rPr>
                <w:sz w:val="8"/>
                <w:szCs w:val="8"/>
                <w:color w:val="auto"/>
              </w:rPr>
            </w:pPr>
          </w:p>
        </w:tc>
        <w:tc>
          <w:tcPr>
            <w:tcW w:w="1240" w:type="dxa"/>
            <w:vAlign w:val="bottom"/>
          </w:tcPr>
          <w:p>
            <w:pPr>
              <w:jc w:val="center"/>
              <w:ind w:right="212"/>
              <w:spacing w:after="0" w:line="99" w:lineRule="exact"/>
              <w:rPr>
                <w:sz w:val="20"/>
                <w:szCs w:val="20"/>
                <w:color w:val="auto"/>
              </w:rPr>
            </w:pPr>
            <w:r>
              <w:rPr>
                <w:rFonts w:ascii="Times New Roman" w:cs="Times New Roman" w:eastAsia="Times New Roman" w:hAnsi="Times New Roman"/>
                <w:sz w:val="11"/>
                <w:szCs w:val="11"/>
                <w:b w:val="1"/>
                <w:bCs w:val="1"/>
                <w:color w:val="auto"/>
              </w:rPr>
              <w:t>January 28,</w:t>
            </w:r>
          </w:p>
        </w:tc>
        <w:tc>
          <w:tcPr>
            <w:tcW w:w="0" w:type="dxa"/>
            <w:vAlign w:val="bottom"/>
          </w:tcPr>
          <w:p>
            <w:pPr>
              <w:spacing w:after="0"/>
              <w:rPr>
                <w:sz w:val="1"/>
                <w:szCs w:val="1"/>
                <w:color w:val="auto"/>
              </w:rPr>
            </w:pPr>
          </w:p>
        </w:tc>
      </w:tr>
      <w:tr>
        <w:trPr>
          <w:trHeight w:val="153"/>
        </w:trPr>
        <w:tc>
          <w:tcPr>
            <w:tcW w:w="652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6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Segment:</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VB Direct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257,609</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309,910</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328,231</w:t>
            </w: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VB Indirect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61,186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73,803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73,316</w:t>
            </w:r>
          </w:p>
        </w:tc>
        <w:tc>
          <w:tcPr>
            <w:tcW w:w="0" w:type="dxa"/>
            <w:vAlign w:val="bottom"/>
          </w:tcPr>
          <w:p>
            <w:pPr>
              <w:spacing w:after="0"/>
              <w:rPr>
                <w:sz w:val="1"/>
                <w:szCs w:val="1"/>
                <w:color w:val="auto"/>
              </w:rPr>
            </w:pPr>
          </w:p>
        </w:tc>
      </w:tr>
      <w:tr>
        <w:trPr>
          <w:trHeight w:val="18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Pura Vida</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53,172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rPr>
              <w:t>87,073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98,414</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371,967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470,786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499,961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 Net Revenues by Segment: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5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VB Direct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65.6 %</w:t>
            </w:r>
          </w:p>
        </w:tc>
        <w:tc>
          <w:tcPr>
            <w:tcW w:w="0" w:type="dxa"/>
            <w:vAlign w:val="bottom"/>
          </w:tcPr>
          <w:p>
            <w:pPr>
              <w:spacing w:after="0"/>
              <w:rPr>
                <w:sz w:val="1"/>
                <w:szCs w:val="1"/>
                <w:color w:val="auto"/>
              </w:rPr>
            </w:pP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VB Indirect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Pura Vida</w:t>
            </w: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0" w:type="dxa"/>
            <w:vAlign w:val="bottom"/>
          </w:tcPr>
          <w:p>
            <w:pPr>
              <w:spacing w:after="0"/>
              <w:rPr>
                <w:sz w:val="1"/>
                <w:szCs w:val="1"/>
                <w:color w:val="auto"/>
              </w:rPr>
            </w:pPr>
          </w:p>
        </w:tc>
      </w:tr>
      <w:tr>
        <w:trPr>
          <w:trHeight w:val="17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6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gridSpan w:val="2"/>
          </w:tcPr>
          <w:p>
            <w:pPr>
              <w:jc w:val="center"/>
              <w:ind w:right="380"/>
              <w:spacing w:after="0" w:line="108" w:lineRule="exact"/>
              <w:rPr>
                <w:sz w:val="20"/>
                <w:szCs w:val="20"/>
                <w:color w:val="auto"/>
              </w:rPr>
            </w:pPr>
            <w:r>
              <w:rPr>
                <w:rFonts w:ascii="Times New Roman" w:cs="Times New Roman" w:eastAsia="Times New Roman" w:hAnsi="Times New Roman"/>
                <w:sz w:val="11"/>
                <w:szCs w:val="11"/>
                <w:b w:val="1"/>
                <w:bCs w:val="1"/>
                <w:color w:val="auto"/>
              </w:rPr>
              <w:t>February 1,</w:t>
            </w:r>
          </w:p>
        </w:tc>
        <w:tc>
          <w:tcPr>
            <w:tcW w:w="160" w:type="dxa"/>
            <w:vAlign w:val="bottom"/>
          </w:tcPr>
          <w:p>
            <w:pPr>
              <w:spacing w:after="0"/>
              <w:rPr>
                <w:sz w:val="9"/>
                <w:szCs w:val="9"/>
                <w:color w:val="auto"/>
              </w:rPr>
            </w:pPr>
          </w:p>
        </w:tc>
        <w:tc>
          <w:tcPr>
            <w:tcW w:w="144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1"/>
                <w:szCs w:val="11"/>
                <w:b w:val="1"/>
                <w:bCs w:val="1"/>
                <w:color w:val="auto"/>
              </w:rPr>
              <w:t>February 3,</w:t>
            </w:r>
          </w:p>
        </w:tc>
        <w:tc>
          <w:tcPr>
            <w:tcW w:w="280" w:type="dxa"/>
            <w:vAlign w:val="bottom"/>
          </w:tcPr>
          <w:p>
            <w:pPr>
              <w:spacing w:after="0"/>
              <w:rPr>
                <w:sz w:val="9"/>
                <w:szCs w:val="9"/>
                <w:color w:val="auto"/>
              </w:rPr>
            </w:pPr>
          </w:p>
        </w:tc>
        <w:tc>
          <w:tcPr>
            <w:tcW w:w="1240" w:type="dxa"/>
            <w:vAlign w:val="bottom"/>
          </w:tcPr>
          <w:p>
            <w:pPr>
              <w:jc w:val="center"/>
              <w:ind w:right="212"/>
              <w:spacing w:after="0" w:line="108" w:lineRule="exact"/>
              <w:rPr>
                <w:sz w:val="20"/>
                <w:szCs w:val="20"/>
                <w:color w:val="auto"/>
              </w:rPr>
            </w:pPr>
            <w:r>
              <w:rPr>
                <w:rFonts w:ascii="Times New Roman" w:cs="Times New Roman" w:eastAsia="Times New Roman" w:hAnsi="Times New Roman"/>
                <w:sz w:val="11"/>
                <w:szCs w:val="11"/>
                <w:b w:val="1"/>
                <w:bCs w:val="1"/>
                <w:color w:val="auto"/>
              </w:rPr>
              <w:t>January 28,</w:t>
            </w:r>
          </w:p>
        </w:tc>
        <w:tc>
          <w:tcPr>
            <w:tcW w:w="0" w:type="dxa"/>
            <w:vAlign w:val="bottom"/>
          </w:tcPr>
          <w:p>
            <w:pPr>
              <w:spacing w:after="0"/>
              <w:rPr>
                <w:sz w:val="1"/>
                <w:szCs w:val="1"/>
                <w:color w:val="auto"/>
              </w:rPr>
            </w:pPr>
          </w:p>
        </w:tc>
      </w:tr>
      <w:tr>
        <w:trPr>
          <w:trHeight w:val="153"/>
        </w:trPr>
        <w:tc>
          <w:tcPr>
            <w:tcW w:w="65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65"/>
        </w:trPr>
        <w:tc>
          <w:tcPr>
            <w:tcW w:w="65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4"/>
                <w:szCs w:val="14"/>
                <w:b w:val="1"/>
                <w:bCs w:val="1"/>
                <w:color w:val="auto"/>
              </w:rPr>
              <w:t xml:space="preserve">Vera Bradley Store Data </w:t>
            </w:r>
            <w:r>
              <w:rPr>
                <w:rFonts w:ascii="Times New Roman" w:cs="Times New Roman" w:eastAsia="Times New Roman" w:hAnsi="Times New Roman"/>
                <w:sz w:val="18"/>
                <w:szCs w:val="18"/>
                <w:b w:val="1"/>
                <w:bCs w:val="1"/>
                <w:color w:val="auto"/>
                <w:vertAlign w:val="superscript"/>
              </w:rPr>
              <w:t>(3)</w:t>
            </w: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stores opened during period</w:t>
            </w:r>
          </w:p>
        </w:tc>
        <w:tc>
          <w:tcPr>
            <w:tcW w:w="28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stores closed during period</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stores open at end of period</w:t>
            </w:r>
          </w:p>
        </w:tc>
        <w:tc>
          <w:tcPr>
            <w:tcW w:w="28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Comparable sales (including e-commerce) decrease </w:t>
            </w:r>
            <w:r>
              <w:rPr>
                <w:rFonts w:ascii="Times New Roman" w:cs="Times New Roman" w:eastAsia="Times New Roman" w:hAnsi="Times New Roman"/>
                <w:sz w:val="18"/>
                <w:szCs w:val="18"/>
                <w:color w:val="auto"/>
                <w:vertAlign w:val="superscript"/>
              </w:rPr>
              <w:t>(4)</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gross square footage at end of period</w:t>
            </w:r>
          </w:p>
        </w:tc>
        <w:tc>
          <w:tcPr>
            <w:tcW w:w="28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387,510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375,198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381,664</w:t>
            </w: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Average net revenues per gross square foot </w:t>
            </w:r>
            <w:r>
              <w:rPr>
                <w:rFonts w:ascii="Times New Roman" w:cs="Times New Roman" w:eastAsia="Times New Roman" w:hAnsi="Times New Roman"/>
                <w:sz w:val="18"/>
                <w:szCs w:val="18"/>
                <w:color w:val="auto"/>
                <w:vertAlign w:val="superscript"/>
              </w:rPr>
              <w:t>(5)</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20" w:hanging="455"/>
        <w:spacing w:after="0" w:line="260" w:lineRule="auto"/>
        <w:tabs>
          <w:tab w:leader="none" w:pos="45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utilizes a 52-53 week fiscal year ending on the Saturday closest to January 31. Fiscal years 2025 and 2023 consisted of 52 weeks. Fiscal year 2024 consisted of 53 weeks. The extra week in fiscal 2024 contributed approximately $6.0 million in net revenues and added an estimated $0.01 to diluted net income per share in fiscal 2024. By segment, the extra week contributed net revenues of approximately $2.8 million to Direct, $2.1 million to Indirect, and $1.1 million to Pura Vida in fiscal 2024.</w:t>
      </w:r>
    </w:p>
    <w:p>
      <w:pPr>
        <w:ind w:left="460" w:right="260" w:hanging="455"/>
        <w:spacing w:after="0" w:line="253" w:lineRule="auto"/>
        <w:tabs>
          <w:tab w:leader="none" w:pos="45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charges, related primarily to underperforming stores, totaled $2.6 million, and $1.4 million during the fiscal years ended February 1, 2025, and January 28, 2023, respectively. There were no store impairment charges in fiscal 2024.</w:t>
      </w:r>
    </w:p>
    <w:p>
      <w:pPr>
        <w:ind w:left="440" w:hanging="435"/>
        <w:spacing w:after="0"/>
        <w:tabs>
          <w:tab w:leader="none" w:pos="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Vera Bradley full-line and outlet stores.</w:t>
      </w:r>
    </w:p>
    <w:p>
      <w:pPr>
        <w:spacing w:after="0" w:line="8" w:lineRule="exact"/>
        <w:rPr>
          <w:rFonts w:ascii="Times New Roman" w:cs="Times New Roman" w:eastAsia="Times New Roman" w:hAnsi="Times New Roman"/>
          <w:sz w:val="14"/>
          <w:szCs w:val="14"/>
          <w:color w:val="auto"/>
        </w:rPr>
      </w:pPr>
    </w:p>
    <w:p>
      <w:pPr>
        <w:jc w:val="both"/>
        <w:ind w:left="460" w:hanging="455"/>
        <w:spacing w:after="0" w:line="253" w:lineRule="auto"/>
        <w:tabs>
          <w:tab w:leader="none" w:pos="45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Comparable sales are calculated based upon stores that have been open for at least 12 full fiscal months and net revenues from e-commerce operations.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 Calculation excludes sales for the fifty-third week in fiscal 2024.</w:t>
      </w:r>
    </w:p>
    <w:p>
      <w:pPr>
        <w:jc w:val="both"/>
        <w:ind w:left="460" w:right="40" w:hanging="455"/>
        <w:spacing w:after="0" w:line="259" w:lineRule="auto"/>
        <w:tabs>
          <w:tab w:leader="none" w:pos="45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Calculation excludes sales for the fifty-third week in fiscal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2025 Compared to Fiscal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Revenues</w:t>
      </w:r>
    </w:p>
    <w:p>
      <w:pPr>
        <w:spacing w:after="0" w:line="8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For fiscal 2025, net revenues decreased $98.8 million, or 21.0%, to $372.0 million, from $470.8 million for fiscal 2024. Fiscal 2024 net revenues also include approximately $6.0 million attributable to the extra week in fiscal 2024.</w:t>
      </w:r>
    </w:p>
    <w:p>
      <w:pPr>
        <w:spacing w:after="0" w:line="80"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VB Direct. </w:t>
      </w:r>
      <w:r>
        <w:rPr>
          <w:rFonts w:ascii="Times New Roman" w:cs="Times New Roman" w:eastAsia="Times New Roman" w:hAnsi="Times New Roman"/>
          <w:sz w:val="14"/>
          <w:szCs w:val="14"/>
          <w:color w:val="auto"/>
        </w:rPr>
        <w:t>For fiscal 2025, net revenues decreased $52.3 million, or 16.9%, to $257.6 million, from $309.9 million for fiscal 2024. Vera Bradley comparable sales decreased $49.6 million, or 16.6%,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includes a 22.2% decrease in comparable store sales as well as a 7.3% decrease in e-commerce sales. The decrease in comparable sales and comparable store sales was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impacted by reduced traffic, conversion, and units sold primarily in the outlet channel as well as the full-line channel. Fiscal 2024 net revenues also include approximately $2.8 million attributed to the extra week in fiscal 2024.</w:t>
      </w:r>
    </w:p>
    <w:p>
      <w:pPr>
        <w:spacing w:after="0" w:line="80"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VB Indirect. </w:t>
      </w:r>
      <w:r>
        <w:rPr>
          <w:rFonts w:ascii="Times New Roman" w:cs="Times New Roman" w:eastAsia="Times New Roman" w:hAnsi="Times New Roman"/>
          <w:sz w:val="14"/>
          <w:szCs w:val="14"/>
          <w:color w:val="auto"/>
        </w:rPr>
        <w:t>For fiscal 2025, net revenues decreased $12.6 million, or 17.1%, to $61.2 million, from $73.8 million for fiscal 2024. The decrease is primarily driven by decreased specialty and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indirect retailer sales resulting from reduced customer count and order volume, as well as a decrease in liquidation orders. These decreases were partially offset by an increase in certain key account orders. Fiscal 2024 net revenues also include approximately $2.1 million attributed to the extra week in fiscal 2024.</w:t>
      </w:r>
    </w:p>
    <w:p>
      <w:pPr>
        <w:spacing w:after="0" w:line="9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i w:val="1"/>
          <w:iCs w:val="1"/>
          <w:color w:val="auto"/>
        </w:rPr>
        <w:t>Pura Vida</w:t>
      </w:r>
      <w:r>
        <w:rPr>
          <w:rFonts w:ascii="Times New Roman" w:cs="Times New Roman" w:eastAsia="Times New Roman" w:hAnsi="Times New Roman"/>
          <w:sz w:val="14"/>
          <w:szCs w:val="14"/>
          <w:color w:val="auto"/>
        </w:rPr>
        <w:t>. For fiscal 2025, net revenues decreased $33.9 million, or 38.9%, to $53.2 million, from $87.1 million for fiscal 2024. The decrease was primarily due to a decrease in e-commerce sales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due to a continued decline in social and digital media effectiveness, as well as decreased wholesale sales, partially offset by an increase in retail store sales. Fiscal 2024 net revenues also include approximately $1.1 million attributed to the extra week in fiscal 2024.</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Gross Profit</w:t>
      </w:r>
    </w:p>
    <w:p>
      <w:pPr>
        <w:spacing w:after="0" w:line="16"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14"/>
          <w:szCs w:val="14"/>
          <w:color w:val="auto"/>
        </w:rPr>
        <w:t>For fiscal 2025, gross profit decreased $69.6 million, or 27.1%, to $187.8 million, from $256.4 million for fiscal 2024. As a percentage of net revenues, gross profit decreased to 50.2% for fiscal 2025, from 54.5% for fiscal 2024. The decrease in consolidated gross profit as a percentage of net revenues for the fiscal year was driven by sales channel mix, reduced margins for indirect liquidation sales, and inventory adjustments related to excess inventory in the Pura Vida segment.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 (“SG&amp;A”)</w:t>
      </w:r>
    </w:p>
    <w:p>
      <w:pPr>
        <w:spacing w:after="0" w:line="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For fiscal 2025, SG&amp;A expenses decreased $17.7 million, or 7.3%, to $223.8 million, from $241.5 million for fiscal 2024. As a percentage of net revenues, SG&amp;A expenses were 60.2% and 51.3% for fiscal 2025 and fiscal 2024, respectively. SG&amp;A expenses related to Vera Bradley and corporate unallocated were $186.9 million compared to $192.1 million in the comparable prior-year period. SG&amp;A expenses related to Pura Vida were $36.9 million compared to $49.4 million in the comparable prior-year period. The decrease in consolidated SG&amp;A expenses for fiscal 2025 was primarily due to a decrease in employee-related expenses of $13.4 million due to a reduction in headcount and incentive compensation; a $2.6 million decrease in selling expenses due to decreased sales; decreased advertising of $2.5 million, primarily related to Pura Vida variable advertising due to decreased sales, partially offset by Vera Bradley advertising largely related to Project Restoration; a $1.6 million decrease in intangible asset amortization; and $0.2 million in other net expense reductions. These decreases were partially offset by an increase of $2.6 million for property, plant, and equipment impairment charges in the current year.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Intangible Assets</w:t>
      </w:r>
    </w:p>
    <w:p>
      <w:pPr>
        <w:spacing w:after="0" w:line="74"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Fiscal 2025 included a $6.2 million charge for impairment of the indefinite-lived Pura Vida brand intangible asset, which reflects a full impairment and is recorded within the Pura Vida segment. A $5.4 million impairment charge of the indefinite-lived Pura Vida brand intangible asset was recorded in fiscal 2024 within the Pura Vida segment. For additional information, refer to Note 15 of the Consolidated Financial Statements herein.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fiscal 2025, net other income totaled $0.9 million, consistent with the prior year.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(Loss) Income</w:t>
      </w:r>
    </w:p>
    <w:p>
      <w:pPr>
        <w:spacing w:after="0" w:line="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fiscal 2025, there was an operating loss of $(42.4) million, a $52.8 million decrease, or 505.7%, from operating income of $10.4 million for fiscal 2024. As a percentage of net revenues, operating (loss) income was (11.4)% and 2.2% for fiscal 2025 and fiscal 2024, respectively. Operating (loss) income decreased due to the factors described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additional information about our operating (loss) income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27"/>
        </w:trPr>
        <w:tc>
          <w:tcPr>
            <w:tcW w:w="5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February 1,</w:t>
            </w:r>
          </w:p>
        </w:tc>
        <w:tc>
          <w:tcPr>
            <w:tcW w:w="42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February 3,</w:t>
            </w:r>
          </w:p>
        </w:tc>
        <w:tc>
          <w:tcPr>
            <w:tcW w:w="320" w:type="dxa"/>
            <w:vAlign w:val="bottom"/>
          </w:tcPr>
          <w:p>
            <w:pPr>
              <w:spacing w:after="0"/>
              <w:rPr>
                <w:sz w:val="11"/>
                <w:szCs w:val="11"/>
                <w:color w:val="auto"/>
              </w:rPr>
            </w:pPr>
          </w:p>
        </w:tc>
        <w:tc>
          <w:tcPr>
            <w:tcW w:w="1100" w:type="dxa"/>
            <w:vAlign w:val="bottom"/>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w:t>
            </w:r>
          </w:p>
        </w:tc>
        <w:tc>
          <w:tcPr>
            <w:tcW w:w="1640" w:type="dxa"/>
            <w:vAlign w:val="bottom"/>
            <w:gridSpan w:val="2"/>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4"/>
        </w:trPr>
        <w:tc>
          <w:tcPr>
            <w:tcW w:w="5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6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 Income:</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VB Direct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center"/>
              <w:ind w:left="595"/>
              <w:spacing w:after="0"/>
              <w:rPr>
                <w:sz w:val="20"/>
                <w:szCs w:val="20"/>
                <w:color w:val="auto"/>
              </w:rPr>
            </w:pPr>
            <w:r>
              <w:rPr>
                <w:rFonts w:ascii="Times New Roman" w:cs="Times New Roman" w:eastAsia="Times New Roman" w:hAnsi="Times New Roman"/>
                <w:sz w:val="14"/>
                <w:szCs w:val="14"/>
                <w:color w:val="auto"/>
              </w:rPr>
              <w:t>25,240</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61,873</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(36,633)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(59.2)%</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VB Indirect</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left="595"/>
              <w:spacing w:after="0"/>
              <w:rPr>
                <w:sz w:val="20"/>
                <w:szCs w:val="20"/>
                <w:color w:val="auto"/>
              </w:rPr>
            </w:pPr>
            <w:r>
              <w:rPr>
                <w:rFonts w:ascii="Times New Roman" w:cs="Times New Roman" w:eastAsia="Times New Roman" w:hAnsi="Times New Roman"/>
                <w:sz w:val="14"/>
                <w:szCs w:val="14"/>
                <w:color w:val="auto"/>
              </w:rPr>
              <w:t>15,414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Pura Vida</w:t>
            </w:r>
          </w:p>
        </w:tc>
        <w:tc>
          <w:tcPr>
            <w:tcW w:w="240" w:type="dxa"/>
            <w:vAlign w:val="bottom"/>
          </w:tcPr>
          <w:p>
            <w:pPr>
              <w:spacing w:after="0"/>
              <w:rPr>
                <w:sz w:val="15"/>
                <w:szCs w:val="15"/>
                <w:color w:val="auto"/>
              </w:rPr>
            </w:pPr>
          </w:p>
        </w:tc>
        <w:tc>
          <w:tcPr>
            <w:tcW w:w="1180" w:type="dxa"/>
            <w:vAlign w:val="bottom"/>
          </w:tcPr>
          <w:p>
            <w:pPr>
              <w:jc w:val="center"/>
              <w:ind w:left="575"/>
              <w:spacing w:after="0"/>
              <w:rPr>
                <w:sz w:val="20"/>
                <w:szCs w:val="20"/>
                <w:color w:val="auto"/>
              </w:rPr>
            </w:pPr>
            <w:r>
              <w:rPr>
                <w:rFonts w:ascii="Times New Roman" w:cs="Times New Roman" w:eastAsia="Times New Roman" w:hAnsi="Times New Roman"/>
                <w:sz w:val="14"/>
                <w:szCs w:val="14"/>
                <w:color w:val="auto"/>
              </w:rPr>
              <w:t>(15,121)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(551.5)%</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Unallocated corporate expenses</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center"/>
              <w:ind w:left="575"/>
              <w:spacing w:after="0"/>
              <w:rPr>
                <w:sz w:val="20"/>
                <w:szCs w:val="20"/>
                <w:color w:val="auto"/>
              </w:rPr>
            </w:pPr>
            <w:r>
              <w:rPr>
                <w:rFonts w:ascii="Times New Roman" w:cs="Times New Roman" w:eastAsia="Times New Roman" w:hAnsi="Times New Roman"/>
                <w:sz w:val="14"/>
                <w:szCs w:val="14"/>
                <w:color w:val="auto"/>
              </w:rPr>
              <w:t>(67,889)</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(73,389)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center"/>
              <w:ind w:left="575"/>
              <w:spacing w:after="0"/>
              <w:rPr>
                <w:sz w:val="20"/>
                <w:szCs w:val="20"/>
                <w:color w:val="auto"/>
              </w:rPr>
            </w:pPr>
            <w:r>
              <w:rPr>
                <w:rFonts w:ascii="Times New Roman" w:cs="Times New Roman" w:eastAsia="Times New Roman" w:hAnsi="Times New Roman"/>
                <w:sz w:val="14"/>
                <w:szCs w:val="14"/>
                <w:color w:val="auto"/>
              </w:rPr>
              <w:t>(42,356)</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(52,798)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505.6 %</w:t>
            </w: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VB Direct</w:t>
      </w:r>
      <w:r>
        <w:rPr>
          <w:rFonts w:ascii="Times New Roman" w:cs="Times New Roman" w:eastAsia="Times New Roman" w:hAnsi="Times New Roman"/>
          <w:sz w:val="14"/>
          <w:szCs w:val="14"/>
          <w:color w:val="auto"/>
        </w:rPr>
        <w:t>. For fiscal 2025, operating income decreased $36.6 million, or 59.2%. As a percentage of VB Direct segment net revenues, operating income in the VB Direct segment was 9.8% and</w:t>
      </w:r>
    </w:p>
    <w:p>
      <w:pPr>
        <w:spacing w:after="0" w:line="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20.0% for fiscals 2025 and 2024, respectively. The decrease in operating income as a percentage of VB Direct segment net revenues was primarily due to decreased sales, a decrease in gross margin as a percent of net revenues driven by a change in sales channel mix, and SG&amp;A expense deleverage associated with decreased sales.</w:t>
      </w:r>
    </w:p>
    <w:p>
      <w:pPr>
        <w:spacing w:after="0" w:line="3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i w:val="1"/>
          <w:iCs w:val="1"/>
          <w:color w:val="auto"/>
        </w:rPr>
        <w:t>VB Indirect</w:t>
      </w:r>
      <w:r>
        <w:rPr>
          <w:rFonts w:ascii="Times New Roman" w:cs="Times New Roman" w:eastAsia="Times New Roman" w:hAnsi="Times New Roman"/>
          <w:sz w:val="14"/>
          <w:szCs w:val="14"/>
          <w:color w:val="auto"/>
        </w:rPr>
        <w:t>. For fiscal 2025, operating income decreased $8.9 million, or 36.5%. As a percentage of VB Indirect segment net revenues, operating income in the VB Indirect segment was 25.2%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32.9% for fiscals 2025 and 2024, respectively. The decrease in operating income as a percentage of VB Indirect segment net revenues was primarily due to reduced margin for indirect liquidations sales, an increase in wholesale discounting, and SG&amp;A expense deleverage resulting from decreased sales.</w:t>
      </w:r>
    </w:p>
    <w:p>
      <w:pPr>
        <w:spacing w:after="0" w:line="17"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Pura Vida. </w:t>
      </w:r>
      <w:r>
        <w:rPr>
          <w:rFonts w:ascii="Times New Roman" w:cs="Times New Roman" w:eastAsia="Times New Roman" w:hAnsi="Times New Roman"/>
          <w:sz w:val="14"/>
          <w:szCs w:val="14"/>
          <w:color w:val="auto"/>
        </w:rPr>
        <w:t>For fiscal 2025, operating loss increased $12.8 million, or 551.5%. As a percentage of Pura Vida segment net revenues, operating loss in the Pura Vida segment was (28.4)% and (2.7)%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fiscals 2025 and 2024, respectively. The increase in operating loss as a percentage of Pura Vida net revenues was primarily due to decreased sales, increase in inventory reserves, SG&amp;A expense deleverage associated with decreased sales, and increased promotional activity.</w:t>
      </w:r>
    </w:p>
    <w:p>
      <w:pPr>
        <w:spacing w:after="0" w:line="1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i w:val="1"/>
          <w:iCs w:val="1"/>
          <w:color w:val="auto"/>
        </w:rPr>
        <w:t>Corporate Unallocated</w:t>
      </w:r>
      <w:r>
        <w:rPr>
          <w:rFonts w:ascii="Times New Roman" w:cs="Times New Roman" w:eastAsia="Times New Roman" w:hAnsi="Times New Roman"/>
          <w:sz w:val="14"/>
          <w:szCs w:val="14"/>
          <w:color w:val="auto"/>
        </w:rPr>
        <w:t>. For fiscal 2025, corporate unallocated expenses decreased $5.5 million, or 7.5% to $67.9 million from $73.4 million in the prior-year period. The decrease in corporate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unallocated expenses was primarily due to a $6.2 million decrease in employee related expenses including incentive compensation and salaries resulting from headcount reductions and $0.2 million in net other expense reductions, partially offset by an increase of $0.6 million in advertising related to Project Restoration and an increase in professional fees of $0.3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 Net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fiscal 2025, net interest income increased $0.2 million to $1.1 million from $0.9 million in fiscal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74"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For fiscal 2025, we recorded income tax expense of $21.0 million at an effective tax rate of (50.8)%, compared to income tax expense of $3.5 million at an effective tax rate of 30.8% for fiscal 2024. The effective tax rate change was primarily attributable to the full valuation allowance recorded against the Company's net deferred tax assets, as well as the relative impact of permanent and discrete items in the current-year period compared to the prior-year period which largely relates to non-deductible executive compensation.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(Loss) Income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fiscal 2025, there was a net loss of $(62.2) million, a $70.0 million decrease, from net income of $7.8 million in fiscal 2024 due to the factors described in the captions above.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2024 Compared to Fiscal 2023</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the Company's Annual Report on Form 10-K filed with the SEC on March 29, 2024, for a comparison of fiscal 2024 to fiscal 2023 operating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primary sources of liquidity are cash and cash equivalents and cash flow from operations. We also have access to additional liquidity, if needed, through borrowings under our $75.0 million asset-based revolving credit agreement (the “Credit Agreement”). There was no debt outstanding under the Credit Agreement as of February 1, 2025.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16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We believe that cash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 Analysis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operating, investing, and financing activities is shown in the following table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06"/>
        </w:trPr>
        <w:tc>
          <w:tcPr>
            <w:tcW w:w="6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gridSpan w:val="2"/>
          </w:tcPr>
          <w:p>
            <w:pPr>
              <w:ind w:left="160"/>
              <w:spacing w:after="0" w:line="106" w:lineRule="exact"/>
              <w:rPr>
                <w:sz w:val="20"/>
                <w:szCs w:val="20"/>
                <w:color w:val="auto"/>
              </w:rPr>
            </w:pPr>
            <w:r>
              <w:rPr>
                <w:rFonts w:ascii="Times New Roman" w:cs="Times New Roman" w:eastAsia="Times New Roman" w:hAnsi="Times New Roman"/>
                <w:sz w:val="11"/>
                <w:szCs w:val="11"/>
                <w:b w:val="1"/>
                <w:bCs w:val="1"/>
                <w:color w:val="auto"/>
              </w:rPr>
              <w:t>February 1,</w:t>
            </w:r>
          </w:p>
        </w:tc>
        <w:tc>
          <w:tcPr>
            <w:tcW w:w="180" w:type="dxa"/>
            <w:vAlign w:val="bottom"/>
          </w:tcPr>
          <w:p>
            <w:pPr>
              <w:spacing w:after="0"/>
              <w:rPr>
                <w:sz w:val="9"/>
                <w:szCs w:val="9"/>
                <w:color w:val="auto"/>
              </w:rPr>
            </w:pPr>
          </w:p>
        </w:tc>
        <w:tc>
          <w:tcPr>
            <w:tcW w:w="134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1"/>
                <w:szCs w:val="11"/>
                <w:b w:val="1"/>
                <w:bCs w:val="1"/>
                <w:color w:val="auto"/>
              </w:rPr>
              <w:t>February 3,</w:t>
            </w:r>
          </w:p>
        </w:tc>
        <w:tc>
          <w:tcPr>
            <w:tcW w:w="260" w:type="dxa"/>
            <w:vAlign w:val="bottom"/>
          </w:tcPr>
          <w:p>
            <w:pPr>
              <w:spacing w:after="0"/>
              <w:rPr>
                <w:sz w:val="9"/>
                <w:szCs w:val="9"/>
                <w:color w:val="auto"/>
              </w:rPr>
            </w:pPr>
          </w:p>
        </w:tc>
        <w:tc>
          <w:tcPr>
            <w:tcW w:w="1180" w:type="dxa"/>
            <w:vAlign w:val="bottom"/>
          </w:tcPr>
          <w:p>
            <w:pPr>
              <w:jc w:val="right"/>
              <w:ind w:right="355"/>
              <w:spacing w:after="0" w:line="106" w:lineRule="exact"/>
              <w:rPr>
                <w:sz w:val="20"/>
                <w:szCs w:val="20"/>
                <w:color w:val="auto"/>
              </w:rPr>
            </w:pPr>
            <w:r>
              <w:rPr>
                <w:rFonts w:ascii="Times New Roman" w:cs="Times New Roman" w:eastAsia="Times New Roman" w:hAnsi="Times New Roman"/>
                <w:sz w:val="11"/>
                <w:szCs w:val="11"/>
                <w:b w:val="1"/>
                <w:bCs w:val="1"/>
                <w:color w:val="auto"/>
              </w:rPr>
              <w:t>January 28,</w:t>
            </w:r>
          </w:p>
        </w:tc>
      </w:tr>
      <w:tr>
        <w:trPr>
          <w:trHeight w:val="154"/>
        </w:trPr>
        <w:tc>
          <w:tcPr>
            <w:tcW w:w="67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47,993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(13,421)</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(8,239)</w:t>
            </w: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(20,105)</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(Used in) Provided by Operating Activities</w:t>
      </w:r>
    </w:p>
    <w:p>
      <w:pPr>
        <w:spacing w:after="0" w:line="8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Net cash (used in) provided by operating activities consists primarily of net (loss) income adjusted for non-cash items, including depreciation, amortization, impairment charges, deferred taxes, and stock-based compensation; and the effect of changes in assets and liabilities.</w:t>
      </w:r>
    </w:p>
    <w:p>
      <w:pPr>
        <w:spacing w:after="0" w:line="8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Net cash used in operating activities was $14.1 million during fiscal 2025, as compared to net cash provided by operating activities of $48.0 million during fiscal 2024. The increase in cash used in operating activities was primarily related to a net loss of $(62.2) million, a $70.0 million decrease, from net income in the comparable prior-year period, $0.3 million in other non-cash items, partially offset by a change in deferred income taxes of $18.6 million and property, plant, and equipment impairment charges of $2.6 million in the current year period. Additionally,there was a net use of cash in the current year period in changes in assets and liabilities of $12.9 million, primarily driven by a decrease cash provided by inventories.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Used in Investing Activities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Investing activities consisted primarily of investments and capital expenditures related to new store openings, buildings, operational equipment, and information technology investments.</w:t>
      </w:r>
    </w:p>
    <w:p>
      <w:pPr>
        <w:spacing w:after="0" w:line="136"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was $10.4 million in fiscal 2025, compared to $13.8 million in fiscal 2024. The decrease in cash used in investing activities was primarily a result of the purchase of the remaining 25% interest in Pura Vida for $10.0 million in the prior year, partially offset by an increase in property, plant, and equipment spending of $6.6 million primarily as a result of 8 store openings and Project Restoration initiatives in the current year, compared to 3 store openings in the prior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Used in Financing Activities</w:t>
      </w:r>
    </w:p>
    <w:p>
      <w:pPr>
        <w:spacing w:after="0" w:line="8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was $22.5 million in fiscal 2025 compared to $3.5 million in fiscal 2024. The increase in cash used in financing activities was primarily due to an increase in repurchases of common stock of $19.6 million.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the Company's Annual Report on Form 10-K filed with the SEC on March 29, 2024, for a comparison of fiscal 2024 to fiscal 2023 cash flow activity.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Agreement</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August 3, 2023, certain subsidiaries of the Company, JP Morgan Chase Bank, N.A., as the administrative agent, and lenders from time to time party thereto, entered into a Third Amendment (the “Third Amendment”) to the Credit Agreement.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w:t>
      </w:r>
    </w:p>
    <w:p>
      <w:pPr>
        <w:spacing w:after="0" w:line="5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For further information regarding the Credit Agreement, please see Note 6 of the Notes to Consolidated Financial Statements set forth in Part II, “Item 8. Financial Statements and Supplementary Data,”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Cash Requirements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material cash requirements from known contractual and other obligations include the following:</w:t>
      </w:r>
    </w:p>
    <w:p>
      <w:pPr>
        <w:spacing w:after="0" w:line="72"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obligations as disclosed further in Note 4 to the Notes to the Consolidated Financial Statements in Part II, Item 8 of this report;</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order commitments primarily related to inventory purchases;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cash incentives, benefits, and other employee-related costs;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Commitments for capital expenditures;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payments; and</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supply and service agreements entered into as part of our normal operations.</w:t>
      </w:r>
    </w:p>
    <w:p>
      <w:pPr>
        <w:spacing w:after="0" w:line="7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We may be subject to additional material cash requirements that are contingent upon certain events that have not yet occurred. We expect to fund these cash requirements using cash on hand, cash provided by our operations and, to the extent necessary, borrowings under our Credit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74"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9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 statements, however, have not been materially impacted by such variances. More information on all of our significant accounting policies can be found in Note 2, “Summary of Significant Accounting Policies,” in the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Inventories</w:t>
      </w:r>
    </w:p>
    <w:p>
      <w:pPr>
        <w:spacing w:after="0" w:line="8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shrinkage provision accordingly.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balance of inventory adjustments was $7.7 million and $8.1 million for these matters as of the fiscal years ended February 1, 2025, and February 3, 2024, respectively.</w:t>
      </w:r>
    </w:p>
    <w:p>
      <w:pPr>
        <w:spacing w:after="0" w:line="136"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We believe we have the ability to sell some of our retired finished goods through a number of channels, including our Vera Bradley and Pura Vida websites, the Vera Bradley online outlet site, Vera Bradley outlet stores, the Vera Bradley Annual Outlet Sale, and through third-party liquidators as needed.</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Valuation of Long-lived Assets</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Property, plant, and equipment and operating right-of-use assets are reviewed for impairment whenever events or changes in circumstances indicate that the carrying amount of an asset group may not be recoverable. In evaluating an asset group for recoverability, we estimate the future cash flows expected to result from the use of the asset group at the store level, the lowest identifiable level of cash flow, if applicable. If the sum of the estimated undiscounted future cash flows related to the asset group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 and were $2.6 million, and $1.4 million for the periods ended February 1, 2025, and January 28, 2023, respectively. No impairment charges were recorded in fiscal 2024.</w:t>
      </w:r>
    </w:p>
    <w:p>
      <w:pPr>
        <w:spacing w:after="0" w:line="10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 and Other Intangible Assets</w:t>
      </w:r>
    </w:p>
    <w:p>
      <w:pPr>
        <w:spacing w:after="0" w:line="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Prior to February 1, 2025 identifiable intangible assets consisted of the Pura Vida brand and customer relationships. Prior to fiscal 2024, the Company performed an annual impairment test for its goodwill. Goodwill was fully impaired during fiscal 2023, leaving no balance. The Pura Vida brand, an indefinite-lived asset, is not amortized but assessed for impairment at least annually or whenever events or circumstances indicate that the brand may be impaired. The Pura Vida customer relationship, a definite-lived intangible asset, is amortized over its estimated useful life and is also subject to impairment testing, similar to the Company’s other long-lived assets.</w:t>
      </w:r>
    </w:p>
    <w:p>
      <w:pPr>
        <w:spacing w:after="0" w:line="34"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4"/>
          <w:szCs w:val="14"/>
          <w:color w:val="auto"/>
        </w:rPr>
        <w:t>Our annual intangible asset impairment test may be completed through a qualitative assessment to determine if the fair value of the Pura Vida brand is more likely than not greater than the carrying amount. If we elect to bypass the qualitative assessment, or if a qualitative assessment indicates it is more likely than not that the estimated carrying value exceeds the fair value, we test for impairment using a quantitative process. Our quantitative process includes comparing the carrying value to the fair value of the Pura Vida brand, with any excess recognized as an impairment loss. Fair value is estimated using a relief-from-royalty method. The estimates and assumptions used in the determination of the fair value of the Pura Vida brand include the projected revenue growth, long-term growth rate, the royalty rate, and discount rate.</w:t>
      </w:r>
    </w:p>
    <w:p>
      <w:pPr>
        <w:spacing w:after="0" w:line="43"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4"/>
          <w:szCs w:val="14"/>
          <w:color w:val="auto"/>
        </w:rPr>
        <w:t>As of February 1, 2025, the Company had no intangible assets as it recorded a full impairment charge of the Pura Vida brand within the Pura Vida reporting unit during fiscal 2025. The Company performed a quantitative analysis of the Pura Vida brand for the annual impairment test in the second quarter of fiscal 2025, at which time no impairment was recorded. Subsequent to the annual impairment test, due to triggering events, the Company performed an additional quantitative analysis and recorded an impairment charge of $6.2 million in the fourth quarter of fiscal 2025, further described in Note 15 of the Consolidated Financial Statements herein.</w:t>
      </w:r>
    </w:p>
    <w:p>
      <w:pPr>
        <w:spacing w:after="0" w:line="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For the annual impairment analysis performed during fiscal 2024, the Company performed a quantitative analysis, as well as subsequent analyses due to triggering events, further described in Note 15 of the Notes to the Consolidated Financial Statements herein. An impairment charge of $5.4 million was recorded during fiscal 2024 for the Pura Vida brand.</w:t>
      </w:r>
    </w:p>
    <w:p>
      <w:pPr>
        <w:spacing w:after="0" w:line="2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For the annual impairment analysis performed during fiscal 2023, the Company performed a quantitative analysis, as well as subsequent analyses due to triggering events, further described in Note 15 of the Notes to the Consolidated Financial Statements herein. Impairment charges of $44.3 million and $25.0 million were recorded during fiscal 2023 for goodwill and the Pura Vida brand,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7A.</w:t>
        <w:tab/>
        <w:t>Quantitative and Qualitative Disclosures About Market Risk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7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We are subject to interest rate risk in connection with borrowings under our asset-based revolving credit agreement (the “Credit Agreement”). The Credit Agreement allows for a revolving credit commitment of $75.0 million, bearing interest at a variable rate, based on a per annum rate equal to either i) for CBFR borrowings (including swingline loans), the CB Floating Rate, where the CB Floating Rate is the greater of the prime rate or 2.5%, plus the Applicable Rate, where the Applicable Rate is a percentage spread ranging from -1.25% to -1.50%, (ii) for each Term Benchmark Borrowing, the Adjusted Term SOFR Rate, where the Adjusted Term SOFR Rate is the Term SOFR rate for such interest period plus 0.10% for the interest period in effect for such borrowing, plus the Applicable Rate, where the Applicable Rate is a percentage ranging from 1.25% to 1.50%, or (iii) for RFR Loans, the Adjusted Daily Simple SOFR Rate, where the Adjusted Daily Simple SOFR Rate is equal to the Daily Simple SOFR plus 0.10%, plus the Applicable Rate, where the Applicable Rate is a percentage ranging from 1.25% to 1.50%. The applicable CB Floating Rate, Adjusted Term SOFR Rate, Term SOFR Rate, Daily Simple SOFR, and Adjusted Daily Simple SOFR shall be determined by the administrative agent. Assuming borrowings available under the Credit Agreement are fully extended at $75.0 million, each quarter point increase or decrease in the interest rate would change our annual interest expense by approximately $0.2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Exchange Rate Risk</w:t>
      </w:r>
    </w:p>
    <w:p>
      <w:pPr>
        <w:spacing w:after="0" w:line="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source a majority of our finished goods from various suppliers primarily in Cambodia, Vietnam, Indonesia, El Salvador, China, and the Philippines. Substantially all purchases and sales involving foreign persons are denominated in U.S. dollars, and therefore we do not hedge using any derivative instruments. Historically, we have not been impacted materially by changes in exchange rates.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962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660" w:type="dxa"/>
            <w:vAlign w:val="bottom"/>
          </w:tcPr>
          <w:p>
            <w:pPr>
              <w:spacing w:after="0"/>
              <w:rPr>
                <w:sz w:val="13"/>
                <w:szCs w:val="13"/>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616"/>
        </w:trPr>
        <w:tc>
          <w:tcPr>
            <w:tcW w:w="962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1660" w:type="dxa"/>
            <w:vAlign w:val="bottom"/>
          </w:tcPr>
          <w:p>
            <w:pPr>
              <w:spacing w:after="0"/>
              <w:rPr>
                <w:sz w:val="24"/>
                <w:szCs w:val="24"/>
                <w:color w:val="auto"/>
              </w:rPr>
            </w:pPr>
          </w:p>
        </w:tc>
      </w:tr>
      <w:tr>
        <w:trPr>
          <w:trHeight w:val="35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60" w:type="dxa"/>
            <w:vAlign w:val="bottom"/>
            <w:gridSpan w:val="5"/>
          </w:tcPr>
          <w:p>
            <w:pPr>
              <w:jc w:val="center"/>
              <w:ind w:right="2680"/>
              <w:spacing w:after="0"/>
              <w:rPr>
                <w:sz w:val="20"/>
                <w:szCs w:val="20"/>
                <w:color w:val="auto"/>
              </w:rPr>
            </w:pPr>
            <w:r>
              <w:rPr>
                <w:rFonts w:ascii="Times New Roman" w:cs="Times New Roman" w:eastAsia="Times New Roman" w:hAnsi="Times New Roman"/>
                <w:sz w:val="14"/>
                <w:szCs w:val="14"/>
                <w:b w:val="1"/>
                <w:bCs w:val="1"/>
                <w:color w:val="auto"/>
                <w:w w:val="99"/>
              </w:rPr>
              <w:t>Vera Bradley, Inc.</w:t>
            </w:r>
          </w:p>
        </w:tc>
        <w:tc>
          <w:tcPr>
            <w:tcW w:w="166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360" w:type="dxa"/>
            <w:vAlign w:val="bottom"/>
            <w:gridSpan w:val="6"/>
          </w:tcPr>
          <w:p>
            <w:pPr>
              <w:jc w:val="center"/>
              <w:ind w:right="260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1660" w:type="dxa"/>
            <w:vAlign w:val="bottom"/>
          </w:tcPr>
          <w:p>
            <w:pPr>
              <w:spacing w:after="0"/>
              <w:rPr>
                <w:sz w:val="16"/>
                <w:szCs w:val="16"/>
                <w:color w:val="auto"/>
              </w:rPr>
            </w:pPr>
          </w:p>
        </w:tc>
      </w:tr>
      <w:tr>
        <w:trPr>
          <w:trHeight w:val="393"/>
        </w:trPr>
        <w:tc>
          <w:tcPr>
            <w:tcW w:w="20" w:type="dxa"/>
            <w:vAlign w:val="bottom"/>
          </w:tcPr>
          <w:p>
            <w:pPr>
              <w:spacing w:after="0"/>
              <w:rPr>
                <w:sz w:val="24"/>
                <w:szCs w:val="24"/>
                <w:color w:val="auto"/>
              </w:rPr>
            </w:pPr>
          </w:p>
        </w:tc>
        <w:tc>
          <w:tcPr>
            <w:tcW w:w="96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 xml:space="preserve">Reports of Independent Registered Public Accounting Firm </w:t>
            </w:r>
            <w:r>
              <w:rPr>
                <w:rFonts w:ascii="Times New Roman" w:cs="Times New Roman" w:eastAsia="Times New Roman" w:hAnsi="Times New Roman"/>
                <w:sz w:val="14"/>
                <w:szCs w:val="14"/>
                <w:color w:val="0E32E1"/>
              </w:rPr>
              <w:t>(PCAOB ID 34)</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Balance Sheets as of February 1, 2025, and February 3, 2024</w:t>
            </w:r>
          </w:p>
        </w:tc>
        <w:tc>
          <w:tcPr>
            <w:tcW w:w="5360" w:type="dxa"/>
            <w:vAlign w:val="bottom"/>
            <w:gridSpan w:val="6"/>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0"/>
        </w:trPr>
        <w:tc>
          <w:tcPr>
            <w:tcW w:w="20" w:type="dxa"/>
            <w:vAlign w:val="bottom"/>
          </w:tcPr>
          <w:p>
            <w:pPr>
              <w:spacing w:after="0"/>
              <w:rPr>
                <w:sz w:val="13"/>
                <w:szCs w:val="13"/>
                <w:color w:val="auto"/>
              </w:rPr>
            </w:pPr>
          </w:p>
        </w:tc>
        <w:tc>
          <w:tcPr>
            <w:tcW w:w="7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fiscal years ended February 1, 2025, February 3, 2024, and January 28, 2023</w:t>
            </w:r>
          </w:p>
        </w:tc>
        <w:tc>
          <w:tcPr>
            <w:tcW w:w="2600" w:type="dxa"/>
            <w:vAlign w:val="bottom"/>
            <w:gridSpan w:val="4"/>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0"/>
        </w:trPr>
        <w:tc>
          <w:tcPr>
            <w:tcW w:w="20" w:type="dxa"/>
            <w:vAlign w:val="bottom"/>
          </w:tcPr>
          <w:p>
            <w:pPr>
              <w:spacing w:after="0"/>
              <w:rPr>
                <w:sz w:val="13"/>
                <w:szCs w:val="13"/>
                <w:color w:val="auto"/>
              </w:rPr>
            </w:pPr>
          </w:p>
        </w:tc>
        <w:tc>
          <w:tcPr>
            <w:tcW w:w="8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(Loss) Income for the fiscal years ended February 1, 2025, February 3, 2024, and January 28, 2023</w:t>
            </w:r>
          </w:p>
        </w:tc>
        <w:tc>
          <w:tcPr>
            <w:tcW w:w="14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0"/>
        </w:trPr>
        <w:tc>
          <w:tcPr>
            <w:tcW w:w="20" w:type="dxa"/>
            <w:vAlign w:val="bottom"/>
          </w:tcPr>
          <w:p>
            <w:pPr>
              <w:spacing w:after="0"/>
              <w:rPr>
                <w:sz w:val="13"/>
                <w:szCs w:val="13"/>
                <w:color w:val="auto"/>
              </w:rPr>
            </w:pPr>
          </w:p>
        </w:tc>
        <w:tc>
          <w:tcPr>
            <w:tcW w:w="96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Consolidated Statements of Shareholders’ Equity for the fiscal years ended February 1, 2025, February 3, 2024, and January 28, 2023</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0"/>
        </w:trPr>
        <w:tc>
          <w:tcPr>
            <w:tcW w:w="20" w:type="dxa"/>
            <w:vAlign w:val="bottom"/>
          </w:tcPr>
          <w:p>
            <w:pPr>
              <w:spacing w:after="0"/>
              <w:rPr>
                <w:sz w:val="13"/>
                <w:szCs w:val="13"/>
                <w:color w:val="auto"/>
              </w:rPr>
            </w:pPr>
          </w:p>
        </w:tc>
        <w:tc>
          <w:tcPr>
            <w:tcW w:w="70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fiscal years ended February 1, 2025, February 3, 2024, and January 28, 2023</w:t>
            </w:r>
          </w:p>
        </w:tc>
        <w:tc>
          <w:tcPr>
            <w:tcW w:w="520" w:type="dxa"/>
            <w:vAlign w:val="bottom"/>
            <w:tcBorders>
              <w:top w:val="single" w:sz="8" w:color="0000FF"/>
            </w:tcBorders>
          </w:tcPr>
          <w:p>
            <w:pPr>
              <w:spacing w:after="0"/>
              <w:rPr>
                <w:sz w:val="13"/>
                <w:szCs w:val="13"/>
                <w:color w:val="auto"/>
              </w:rPr>
            </w:pPr>
          </w:p>
        </w:tc>
        <w:tc>
          <w:tcPr>
            <w:tcW w:w="2040" w:type="dxa"/>
            <w:vAlign w:val="bottom"/>
            <w:gridSpan w:val="2"/>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0"/>
        </w:trPr>
        <w:tc>
          <w:tcPr>
            <w:tcW w:w="20" w:type="dxa"/>
            <w:vAlign w:val="bottom"/>
          </w:tcPr>
          <w:p>
            <w:pPr>
              <w:spacing w:after="0"/>
              <w:rPr>
                <w:sz w:val="13"/>
                <w:szCs w:val="13"/>
                <w:color w:val="auto"/>
              </w:rPr>
            </w:pPr>
          </w:p>
        </w:tc>
        <w:tc>
          <w:tcPr>
            <w:tcW w:w="2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7120" w:type="dxa"/>
            <w:vAlign w:val="bottom"/>
            <w:gridSpan w:val="8"/>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680"/>
        </w:trPr>
        <w:tc>
          <w:tcPr>
            <w:tcW w:w="7020" w:type="dxa"/>
            <w:vAlign w:val="bottom"/>
            <w:gridSpan w:val="7"/>
          </w:tcPr>
          <w:p>
            <w:pPr>
              <w:jc w:val="center"/>
              <w:ind w:left="4209"/>
              <w:spacing w:after="0"/>
              <w:rPr>
                <w:sz w:val="20"/>
                <w:szCs w:val="20"/>
                <w:color w:val="auto"/>
              </w:rPr>
            </w:pPr>
            <w:r>
              <w:rPr>
                <w:rFonts w:ascii="Times New Roman" w:cs="Times New Roman" w:eastAsia="Times New Roman" w:hAnsi="Times New Roman"/>
                <w:sz w:val="14"/>
                <w:szCs w:val="14"/>
                <w:color w:val="auto"/>
                <w:w w:val="99"/>
              </w:rPr>
              <w:t>42</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Vera Bradley, Inc.</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7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Vera Bradley, Inc. and subsidiaries (the "Company") as of February 1, 2025 and February 3, 2024, the related consolidated statements of operations, comprehensive income (loss), shareholders' equity, and cash flows, for each of the three years in the period ended February 1, 2025, and the related notes (collectively referred to as the "financial statements"). In our opinion, the financial statements present fairly, in all material respects, the financial position of the Company as of February 1, 2025 and February 3, 2024, and the results of its operations and its cash flows for each of the three years in the period ended February 1, 2025, in conformity with accounting principles generally accepted in the United States of America.</w:t>
      </w:r>
    </w:p>
    <w:p>
      <w:pPr>
        <w:spacing w:after="0" w:line="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 xml:space="preserve">We have also audited, in accordance with the standards of the Public Company Accounting Oversight Board (United States) (PCAOB), the Company's internal control over financial reporting as of February 1, 2025,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and our report dated March 28, 2025, expressed an unqualified opinion on the Company's internal control over financial reporting.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7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43" w:lineRule="exact"/>
        <w:rPr>
          <w:sz w:val="20"/>
          <w:szCs w:val="20"/>
          <w:color w:val="auto"/>
        </w:rPr>
      </w:pPr>
    </w:p>
    <w:p>
      <w:pPr>
        <w:ind w:right="280"/>
        <w:spacing w:after="0" w:line="182" w:lineRule="exact"/>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period audit of the financial statements that was communicated or was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Indefinite-Lived Intangible Assets – Refer to Notes 2 and 15 to the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54" w:lineRule="exact"/>
        <w:rPr>
          <w:sz w:val="20"/>
          <w:szCs w:val="20"/>
          <w:color w:val="auto"/>
        </w:rPr>
      </w:pPr>
    </w:p>
    <w:p>
      <w:pPr>
        <w:ind w:right="40"/>
        <w:spacing w:after="0" w:line="182" w:lineRule="exact"/>
        <w:rPr>
          <w:sz w:val="20"/>
          <w:szCs w:val="20"/>
          <w:color w:val="auto"/>
        </w:rPr>
      </w:pPr>
      <w:r>
        <w:rPr>
          <w:rFonts w:ascii="Times New Roman" w:cs="Times New Roman" w:eastAsia="Times New Roman" w:hAnsi="Times New Roman"/>
          <w:sz w:val="14"/>
          <w:szCs w:val="14"/>
          <w:color w:val="auto"/>
        </w:rPr>
        <w:t>The Company’s annual quantitative analysis of the indefinite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lived Pura Vida brand asset (“Pura Vida brand”) for impairment involves the comparison of the fair value of the Pura Vida brand asset to its carrying value. The Company used the relief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from</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royalty method to estimate the fair value of the Pura Vida brand, which required management to make significant estimates and assumptions related to the projected revenue growth, royalty rate, and discount rate. The carrying value of the Pura Vida brand was $6.2 million as of the second quarter. Due to subsequent triggering events, the Company performed a second quantitative analysis of the carrying value of the Pura Vida brand in the fourth quarter of fiscal 2025 and recorded a full impairment charge of $6.2 million.</w:t>
      </w:r>
    </w:p>
    <w:p>
      <w:pPr>
        <w:spacing w:after="0" w:line="29" w:lineRule="exact"/>
        <w:rPr>
          <w:sz w:val="20"/>
          <w:szCs w:val="20"/>
          <w:color w:val="auto"/>
        </w:rPr>
      </w:pPr>
    </w:p>
    <w:p>
      <w:pPr>
        <w:ind w:right="20"/>
        <w:spacing w:after="0" w:line="185" w:lineRule="exact"/>
        <w:rPr>
          <w:sz w:val="20"/>
          <w:szCs w:val="20"/>
          <w:color w:val="auto"/>
        </w:rPr>
      </w:pPr>
      <w:r>
        <w:rPr>
          <w:rFonts w:ascii="Times New Roman" w:cs="Times New Roman" w:eastAsia="Times New Roman" w:hAnsi="Times New Roman"/>
          <w:sz w:val="14"/>
          <w:szCs w:val="14"/>
          <w:color w:val="auto"/>
        </w:rPr>
        <w:t>We identified the annual impairment analysis of the Pura Vida brand as a critical audit matter because of the significant judgments made by management to estimate the fair value of this indefinite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lived asset. This required a high degree of auditor judgment and an increased extent of effort, including the need to involve our fair value specialists, when performing audit procedures to evaluate the reasonableness of management’s estimates and assumptions particularly related to the projected revenue growth, royalty rate, and discount rate.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projected revenue growth, royalty rate, and discount rate for the Pura Vida brand included the following, among others:</w:t>
      </w:r>
    </w:p>
    <w:p>
      <w:pPr>
        <w:spacing w:after="0" w:line="189" w:lineRule="exact"/>
        <w:rPr>
          <w:sz w:val="20"/>
          <w:szCs w:val="20"/>
          <w:color w:val="auto"/>
        </w:rPr>
      </w:pPr>
    </w:p>
    <w:p>
      <w:pPr>
        <w:ind w:left="520" w:right="200" w:hanging="260"/>
        <w:spacing w:after="0" w:line="239"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effectiveness of controls over management’s brand impairment analysis, including those over the determination of the fair value, such as controls related to management’s forecasts of projected revenue growth, selection of royalty rate, and selection of discount rates.</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ability to accurately forecast by comparing actual results to management’s historical forecasts.</w:t>
      </w:r>
    </w:p>
    <w:p>
      <w:pPr>
        <w:spacing w:after="0" w:line="167" w:lineRule="exact"/>
        <w:rPr>
          <w:rFonts w:ascii="Times New Roman" w:cs="Times New Roman" w:eastAsia="Times New Roman" w:hAnsi="Times New Roman"/>
          <w:sz w:val="14"/>
          <w:szCs w:val="14"/>
          <w:color w:val="auto"/>
        </w:rPr>
      </w:pPr>
    </w:p>
    <w:p>
      <w:pPr>
        <w:ind w:left="520" w:hanging="260"/>
        <w:spacing w:after="0" w:line="239"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reasonableness of management’s projected revenue growth by comparing the forecasts to (1) historical results, (2) internal communications to management and the Board of Directors, and (3) forecasted information included in industry reports.</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fair value specialists, we evaluated the reasonableness of the (1) valuation methodology, and (2) discount rate and royalty rate by:</w:t>
      </w:r>
    </w:p>
    <w:p>
      <w:pPr>
        <w:spacing w:after="0" w:line="167"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Assessing the appropriateness of the valuation methodology used to determine the discount rate and royalty rate.</w:t>
      </w:r>
    </w:p>
    <w:p>
      <w:pPr>
        <w:spacing w:after="0" w:line="167"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Testing the underlying source information and the mathematical accuracy of the calculations.</w:t>
      </w:r>
    </w:p>
    <w:p>
      <w:pPr>
        <w:spacing w:after="0" w:line="17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 range of independent estimates and comparing those to the discount rate and royalty rate selected by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26" w:lineRule="auto"/>
        <w:rPr>
          <w:sz w:val="20"/>
          <w:szCs w:val="20"/>
          <w:color w:val="auto"/>
        </w:rPr>
      </w:pPr>
      <w:r>
        <w:rPr>
          <w:rFonts w:ascii="Times New Roman" w:cs="Times New Roman" w:eastAsia="Times New Roman" w:hAnsi="Times New Roman"/>
          <w:sz w:val="14"/>
          <w:szCs w:val="14"/>
          <w:color w:val="auto"/>
        </w:rPr>
        <w:t>Indianapolis, Indiana</w:t>
      </w:r>
    </w:p>
    <w:p>
      <w:pPr>
        <w:spacing w:after="0"/>
        <w:rPr>
          <w:sz w:val="20"/>
          <w:szCs w:val="20"/>
          <w:color w:val="auto"/>
        </w:rPr>
      </w:pPr>
      <w:r>
        <w:rPr>
          <w:rFonts w:ascii="Times New Roman" w:cs="Times New Roman" w:eastAsia="Times New Roman" w:hAnsi="Times New Roman"/>
          <w:sz w:val="14"/>
          <w:szCs w:val="14"/>
          <w:color w:val="auto"/>
        </w:rPr>
        <w:t>March 28,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3"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Vera Bradley, Inc.</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72" w:lineRule="exact"/>
        <w:rPr>
          <w:sz w:val="20"/>
          <w:szCs w:val="20"/>
          <w:color w:val="auto"/>
        </w:rPr>
      </w:pPr>
    </w:p>
    <w:p>
      <w:pPr>
        <w:jc w:val="both"/>
        <w:ind w:right="320"/>
        <w:spacing w:after="0" w:line="271" w:lineRule="auto"/>
        <w:rPr>
          <w:sz w:val="20"/>
          <w:szCs w:val="20"/>
          <w:color w:val="auto"/>
        </w:rPr>
      </w:pPr>
      <w:r>
        <w:rPr>
          <w:rFonts w:ascii="Times New Roman" w:cs="Times New Roman" w:eastAsia="Times New Roman" w:hAnsi="Times New Roman"/>
          <w:sz w:val="14"/>
          <w:szCs w:val="14"/>
          <w:color w:val="auto"/>
        </w:rPr>
        <w:t xml:space="preserve">We have audited the internal control over financial reporting of Vera Bradley, Inc. and subsidiaries (the “Company”) as of February 1, 2025,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the Committee of Sponsoring Organizations of the Treadway Commission (COSO). In our opinion, the Company maintained, in all material respects,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effective internal control over financial reporting as of February 1, 2025,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COSO.</w:t>
      </w:r>
    </w:p>
    <w:p>
      <w:pPr>
        <w:spacing w:after="0" w:line="4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financial statements as of and for the year ended February 1, 2025, of the Company and our report dated March 28, 2025, expressed an unqualified opinion on those financial statements.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7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26" w:lineRule="auto"/>
        <w:rPr>
          <w:sz w:val="20"/>
          <w:szCs w:val="20"/>
          <w:color w:val="auto"/>
        </w:rPr>
      </w:pPr>
      <w:r>
        <w:rPr>
          <w:rFonts w:ascii="Times New Roman" w:cs="Times New Roman" w:eastAsia="Times New Roman" w:hAnsi="Times New Roman"/>
          <w:sz w:val="14"/>
          <w:szCs w:val="14"/>
          <w:color w:val="auto"/>
        </w:rPr>
        <w:t>Indianapolis, Indiana</w:t>
      </w:r>
    </w:p>
    <w:p>
      <w:pPr>
        <w:spacing w:after="0"/>
        <w:rPr>
          <w:sz w:val="20"/>
          <w:szCs w:val="20"/>
          <w:color w:val="auto"/>
        </w:rPr>
      </w:pPr>
      <w:r>
        <w:rPr>
          <w:rFonts w:ascii="Times New Roman" w:cs="Times New Roman" w:eastAsia="Times New Roman" w:hAnsi="Times New Roman"/>
          <w:sz w:val="14"/>
          <w:szCs w:val="14"/>
          <w:color w:val="auto"/>
        </w:rPr>
        <w:t>March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February 1,</w:t>
            </w:r>
          </w:p>
        </w:tc>
        <w:tc>
          <w:tcPr>
            <w:tcW w:w="260" w:type="dxa"/>
            <w:vAlign w:val="bottom"/>
          </w:tcPr>
          <w:p>
            <w:pPr>
              <w:spacing w:after="0"/>
              <w:rPr>
                <w:sz w:val="11"/>
                <w:szCs w:val="11"/>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February 3,</w:t>
            </w:r>
          </w:p>
        </w:tc>
      </w:tr>
      <w:tr>
        <w:trPr>
          <w:trHeight w:val="153"/>
        </w:trPr>
        <w:tc>
          <w:tcPr>
            <w:tcW w:w="83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5"/>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77,303</w:t>
            </w: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17,112</w:t>
            </w: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118,278</w:t>
            </w: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taxes receivable</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12,803</w:t>
            </w:r>
          </w:p>
        </w:tc>
      </w:tr>
      <w:tr>
        <w:trPr>
          <w:trHeight w:val="171"/>
        </w:trPr>
        <w:tc>
          <w:tcPr>
            <w:tcW w:w="83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164,872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225,957</w:t>
            </w: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78,570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66,488</w:t>
            </w: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54,256</w:t>
            </w: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7,573</w:t>
            </w: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20,355</w:t>
            </w: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r>
      <w:tr>
        <w:trPr>
          <w:trHeight w:val="171"/>
        </w:trPr>
        <w:tc>
          <w:tcPr>
            <w:tcW w:w="83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306,690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380,786</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2"/>
        </w:trPr>
        <w:tc>
          <w:tcPr>
            <w:tcW w:w="83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 and Shareholders’ Equity</w:t>
            </w: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14,155</w:t>
            </w: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employment costs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12,944</w:t>
            </w: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Short-term operating lease liabilities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18,452</w:t>
            </w: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12,070</w:t>
            </w: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Income taxes payable</w:t>
            </w:r>
          </w:p>
        </w:tc>
        <w:tc>
          <w:tcPr>
            <w:tcW w:w="2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r>
      <w:tr>
        <w:trPr>
          <w:trHeight w:val="171"/>
        </w:trPr>
        <w:tc>
          <w:tcPr>
            <w:tcW w:w="83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57,993</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58,261</w:t>
            </w: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62,552</w:t>
            </w:r>
          </w:p>
        </w:tc>
      </w:tr>
      <w:tr>
        <w:trPr>
          <w:trHeight w:val="180"/>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1"/>
        </w:trPr>
        <w:tc>
          <w:tcPr>
            <w:tcW w:w="8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127,735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120,857</w:t>
            </w:r>
          </w:p>
        </w:tc>
      </w:tr>
      <w:tr>
        <w:trPr>
          <w:trHeight w:val="16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Preferred stock; 5,000 shares authorized, no shares issued or outstanding</w:t>
            </w:r>
          </w:p>
        </w:tc>
        <w:tc>
          <w:tcPr>
            <w:tcW w:w="2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8300" w:type="dxa"/>
            <w:vAlign w:val="bottom"/>
            <w:shd w:val="clear" w:color="auto" w:fill="CCEEFF"/>
          </w:tcPr>
          <w:p>
            <w:pPr>
              <w:ind w:left="160"/>
              <w:spacing w:after="0" w:line="138" w:lineRule="exact"/>
              <w:rPr>
                <w:sz w:val="20"/>
                <w:szCs w:val="20"/>
                <w:color w:val="auto"/>
              </w:rPr>
            </w:pPr>
            <w:r>
              <w:rPr>
                <w:rFonts w:ascii="Times New Roman" w:cs="Times New Roman" w:eastAsia="Times New Roman" w:hAnsi="Times New Roman"/>
                <w:sz w:val="14"/>
                <w:szCs w:val="14"/>
                <w:color w:val="auto"/>
              </w:rPr>
              <w:t>Common stock, without par value; 200,000 shares authorized, 43,535 and 43,253 shares issued and 27,701 and 30,814 outstanding,</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91"/>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respectively</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112,590</w:t>
            </w: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220,279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282,467</w:t>
            </w: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Treasury stock</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(156,820)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(135,056)</w:t>
            </w:r>
          </w:p>
        </w:tc>
      </w:tr>
      <w:tr>
        <w:trPr>
          <w:trHeight w:val="171"/>
        </w:trPr>
        <w:tc>
          <w:tcPr>
            <w:tcW w:w="8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shareholders’ equity of Vera Bradley, Inc.</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178,955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259,929</w:t>
            </w:r>
          </w:p>
        </w:tc>
      </w:tr>
      <w:tr>
        <w:trPr>
          <w:trHeight w:val="196"/>
        </w:trPr>
        <w:tc>
          <w:tcPr>
            <w:tcW w:w="8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 redeemable noncontrolling interest, and shareholders’ equity</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306,690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380,786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06"/>
        </w:trPr>
        <w:tc>
          <w:tcPr>
            <w:tcW w:w="6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gridSpan w:val="2"/>
          </w:tcPr>
          <w:p>
            <w:pPr>
              <w:ind w:left="160"/>
              <w:spacing w:after="0" w:line="106" w:lineRule="exact"/>
              <w:rPr>
                <w:sz w:val="20"/>
                <w:szCs w:val="20"/>
                <w:color w:val="auto"/>
              </w:rPr>
            </w:pPr>
            <w:r>
              <w:rPr>
                <w:rFonts w:ascii="Times New Roman" w:cs="Times New Roman" w:eastAsia="Times New Roman" w:hAnsi="Times New Roman"/>
                <w:sz w:val="11"/>
                <w:szCs w:val="11"/>
                <w:b w:val="1"/>
                <w:bCs w:val="1"/>
                <w:color w:val="auto"/>
              </w:rPr>
              <w:t>February 1,</w:t>
            </w:r>
          </w:p>
        </w:tc>
        <w:tc>
          <w:tcPr>
            <w:tcW w:w="180" w:type="dxa"/>
            <w:vAlign w:val="bottom"/>
          </w:tcPr>
          <w:p>
            <w:pPr>
              <w:spacing w:after="0"/>
              <w:rPr>
                <w:sz w:val="9"/>
                <w:szCs w:val="9"/>
                <w:color w:val="auto"/>
              </w:rPr>
            </w:pPr>
          </w:p>
        </w:tc>
        <w:tc>
          <w:tcPr>
            <w:tcW w:w="134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1"/>
                <w:szCs w:val="11"/>
                <w:b w:val="1"/>
                <w:bCs w:val="1"/>
                <w:color w:val="auto"/>
              </w:rPr>
              <w:t>February 3,</w:t>
            </w:r>
          </w:p>
        </w:tc>
        <w:tc>
          <w:tcPr>
            <w:tcW w:w="260" w:type="dxa"/>
            <w:vAlign w:val="bottom"/>
          </w:tcPr>
          <w:p>
            <w:pPr>
              <w:spacing w:after="0"/>
              <w:rPr>
                <w:sz w:val="9"/>
                <w:szCs w:val="9"/>
                <w:color w:val="auto"/>
              </w:rPr>
            </w:pPr>
          </w:p>
        </w:tc>
        <w:tc>
          <w:tcPr>
            <w:tcW w:w="1180" w:type="dxa"/>
            <w:vAlign w:val="bottom"/>
          </w:tcPr>
          <w:p>
            <w:pPr>
              <w:jc w:val="right"/>
              <w:ind w:right="351"/>
              <w:spacing w:after="0" w:line="106" w:lineRule="exact"/>
              <w:rPr>
                <w:sz w:val="20"/>
                <w:szCs w:val="20"/>
                <w:color w:val="auto"/>
              </w:rPr>
            </w:pPr>
            <w:r>
              <w:rPr>
                <w:rFonts w:ascii="Times New Roman" w:cs="Times New Roman" w:eastAsia="Times New Roman" w:hAnsi="Times New Roman"/>
                <w:sz w:val="11"/>
                <w:szCs w:val="11"/>
                <w:b w:val="1"/>
                <w:bCs w:val="1"/>
                <w:color w:val="auto"/>
              </w:rPr>
              <w:t>January 28,</w:t>
            </w:r>
          </w:p>
        </w:tc>
      </w:tr>
      <w:tr>
        <w:trPr>
          <w:trHeight w:val="154"/>
        </w:trPr>
        <w:tc>
          <w:tcPr>
            <w:tcW w:w="67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470,786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499,961</w:t>
            </w:r>
          </w:p>
        </w:tc>
      </w:tr>
      <w:tr>
        <w:trPr>
          <w:trHeight w:val="18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185,128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214,373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261,017</w:t>
            </w:r>
          </w:p>
        </w:tc>
      </w:tr>
      <w:tr>
        <w:trPr>
          <w:trHeight w:val="171"/>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186,839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256,413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238,944</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241,457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265,016</w:t>
            </w: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goodwill and intangible assets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69,256</w:t>
            </w:r>
          </w:p>
        </w:tc>
      </w:tr>
      <w:tr>
        <w:trPr>
          <w:trHeight w:val="18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w:t>
            </w: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(94,871)</w:t>
            </w:r>
          </w:p>
        </w:tc>
      </w:tr>
      <w:tr>
        <w:trPr>
          <w:trHeight w:val="18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71"/>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(95,024)</w:t>
            </w:r>
          </w:p>
        </w:tc>
      </w:tr>
      <w:tr>
        <w:trPr>
          <w:trHeight w:val="18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20,950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(15,640)</w:t>
            </w:r>
          </w:p>
        </w:tc>
      </w:tr>
      <w:tr>
        <w:trPr>
          <w:trHeight w:val="171"/>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(62,188)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(79,384)</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redeemable noncontrolling interest</w:t>
            </w:r>
          </w:p>
        </w:tc>
        <w:tc>
          <w:tcPr>
            <w:tcW w:w="2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(19,649)</w:t>
            </w:r>
          </w:p>
        </w:tc>
      </w:tr>
      <w:tr>
        <w:trPr>
          <w:trHeight w:val="196"/>
        </w:trPr>
        <w:tc>
          <w:tcPr>
            <w:tcW w:w="6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income attributable to Vera Bradley, Inc.</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(59,735)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weighted-average shares outstanding</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31,503</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weighted-average shares outstanding</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31,503</w:t>
            </w:r>
          </w:p>
        </w:tc>
      </w:tr>
      <w:tr>
        <w:trPr>
          <w:trHeight w:val="212"/>
        </w:trPr>
        <w:tc>
          <w:tcPr>
            <w:tcW w:w="6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net (loss) income per share attributable to Vera Bradley, Inc. common shareholders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(loss) income per share attributable to Vera Bradley, Inc. common shareholders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r>
    </w:tbl>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 Income</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06"/>
        </w:trPr>
        <w:tc>
          <w:tcPr>
            <w:tcW w:w="6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gridSpan w:val="2"/>
          </w:tcPr>
          <w:p>
            <w:pPr>
              <w:ind w:left="160"/>
              <w:spacing w:after="0" w:line="106" w:lineRule="exact"/>
              <w:rPr>
                <w:sz w:val="20"/>
                <w:szCs w:val="20"/>
                <w:color w:val="auto"/>
              </w:rPr>
            </w:pPr>
            <w:r>
              <w:rPr>
                <w:rFonts w:ascii="Times New Roman" w:cs="Times New Roman" w:eastAsia="Times New Roman" w:hAnsi="Times New Roman"/>
                <w:sz w:val="11"/>
                <w:szCs w:val="11"/>
                <w:b w:val="1"/>
                <w:bCs w:val="1"/>
                <w:color w:val="auto"/>
              </w:rPr>
              <w:t>February 1,</w:t>
            </w:r>
          </w:p>
        </w:tc>
        <w:tc>
          <w:tcPr>
            <w:tcW w:w="180" w:type="dxa"/>
            <w:vAlign w:val="bottom"/>
          </w:tcPr>
          <w:p>
            <w:pPr>
              <w:spacing w:after="0"/>
              <w:rPr>
                <w:sz w:val="9"/>
                <w:szCs w:val="9"/>
                <w:color w:val="auto"/>
              </w:rPr>
            </w:pPr>
          </w:p>
        </w:tc>
        <w:tc>
          <w:tcPr>
            <w:tcW w:w="134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1"/>
                <w:szCs w:val="11"/>
                <w:b w:val="1"/>
                <w:bCs w:val="1"/>
                <w:color w:val="auto"/>
              </w:rPr>
              <w:t>February 3,</w:t>
            </w:r>
          </w:p>
        </w:tc>
        <w:tc>
          <w:tcPr>
            <w:tcW w:w="260" w:type="dxa"/>
            <w:vAlign w:val="bottom"/>
          </w:tcPr>
          <w:p>
            <w:pPr>
              <w:spacing w:after="0"/>
              <w:rPr>
                <w:sz w:val="9"/>
                <w:szCs w:val="9"/>
                <w:color w:val="auto"/>
              </w:rPr>
            </w:pPr>
          </w:p>
        </w:tc>
        <w:tc>
          <w:tcPr>
            <w:tcW w:w="1180" w:type="dxa"/>
            <w:vAlign w:val="bottom"/>
          </w:tcPr>
          <w:p>
            <w:pPr>
              <w:jc w:val="right"/>
              <w:ind w:right="353"/>
              <w:spacing w:after="0" w:line="106" w:lineRule="exact"/>
              <w:rPr>
                <w:sz w:val="20"/>
                <w:szCs w:val="20"/>
                <w:color w:val="auto"/>
              </w:rPr>
            </w:pPr>
            <w:r>
              <w:rPr>
                <w:rFonts w:ascii="Times New Roman" w:cs="Times New Roman" w:eastAsia="Times New Roman" w:hAnsi="Times New Roman"/>
                <w:sz w:val="11"/>
                <w:szCs w:val="11"/>
                <w:b w:val="1"/>
                <w:bCs w:val="1"/>
                <w:color w:val="auto"/>
              </w:rPr>
              <w:t>January 28,</w:t>
            </w:r>
          </w:p>
        </w:tc>
      </w:tr>
      <w:tr>
        <w:trPr>
          <w:trHeight w:val="154"/>
        </w:trPr>
        <w:tc>
          <w:tcPr>
            <w:tcW w:w="67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(62,188)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(79,384)</w:t>
            </w:r>
          </w:p>
        </w:tc>
      </w:tr>
      <w:tr>
        <w:trPr>
          <w:trHeight w:val="18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71"/>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Comprehensive (loss) income, net of tax</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(62,135)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(79,460)</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Comprehensive loss attributable to redeemable noncontrolling interest</w:t>
            </w:r>
          </w:p>
        </w:tc>
        <w:tc>
          <w:tcPr>
            <w:tcW w:w="2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(19,649)</w:t>
            </w:r>
          </w:p>
        </w:tc>
      </w:tr>
      <w:tr>
        <w:trPr>
          <w:trHeight w:val="196"/>
        </w:trPr>
        <w:tc>
          <w:tcPr>
            <w:tcW w:w="6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Comprehensive (loss) income attributable to Vera Bradley, Inc.</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1"/>
          <w:szCs w:val="11"/>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2084705</wp:posOffset>
            </wp:positionH>
            <wp:positionV relativeFrom="paragraph">
              <wp:posOffset>26035</wp:posOffset>
            </wp:positionV>
            <wp:extent cx="152908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29080" cy="698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260" w:type="dxa"/>
            <w:vAlign w:val="bottom"/>
          </w:tcPr>
          <w:p>
            <w:pPr>
              <w:spacing w:after="0"/>
              <w:rPr>
                <w:sz w:val="11"/>
                <w:szCs w:val="11"/>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18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40" w:type="dxa"/>
            <w:vAlign w:val="bottom"/>
          </w:tcPr>
          <w:p>
            <w:pPr>
              <w:spacing w:after="0"/>
              <w:rPr>
                <w:sz w:val="11"/>
                <w:szCs w:val="11"/>
                <w:color w:val="auto"/>
              </w:rPr>
            </w:pPr>
          </w:p>
        </w:tc>
      </w:tr>
      <w:tr>
        <w:trPr>
          <w:trHeight w:val="150"/>
        </w:trPr>
        <w:tc>
          <w:tcPr>
            <w:tcW w:w="3260" w:type="dxa"/>
            <w:vAlign w:val="bottom"/>
          </w:tcPr>
          <w:p>
            <w:pPr>
              <w:spacing w:after="0"/>
              <w:rPr>
                <w:sz w:val="13"/>
                <w:szCs w:val="13"/>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180" w:type="dxa"/>
            <w:vAlign w:val="bottom"/>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3"/>
                <w:szCs w:val="13"/>
                <w:color w:val="auto"/>
              </w:rPr>
            </w:pPr>
          </w:p>
        </w:tc>
      </w:tr>
      <w:tr>
        <w:trPr>
          <w:trHeight w:val="167"/>
        </w:trPr>
        <w:tc>
          <w:tcPr>
            <w:tcW w:w="3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January 29, 2022</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33,170,430</w:t>
            </w:r>
          </w:p>
        </w:tc>
        <w:tc>
          <w:tcPr>
            <w:tcW w:w="60" w:type="dxa"/>
            <w:vAlign w:val="bottom"/>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9,258,741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8"/>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Net loss attributable to Vera Bradley, Inc.</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Translation adjustments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shares vested, net of repurchase for taxes</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416,543</w:t>
            </w:r>
          </w:p>
        </w:tc>
        <w:tc>
          <w:tcPr>
            <w:tcW w:w="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Treasury stock purchased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(2,820,949)</w:t>
            </w:r>
          </w:p>
        </w:tc>
        <w:tc>
          <w:tcPr>
            <w:tcW w:w="6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2,820,949</w:t>
            </w:r>
          </w:p>
        </w:tc>
        <w:tc>
          <w:tcPr>
            <w:tcW w:w="140" w:type="dxa"/>
            <w:vAlign w:val="bottom"/>
          </w:tcPr>
          <w:p>
            <w:pPr>
              <w:spacing w:after="0"/>
              <w:rPr>
                <w:sz w:val="14"/>
                <w:szCs w:val="14"/>
                <w:color w:val="auto"/>
              </w:rPr>
            </w:pPr>
          </w:p>
        </w:tc>
      </w:tr>
      <w:tr>
        <w:trPr>
          <w:trHeight w:val="162"/>
        </w:trPr>
        <w:tc>
          <w:tcPr>
            <w:tcW w:w="3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January 28,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30,766,024</w:t>
            </w:r>
          </w:p>
        </w:tc>
        <w:tc>
          <w:tcPr>
            <w:tcW w:w="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12,079,690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8"/>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Vera Bradley, Inc.</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Translation adjustments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shares vested, net of repurchase for taxes</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407,146</w:t>
            </w:r>
          </w:p>
        </w:tc>
        <w:tc>
          <w:tcPr>
            <w:tcW w:w="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Treasury stock purchased</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(359,554)</w:t>
            </w:r>
          </w:p>
        </w:tc>
        <w:tc>
          <w:tcPr>
            <w:tcW w:w="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359,554</w:t>
            </w:r>
          </w:p>
        </w:tc>
        <w:tc>
          <w:tcPr>
            <w:tcW w:w="1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Purchase of noncontrolling interest equity adjustment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62"/>
        </w:trPr>
        <w:tc>
          <w:tcPr>
            <w:tcW w:w="3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February 3, 2024</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30,813,616</w:t>
            </w:r>
          </w:p>
        </w:tc>
        <w:tc>
          <w:tcPr>
            <w:tcW w:w="60" w:type="dxa"/>
            <w:vAlign w:val="bottom"/>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12,439,244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8"/>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Net loss attributable to Vera Bradley, Inc.</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Translation adjustments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shares vested, net of repurchase for taxes</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282,619</w:t>
            </w:r>
          </w:p>
        </w:tc>
        <w:tc>
          <w:tcPr>
            <w:tcW w:w="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Treasury stock purchased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(3,395,335)</w:t>
            </w:r>
          </w:p>
        </w:tc>
        <w:tc>
          <w:tcPr>
            <w:tcW w:w="6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3,395,335</w:t>
            </w:r>
          </w:p>
        </w:tc>
        <w:tc>
          <w:tcPr>
            <w:tcW w:w="140" w:type="dxa"/>
            <w:vAlign w:val="bottom"/>
          </w:tcPr>
          <w:p>
            <w:pPr>
              <w:spacing w:after="0"/>
              <w:rPr>
                <w:sz w:val="14"/>
                <w:szCs w:val="14"/>
                <w:color w:val="auto"/>
              </w:rPr>
            </w:pPr>
          </w:p>
        </w:tc>
      </w:tr>
      <w:tr>
        <w:trPr>
          <w:trHeight w:val="164"/>
        </w:trPr>
        <w:tc>
          <w:tcPr>
            <w:tcW w:w="3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February 1, 2025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27,700,900</w:t>
            </w:r>
          </w:p>
        </w:tc>
        <w:tc>
          <w:tcPr>
            <w:tcW w:w="6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15,834,579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3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-1986915</wp:posOffset>
            </wp:positionV>
            <wp:extent cx="7134860" cy="107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-1771015</wp:posOffset>
            </wp:positionV>
            <wp:extent cx="7134860" cy="107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-1333500</wp:posOffset>
            </wp:positionV>
            <wp:extent cx="7134860" cy="107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-1117600</wp:posOffset>
            </wp:positionV>
            <wp:extent cx="7134860" cy="107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-902335</wp:posOffset>
            </wp:positionV>
            <wp:extent cx="7134860" cy="107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-680085</wp:posOffset>
            </wp:positionV>
            <wp:extent cx="7134860" cy="1079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-464185</wp:posOffset>
            </wp:positionV>
            <wp:extent cx="7134860" cy="1079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134860" cy="107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-1555750</wp:posOffset>
            </wp:positionV>
            <wp:extent cx="7134860" cy="114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-2209165</wp:posOffset>
            </wp:positionV>
            <wp:extent cx="7134860" cy="1143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840" w:type="dxa"/>
            <w:vAlign w:val="bottom"/>
            <w:vMerge w:val="restart"/>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Total Shareholders’</w:t>
            </w:r>
          </w:p>
        </w:tc>
        <w:tc>
          <w:tcPr>
            <w:tcW w:w="0" w:type="dxa"/>
            <w:vAlign w:val="bottom"/>
          </w:tcPr>
          <w:p>
            <w:pPr>
              <w:spacing w:after="0"/>
              <w:rPr>
                <w:sz w:val="1"/>
                <w:szCs w:val="1"/>
                <w:color w:val="auto"/>
              </w:rPr>
            </w:pPr>
          </w:p>
        </w:tc>
      </w:tr>
      <w:tr>
        <w:trPr>
          <w:trHeight w:val="117"/>
        </w:trPr>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20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40" w:type="dxa"/>
            <w:vAlign w:val="bottom"/>
          </w:tcPr>
          <w:p>
            <w:pPr>
              <w:jc w:val="right"/>
              <w:ind w:right="337"/>
              <w:spacing w:after="0" w:line="117"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1"/>
                <w:szCs w:val="11"/>
                <w:b w:val="1"/>
                <w:bCs w:val="1"/>
                <w:color w:val="auto"/>
              </w:rPr>
              <w:t>Equity of Vera</w:t>
            </w:r>
          </w:p>
        </w:tc>
        <w:tc>
          <w:tcPr>
            <w:tcW w:w="0" w:type="dxa"/>
            <w:vAlign w:val="bottom"/>
          </w:tcPr>
          <w:p>
            <w:pPr>
              <w:spacing w:after="0"/>
              <w:rPr>
                <w:sz w:val="1"/>
                <w:szCs w:val="1"/>
                <w:color w:val="auto"/>
              </w:rPr>
            </w:pPr>
          </w:p>
        </w:tc>
      </w:tr>
      <w:tr>
        <w:trPr>
          <w:trHeight w:val="150"/>
        </w:trPr>
        <w:tc>
          <w:tcPr>
            <w:tcW w:w="84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00" w:type="dxa"/>
            <w:vAlign w:val="bottom"/>
          </w:tcPr>
          <w:p>
            <w:pPr>
              <w:spacing w:after="0"/>
              <w:rPr>
                <w:sz w:val="13"/>
                <w:szCs w:val="13"/>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20" w:type="dxa"/>
            <w:vAlign w:val="bottom"/>
          </w:tcPr>
          <w:p>
            <w:pPr>
              <w:spacing w:after="0"/>
              <w:rPr>
                <w:sz w:val="13"/>
                <w:szCs w:val="13"/>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rPr>
              <w:t>Bradley, Inc.</w:t>
            </w:r>
          </w:p>
        </w:tc>
        <w:tc>
          <w:tcPr>
            <w:tcW w:w="0" w:type="dxa"/>
            <w:vAlign w:val="bottom"/>
          </w:tcPr>
          <w:p>
            <w:pPr>
              <w:spacing w:after="0"/>
              <w:rPr>
                <w:sz w:val="1"/>
                <w:szCs w:val="1"/>
                <w:color w:val="auto"/>
              </w:rPr>
            </w:pPr>
          </w:p>
        </w:tc>
      </w:tr>
      <w:tr>
        <w:trPr>
          <w:trHeight w:val="167"/>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107,907</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334,364</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60" w:type="dxa"/>
            <w:vAlign w:val="bottom"/>
          </w:tcPr>
          <w:p>
            <w:pPr>
              <w:spacing w:after="0"/>
              <w:rPr>
                <w:sz w:val="14"/>
                <w:szCs w:val="14"/>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(114,802)</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327,440</w:t>
            </w:r>
          </w:p>
        </w:tc>
        <w:tc>
          <w:tcPr>
            <w:tcW w:w="0" w:type="dxa"/>
            <w:vAlign w:val="bottom"/>
          </w:tcPr>
          <w:p>
            <w:pPr>
              <w:spacing w:after="0"/>
              <w:rPr>
                <w:sz w:val="1"/>
                <w:szCs w:val="1"/>
                <w:color w:val="auto"/>
              </w:rPr>
            </w:pPr>
          </w:p>
        </w:tc>
      </w:tr>
      <w:tr>
        <w:trPr>
          <w:trHeight w:val="168"/>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(59,735)</w:t>
            </w:r>
          </w:p>
        </w:tc>
        <w:tc>
          <w:tcPr>
            <w:tcW w:w="0" w:type="dxa"/>
            <w:vAlign w:val="bottom"/>
          </w:tcPr>
          <w:p>
            <w:pPr>
              <w:spacing w:after="0"/>
              <w:rPr>
                <w:sz w:val="1"/>
                <w:szCs w:val="1"/>
                <w:color w:val="auto"/>
              </w:rPr>
            </w:pPr>
          </w:p>
        </w:tc>
      </w:tr>
      <w:tr>
        <w:trPr>
          <w:trHeight w:val="170"/>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70"/>
        </w:trPr>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(1,430)</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0" w:type="dxa"/>
            <w:vAlign w:val="bottom"/>
          </w:tcPr>
          <w:p>
            <w:pPr>
              <w:spacing w:after="0"/>
              <w:rPr>
                <w:sz w:val="1"/>
                <w:szCs w:val="1"/>
                <w:color w:val="auto"/>
              </w:rPr>
            </w:pPr>
          </w:p>
        </w:tc>
      </w:tr>
      <w:tr>
        <w:trPr>
          <w:trHeight w:val="170"/>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3,241</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3,241</w:t>
            </w:r>
          </w:p>
        </w:tc>
        <w:tc>
          <w:tcPr>
            <w:tcW w:w="0" w:type="dxa"/>
            <w:vAlign w:val="bottom"/>
          </w:tcPr>
          <w:p>
            <w:pPr>
              <w:spacing w:after="0"/>
              <w:rPr>
                <w:sz w:val="1"/>
                <w:szCs w:val="1"/>
                <w:color w:val="auto"/>
              </w:rPr>
            </w:pPr>
          </w:p>
        </w:tc>
      </w:tr>
      <w:tr>
        <w:trPr>
          <w:trHeight w:val="170"/>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(18,062)</w:t>
            </w:r>
          </w:p>
        </w:tc>
        <w:tc>
          <w:tcPr>
            <w:tcW w:w="0" w:type="dxa"/>
            <w:vAlign w:val="bottom"/>
          </w:tcPr>
          <w:p>
            <w:pPr>
              <w:spacing w:after="0"/>
              <w:rPr>
                <w:sz w:val="1"/>
                <w:szCs w:val="1"/>
                <w:color w:val="auto"/>
              </w:rPr>
            </w:pPr>
          </w:p>
        </w:tc>
      </w:tr>
      <w:tr>
        <w:trPr>
          <w:trHeight w:val="162"/>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109,718</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274,629</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(105)</w:t>
            </w:r>
          </w:p>
        </w:tc>
        <w:tc>
          <w:tcPr>
            <w:tcW w:w="60" w:type="dxa"/>
            <w:vAlign w:val="bottom"/>
          </w:tcPr>
          <w:p>
            <w:pPr>
              <w:spacing w:after="0"/>
              <w:rPr>
                <w:sz w:val="14"/>
                <w:szCs w:val="14"/>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(132,864)</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251,378</w:t>
            </w:r>
          </w:p>
        </w:tc>
        <w:tc>
          <w:tcPr>
            <w:tcW w:w="0" w:type="dxa"/>
            <w:vAlign w:val="bottom"/>
          </w:tcPr>
          <w:p>
            <w:pPr>
              <w:spacing w:after="0"/>
              <w:rPr>
                <w:sz w:val="1"/>
                <w:szCs w:val="1"/>
                <w:color w:val="auto"/>
              </w:rPr>
            </w:pPr>
          </w:p>
        </w:tc>
      </w:tr>
      <w:tr>
        <w:trPr>
          <w:trHeight w:val="168"/>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7,838</w:t>
            </w:r>
          </w:p>
        </w:tc>
        <w:tc>
          <w:tcPr>
            <w:tcW w:w="0" w:type="dxa"/>
            <w:vAlign w:val="bottom"/>
          </w:tcPr>
          <w:p>
            <w:pPr>
              <w:spacing w:after="0"/>
              <w:rPr>
                <w:sz w:val="1"/>
                <w:szCs w:val="1"/>
                <w:color w:val="auto"/>
              </w:rPr>
            </w:pPr>
          </w:p>
        </w:tc>
      </w:tr>
      <w:tr>
        <w:trPr>
          <w:trHeight w:val="170"/>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33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70"/>
        </w:trPr>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(1,356)</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w:t>
            </w:r>
          </w:p>
        </w:tc>
        <w:tc>
          <w:tcPr>
            <w:tcW w:w="0" w:type="dxa"/>
            <w:vAlign w:val="bottom"/>
          </w:tcPr>
          <w:p>
            <w:pPr>
              <w:spacing w:after="0"/>
              <w:rPr>
                <w:sz w:val="1"/>
                <w:szCs w:val="1"/>
                <w:color w:val="auto"/>
              </w:rPr>
            </w:pPr>
          </w:p>
        </w:tc>
      </w:tr>
      <w:tr>
        <w:trPr>
          <w:trHeight w:val="170"/>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2,942</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2,942</w:t>
            </w:r>
          </w:p>
        </w:tc>
        <w:tc>
          <w:tcPr>
            <w:tcW w:w="0" w:type="dxa"/>
            <w:vAlign w:val="bottom"/>
          </w:tcPr>
          <w:p>
            <w:pPr>
              <w:spacing w:after="0"/>
              <w:rPr>
                <w:sz w:val="1"/>
                <w:szCs w:val="1"/>
                <w:color w:val="auto"/>
              </w:rPr>
            </w:pPr>
          </w:p>
        </w:tc>
      </w:tr>
      <w:tr>
        <w:trPr>
          <w:trHeight w:val="170"/>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(2,192)</w:t>
            </w:r>
          </w:p>
        </w:tc>
        <w:tc>
          <w:tcPr>
            <w:tcW w:w="0" w:type="dxa"/>
            <w:vAlign w:val="bottom"/>
          </w:tcPr>
          <w:p>
            <w:pPr>
              <w:spacing w:after="0"/>
              <w:rPr>
                <w:sz w:val="1"/>
                <w:szCs w:val="1"/>
                <w:color w:val="auto"/>
              </w:rPr>
            </w:pPr>
          </w:p>
        </w:tc>
      </w:tr>
      <w:tr>
        <w:trPr>
          <w:trHeight w:val="170"/>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1,286</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0" w:type="dxa"/>
            <w:vAlign w:val="bottom"/>
          </w:tcPr>
          <w:p>
            <w:pPr>
              <w:spacing w:after="0"/>
              <w:rPr>
                <w:sz w:val="1"/>
                <w:szCs w:val="1"/>
                <w:color w:val="auto"/>
              </w:rPr>
            </w:pPr>
          </w:p>
        </w:tc>
      </w:tr>
      <w:tr>
        <w:trPr>
          <w:trHeight w:val="162"/>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112,590</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282,467</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(72)</w:t>
            </w:r>
          </w:p>
        </w:tc>
        <w:tc>
          <w:tcPr>
            <w:tcW w:w="60" w:type="dxa"/>
            <w:vAlign w:val="bottom"/>
          </w:tcPr>
          <w:p>
            <w:pPr>
              <w:spacing w:after="0"/>
              <w:rPr>
                <w:sz w:val="14"/>
                <w:szCs w:val="14"/>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(135,056)</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259,929</w:t>
            </w:r>
          </w:p>
        </w:tc>
        <w:tc>
          <w:tcPr>
            <w:tcW w:w="0" w:type="dxa"/>
            <w:vAlign w:val="bottom"/>
          </w:tcPr>
          <w:p>
            <w:pPr>
              <w:spacing w:after="0"/>
              <w:rPr>
                <w:sz w:val="1"/>
                <w:szCs w:val="1"/>
                <w:color w:val="auto"/>
              </w:rPr>
            </w:pPr>
          </w:p>
        </w:tc>
      </w:tr>
      <w:tr>
        <w:trPr>
          <w:trHeight w:val="168"/>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(62,188)</w:t>
            </w:r>
          </w:p>
        </w:tc>
        <w:tc>
          <w:tcPr>
            <w:tcW w:w="0" w:type="dxa"/>
            <w:vAlign w:val="bottom"/>
          </w:tcPr>
          <w:p>
            <w:pPr>
              <w:spacing w:after="0"/>
              <w:rPr>
                <w:sz w:val="1"/>
                <w:szCs w:val="1"/>
                <w:color w:val="auto"/>
              </w:rPr>
            </w:pPr>
          </w:p>
        </w:tc>
      </w:tr>
      <w:tr>
        <w:trPr>
          <w:trHeight w:val="170"/>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53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70"/>
        </w:trPr>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(751)</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0" w:type="dxa"/>
            <w:vAlign w:val="bottom"/>
          </w:tcPr>
          <w:p>
            <w:pPr>
              <w:spacing w:after="0"/>
              <w:rPr>
                <w:sz w:val="1"/>
                <w:szCs w:val="1"/>
                <w:color w:val="auto"/>
              </w:rPr>
            </w:pPr>
          </w:p>
        </w:tc>
      </w:tr>
      <w:tr>
        <w:trPr>
          <w:trHeight w:val="170"/>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3,676</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3,676</w:t>
            </w:r>
          </w:p>
        </w:tc>
        <w:tc>
          <w:tcPr>
            <w:tcW w:w="0" w:type="dxa"/>
            <w:vAlign w:val="bottom"/>
          </w:tcPr>
          <w:p>
            <w:pPr>
              <w:spacing w:after="0"/>
              <w:rPr>
                <w:sz w:val="1"/>
                <w:szCs w:val="1"/>
                <w:color w:val="auto"/>
              </w:rPr>
            </w:pPr>
          </w:p>
        </w:tc>
      </w:tr>
      <w:tr>
        <w:trPr>
          <w:trHeight w:val="170"/>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(21,764)</w:t>
            </w:r>
          </w:p>
        </w:tc>
        <w:tc>
          <w:tcPr>
            <w:tcW w:w="0" w:type="dxa"/>
            <w:vAlign w:val="bottom"/>
          </w:tcPr>
          <w:p>
            <w:pPr>
              <w:spacing w:after="0"/>
              <w:rPr>
                <w:sz w:val="1"/>
                <w:szCs w:val="1"/>
                <w:color w:val="auto"/>
              </w:rPr>
            </w:pPr>
          </w:p>
        </w:tc>
      </w:tr>
      <w:tr>
        <w:trPr>
          <w:trHeight w:val="164"/>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115,515</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220,279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(156,820)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178,955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-140970</wp:posOffset>
            </wp:positionV>
            <wp:extent cx="64706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7065" cy="6985"/>
                    </a:xfrm>
                    <a:prstGeom prst="rect">
                      <a:avLst/>
                    </a:prstGeom>
                    <a:noFill/>
                  </pic:spPr>
                </pic:pic>
              </a:graphicData>
            </a:graphic>
          </wp:anchor>
        </w:drawing>
        <w:drawing>
          <wp:anchor simplePos="0" relativeHeight="251657728" behindDoc="1" locked="0" layoutInCell="0" allowOverlap="1">
            <wp:simplePos x="0" y="0"/>
            <wp:positionH relativeFrom="column">
              <wp:posOffset>-160655</wp:posOffset>
            </wp:positionH>
            <wp:positionV relativeFrom="paragraph">
              <wp:posOffset>-26035</wp:posOffset>
            </wp:positionV>
            <wp:extent cx="64706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7065" cy="6985"/>
                    </a:xfrm>
                    <a:prstGeom prst="rect">
                      <a:avLst/>
                    </a:prstGeom>
                    <a:noFill/>
                  </pic:spPr>
                </pic:pic>
              </a:graphicData>
            </a:graphic>
          </wp:anchor>
        </w:drawing>
        <w:drawing>
          <wp:anchor simplePos="0" relativeHeight="251657728" behindDoc="1" locked="0" layoutInCell="0" allowOverlap="1">
            <wp:simplePos x="0" y="0"/>
            <wp:positionH relativeFrom="column">
              <wp:posOffset>-160655</wp:posOffset>
            </wp:positionH>
            <wp:positionV relativeFrom="paragraph">
              <wp:posOffset>-6350</wp:posOffset>
            </wp:positionV>
            <wp:extent cx="64706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7065" cy="6985"/>
                    </a:xfrm>
                    <a:prstGeom prst="rect">
                      <a:avLst/>
                    </a:prstGeom>
                    <a:noFill/>
                  </pic:spPr>
                </pic:pic>
              </a:graphicData>
            </a:graphic>
          </wp:anchor>
        </w:drawing>
        <w:drawing>
          <wp:anchor simplePos="0" relativeHeight="251657728" behindDoc="1" locked="0" layoutInCell="0" allowOverlap="1">
            <wp:simplePos x="0" y="0"/>
            <wp:positionH relativeFrom="column">
              <wp:posOffset>-160655</wp:posOffset>
            </wp:positionH>
            <wp:positionV relativeFrom="paragraph">
              <wp:posOffset>-794385</wp:posOffset>
            </wp:positionV>
            <wp:extent cx="64706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7065" cy="698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5840" w:space="180"/>
            <w:col w:w="5220"/>
          </w:cols>
          <w:pgMar w:left="300" w:top="123" w:right="35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08"/>
        </w:trPr>
        <w:tc>
          <w:tcPr>
            <w:tcW w:w="7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b w:val="1"/>
                <w:bCs w:val="1"/>
                <w:color w:val="auto"/>
              </w:rPr>
              <w:t>February 1,</w:t>
            </w:r>
          </w:p>
        </w:tc>
        <w:tc>
          <w:tcPr>
            <w:tcW w:w="140" w:type="dxa"/>
            <w:vAlign w:val="bottom"/>
          </w:tcPr>
          <w:p>
            <w:pPr>
              <w:spacing w:after="0"/>
              <w:rPr>
                <w:sz w:val="9"/>
                <w:szCs w:val="9"/>
                <w:color w:val="auto"/>
              </w:rPr>
            </w:pPr>
          </w:p>
        </w:tc>
        <w:tc>
          <w:tcPr>
            <w:tcW w:w="126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February 3,</w:t>
            </w:r>
          </w:p>
        </w:tc>
        <w:tc>
          <w:tcPr>
            <w:tcW w:w="240" w:type="dxa"/>
            <w:vAlign w:val="bottom"/>
          </w:tcPr>
          <w:p>
            <w:pPr>
              <w:spacing w:after="0"/>
              <w:rPr>
                <w:sz w:val="9"/>
                <w:szCs w:val="9"/>
                <w:color w:val="auto"/>
              </w:rPr>
            </w:pPr>
          </w:p>
        </w:tc>
        <w:tc>
          <w:tcPr>
            <w:tcW w:w="1080" w:type="dxa"/>
            <w:vAlign w:val="bottom"/>
          </w:tcPr>
          <w:p>
            <w:pPr>
              <w:jc w:val="right"/>
              <w:ind w:right="310"/>
              <w:spacing w:after="0" w:line="108" w:lineRule="exact"/>
              <w:rPr>
                <w:sz w:val="20"/>
                <w:szCs w:val="20"/>
                <w:color w:val="auto"/>
              </w:rPr>
            </w:pPr>
            <w:r>
              <w:rPr>
                <w:rFonts w:ascii="Times New Roman" w:cs="Times New Roman" w:eastAsia="Times New Roman" w:hAnsi="Times New Roman"/>
                <w:sz w:val="11"/>
                <w:szCs w:val="11"/>
                <w:b w:val="1"/>
                <w:bCs w:val="1"/>
                <w:color w:val="auto"/>
              </w:rPr>
              <w:t>January 28,</w:t>
            </w:r>
          </w:p>
        </w:tc>
      </w:tr>
      <w:tr>
        <w:trPr>
          <w:trHeight w:val="153"/>
        </w:trPr>
        <w:tc>
          <w:tcPr>
            <w:tcW w:w="7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7,838</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(79,384)</w:t>
            </w: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provided by operating activities: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8,854</w:t>
            </w:r>
          </w:p>
        </w:tc>
      </w:tr>
      <w:tr>
        <w:trPr>
          <w:trHeight w:val="18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21,543</w:t>
            </w:r>
          </w:p>
        </w:tc>
      </w:tr>
      <w:tr>
        <w:trPr>
          <w:trHeight w:val="180"/>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 and intangible asset impairment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69,256</w:t>
            </w:r>
          </w:p>
        </w:tc>
      </w:tr>
      <w:tr>
        <w:trPr>
          <w:trHeight w:val="18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impairment charges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r>
      <w:tr>
        <w:trPr>
          <w:trHeight w:val="180"/>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w:t>
            </w:r>
          </w:p>
        </w:tc>
      </w:tr>
      <w:tr>
        <w:trPr>
          <w:trHeight w:val="18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80"/>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w:t>
            </w:r>
          </w:p>
        </w:tc>
      </w:tr>
      <w:tr>
        <w:trPr>
          <w:trHeight w:val="18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(17,685)</w:t>
            </w:r>
          </w:p>
        </w:tc>
      </w:tr>
      <w:tr>
        <w:trPr>
          <w:trHeight w:val="180"/>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non-cash charges, net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r>
      <w:tr>
        <w:trPr>
          <w:trHeight w:val="18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w:t>
            </w:r>
          </w:p>
        </w:tc>
      </w:tr>
      <w:tr>
        <w:trPr>
          <w:trHeight w:val="180"/>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w:t>
            </w:r>
          </w:p>
        </w:tc>
      </w:tr>
      <w:tr>
        <w:trPr>
          <w:trHeight w:val="18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(10,223)</w:t>
            </w:r>
          </w:p>
        </w:tc>
      </w:tr>
      <w:tr>
        <w:trPr>
          <w:trHeight w:val="180"/>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8,638</w:t>
            </w:r>
          </w:p>
        </w:tc>
      </w:tr>
      <w:tr>
        <w:trPr>
          <w:trHeight w:val="18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(25,398)</w:t>
            </w:r>
          </w:p>
        </w:tc>
      </w:tr>
      <w:tr>
        <w:trPr>
          <w:trHeight w:val="180"/>
        </w:trPr>
        <w:tc>
          <w:tcPr>
            <w:tcW w:w="7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(1,987)</w:t>
            </w:r>
          </w:p>
        </w:tc>
      </w:tr>
      <w:tr>
        <w:trPr>
          <w:trHeight w:val="17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47,993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(13,421)</w:t>
            </w:r>
          </w:p>
        </w:tc>
      </w:tr>
      <w:tr>
        <w:trPr>
          <w:trHeight w:val="16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(8,239)</w:t>
            </w:r>
          </w:p>
        </w:tc>
      </w:tr>
      <w:tr>
        <w:trPr>
          <w:trHeight w:val="180"/>
        </w:trPr>
        <w:tc>
          <w:tcPr>
            <w:tcW w:w="7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paid for business acquisition</w:t>
            </w: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(8,239)</w:t>
            </w:r>
          </w:p>
        </w:tc>
      </w:tr>
      <w:tr>
        <w:trPr>
          <w:trHeight w:val="16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withholdings for equity compensation</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r>
      <w:tr>
        <w:trPr>
          <w:trHeight w:val="18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(18,062)</w:t>
            </w: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redeemable noncontrolling interest</w:t>
            </w: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171"/>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(22,515)</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(20,105)</w:t>
            </w:r>
          </w:p>
        </w:tc>
      </w:tr>
      <w:tr>
        <w:trPr>
          <w:trHeight w:val="17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7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(41,841)</w:t>
            </w: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77,303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88,436</w:t>
            </w:r>
          </w:p>
        </w:tc>
      </w:tr>
      <w:tr>
        <w:trPr>
          <w:trHeight w:val="17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30,366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77,303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46,595</w:t>
            </w:r>
          </w:p>
        </w:tc>
      </w:tr>
      <w:tr>
        <w:trPr>
          <w:trHeight w:val="20"/>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7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b w:val="1"/>
                <w:bCs w:val="1"/>
                <w:color w:val="auto"/>
              </w:rPr>
              <w:t>February 1,</w:t>
            </w:r>
          </w:p>
        </w:tc>
        <w:tc>
          <w:tcPr>
            <w:tcW w:w="140" w:type="dxa"/>
            <w:vAlign w:val="bottom"/>
          </w:tcPr>
          <w:p>
            <w:pPr>
              <w:spacing w:after="0"/>
              <w:rPr>
                <w:sz w:val="9"/>
                <w:szCs w:val="9"/>
                <w:color w:val="auto"/>
              </w:rPr>
            </w:pPr>
          </w:p>
        </w:tc>
        <w:tc>
          <w:tcPr>
            <w:tcW w:w="126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February 3,</w:t>
            </w:r>
          </w:p>
        </w:tc>
        <w:tc>
          <w:tcPr>
            <w:tcW w:w="240" w:type="dxa"/>
            <w:vAlign w:val="bottom"/>
          </w:tcPr>
          <w:p>
            <w:pPr>
              <w:spacing w:after="0"/>
              <w:rPr>
                <w:sz w:val="9"/>
                <w:szCs w:val="9"/>
                <w:color w:val="auto"/>
              </w:rPr>
            </w:pPr>
          </w:p>
        </w:tc>
        <w:tc>
          <w:tcPr>
            <w:tcW w:w="1080" w:type="dxa"/>
            <w:vAlign w:val="bottom"/>
          </w:tcPr>
          <w:p>
            <w:pPr>
              <w:jc w:val="right"/>
              <w:ind w:right="315"/>
              <w:spacing w:after="0" w:line="108" w:lineRule="exact"/>
              <w:rPr>
                <w:sz w:val="20"/>
                <w:szCs w:val="20"/>
                <w:color w:val="auto"/>
              </w:rPr>
            </w:pPr>
            <w:r>
              <w:rPr>
                <w:rFonts w:ascii="Times New Roman" w:cs="Times New Roman" w:eastAsia="Times New Roman" w:hAnsi="Times New Roman"/>
                <w:sz w:val="11"/>
                <w:szCs w:val="11"/>
                <w:b w:val="1"/>
                <w:bCs w:val="1"/>
                <w:color w:val="auto"/>
              </w:rPr>
              <w:t>January 28,</w:t>
            </w:r>
          </w:p>
        </w:tc>
        <w:tc>
          <w:tcPr>
            <w:tcW w:w="0" w:type="dxa"/>
            <w:vAlign w:val="bottom"/>
          </w:tcPr>
          <w:p>
            <w:pPr>
              <w:spacing w:after="0"/>
              <w:rPr>
                <w:sz w:val="1"/>
                <w:szCs w:val="1"/>
                <w:color w:val="auto"/>
              </w:rPr>
            </w:pPr>
          </w:p>
        </w:tc>
      </w:tr>
      <w:tr>
        <w:trPr>
          <w:trHeight w:val="153"/>
        </w:trPr>
        <w:tc>
          <w:tcPr>
            <w:tcW w:w="70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cash-flow information</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(received) for income taxes, net</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(6,573)</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interest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property, plant, and equipment incurred but not yet paid</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Refer to Note 4 herein for supplemental cash flow information regarding the Company’s leases.</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38" w:lineRule="exact"/>
        <w:rPr>
          <w:sz w:val="20"/>
          <w:szCs w:val="20"/>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the Company</w:t>
      </w:r>
    </w:p>
    <w:p>
      <w:pPr>
        <w:spacing w:after="0" w:line="85"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term “Company” refers to Vera Bradley, Inc. and its wholly and majority owned subsidiaries, except where the context requires otherwise or where otherwise indicated.</w:t>
      </w:r>
    </w:p>
    <w:p>
      <w:pPr>
        <w:spacing w:after="0" w:line="72" w:lineRule="exact"/>
        <w:rPr>
          <w:rFonts w:ascii="Times New Roman" w:cs="Times New Roman" w:eastAsia="Times New Roman" w:hAnsi="Times New Roman"/>
          <w:sz w:val="14"/>
          <w:szCs w:val="14"/>
          <w:b w:val="1"/>
          <w:bCs w:val="1"/>
          <w:color w:val="auto"/>
        </w:rPr>
      </w:pPr>
    </w:p>
    <w:p>
      <w:pPr>
        <w:ind w:left="260" w:right="240"/>
        <w:spacing w:after="0" w:line="26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Vera Bradley, Inc. operates two unique lifestyle brands – Vera Bradley and Pura Vida. We believe Vera Bradley and Pura Vida are complementary businesses, both with devoted, emotionally-connected, and multi-generational female customer bases; alignment as casual,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44" w:lineRule="exact"/>
        <w:rPr>
          <w:rFonts w:ascii="Times New Roman" w:cs="Times New Roman" w:eastAsia="Times New Roman" w:hAnsi="Times New Roman"/>
          <w:sz w:val="14"/>
          <w:szCs w:val="14"/>
          <w:b w:val="1"/>
          <w:bCs w:val="1"/>
          <w:color w:val="auto"/>
        </w:rPr>
      </w:pPr>
    </w:p>
    <w:p>
      <w:pPr>
        <w:ind w:left="260" w:right="160"/>
        <w:spacing w:after="0" w:line="28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28" w:lineRule="exact"/>
        <w:rPr>
          <w:rFonts w:ascii="Times New Roman" w:cs="Times New Roman" w:eastAsia="Times New Roman" w:hAnsi="Times New Roman"/>
          <w:sz w:val="14"/>
          <w:szCs w:val="14"/>
          <w:b w:val="1"/>
          <w:bCs w:val="1"/>
          <w:color w:val="auto"/>
        </w:rPr>
      </w:pPr>
    </w:p>
    <w:p>
      <w:pPr>
        <w:ind w:left="260" w:right="140"/>
        <w:spacing w:after="0" w:line="26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July 2019, Vera Bradley, Inc. acquired a 75% interest in Creative Genius, Inc., which also operates under the name Pura Vida Bracelets (“Pura Vida”). On January 30, 2023, the Company purchased the remaining 25% interest in Pura Vida. Pura Vida, based in La Jolla, California, is a digitally native lifestyle brand that has a differentiated and expanding offering of bracelets, jewelry, and other lifestyle accessories. On March 11, 2025 the Company entered into an Interest Purchase Agreement (the “Agreement”) to sell 100% of Pura Vida. The transaction is expected to close by the end of the first quarter of fiscal 2026. A copy of the Agreement is included as an exhibit to this Form 10-K. Refer to Note 18 herein for additional information.</w:t>
      </w:r>
    </w:p>
    <w:p>
      <w:pPr>
        <w:spacing w:after="0" w:line="34"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has three reportable segments: Vera Bradley Direct (“VB Direct”), Vera Bradley Indirect (“VB Indirect”), and Pura Vida.</w:t>
      </w:r>
    </w:p>
    <w:p>
      <w:pPr>
        <w:spacing w:after="0" w:line="83" w:lineRule="exact"/>
        <w:rPr>
          <w:rFonts w:ascii="Times New Roman" w:cs="Times New Roman" w:eastAsia="Times New Roman" w:hAnsi="Times New Roman"/>
          <w:sz w:val="14"/>
          <w:szCs w:val="14"/>
          <w:b w:val="1"/>
          <w:bCs w:val="1"/>
          <w:color w:val="auto"/>
        </w:rPr>
      </w:pPr>
    </w:p>
    <w:p>
      <w:pPr>
        <w:ind w:left="760" w:hanging="246"/>
        <w:spacing w:after="0" w:line="270" w:lineRule="auto"/>
        <w:tabs>
          <w:tab w:leader="none" w:pos="756" w:val="left"/>
        </w:tabs>
        <w:numPr>
          <w:ilvl w:val="1"/>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VB Direct business consists of sales of Vera Bradley products through Vera Bradley full-line and outlet stores in the United States; the Vera Bradley websites (verabradley.com, outlet.verabradley.com, and international.verabradley.com); the Vera Bradley annual outlet sale in Fort Wayne, Indiana; and direct to consumer marketplaces. As of February 1, 2025, the Company operated 39 full-line stores and 87 outlet stores.</w:t>
      </w:r>
    </w:p>
    <w:p>
      <w:pPr>
        <w:spacing w:after="0" w:line="40" w:lineRule="exact"/>
        <w:rPr>
          <w:rFonts w:ascii="Times New Roman" w:cs="Times New Roman" w:eastAsia="Times New Roman" w:hAnsi="Times New Roman"/>
          <w:sz w:val="14"/>
          <w:szCs w:val="14"/>
          <w:i w:val="1"/>
          <w:iCs w:val="1"/>
          <w:color w:val="auto"/>
        </w:rPr>
      </w:pPr>
    </w:p>
    <w:p>
      <w:pPr>
        <w:ind w:left="760" w:hanging="246"/>
        <w:spacing w:after="0" w:line="270" w:lineRule="auto"/>
        <w:tabs>
          <w:tab w:leader="none" w:pos="756" w:val="left"/>
        </w:tabs>
        <w:numPr>
          <w:ilvl w:val="1"/>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VB Indirect business consists of sales of Vera Bradley products to approximately 1,200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29" w:lineRule="exact"/>
        <w:rPr>
          <w:rFonts w:ascii="Times New Roman" w:cs="Times New Roman" w:eastAsia="Times New Roman" w:hAnsi="Times New Roman"/>
          <w:sz w:val="14"/>
          <w:szCs w:val="14"/>
          <w:i w:val="1"/>
          <w:iCs w:val="1"/>
          <w:color w:val="auto"/>
        </w:rPr>
      </w:pPr>
    </w:p>
    <w:p>
      <w:pPr>
        <w:ind w:left="760" w:right="520" w:hanging="246"/>
        <w:spacing w:after="0" w:line="287" w:lineRule="auto"/>
        <w:tabs>
          <w:tab w:leader="none" w:pos="756"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Pura Vida segment represents revenues generated through the Pura Vida website (www.puravidabracelets.com); the distribution of Pura Vida-branded products to wholesale retailers, substantially all of which are located in the United States; and through its seven retail stores.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Principles of Consolidation</w:t>
      </w:r>
    </w:p>
    <w:p>
      <w:pPr>
        <w:spacing w:after="0" w:line="85" w:lineRule="exact"/>
        <w:rPr>
          <w:sz w:val="20"/>
          <w:szCs w:val="20"/>
          <w:color w:val="auto"/>
        </w:rPr>
      </w:pPr>
    </w:p>
    <w:p>
      <w:pPr>
        <w:ind w:left="260" w:right="300"/>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wholly owned subsidiaries, including Pura Vida. The Company has eliminated intercompany balances and transactions in consolidation.</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Fiscal Periods</w:t>
      </w:r>
    </w:p>
    <w:p>
      <w:pPr>
        <w:spacing w:after="0" w:line="85" w:lineRule="exact"/>
        <w:rPr>
          <w:sz w:val="20"/>
          <w:szCs w:val="20"/>
          <w:color w:val="auto"/>
        </w:rPr>
      </w:pPr>
    </w:p>
    <w:p>
      <w:pPr>
        <w:ind w:left="260" w:right="40"/>
        <w:spacing w:after="0" w:line="287" w:lineRule="auto"/>
        <w:rPr>
          <w:sz w:val="20"/>
          <w:szCs w:val="20"/>
          <w:color w:val="auto"/>
        </w:rPr>
      </w:pPr>
      <w:r>
        <w:rPr>
          <w:rFonts w:ascii="Times New Roman" w:cs="Times New Roman" w:eastAsia="Times New Roman" w:hAnsi="Times New Roman"/>
          <w:sz w:val="14"/>
          <w:szCs w:val="14"/>
          <w:color w:val="auto"/>
        </w:rPr>
        <w:t>The Company utilizes a 52-53 week fiscal year ended on the Saturday closest to January 31. As such, fiscal years 2025 and 2023, ended February 1, 2025 and January 28, 2023 respectively, each reflected a 52-week period. Fiscal year 2024, ended February 3, 2024 reflected a 53-week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47" w:lineRule="exact"/>
        <w:rPr>
          <w:sz w:val="20"/>
          <w:szCs w:val="20"/>
          <w:color w:val="auto"/>
        </w:rPr>
      </w:pPr>
    </w:p>
    <w:p>
      <w:pPr>
        <w:ind w:left="260" w:right="8360" w:hanging="255"/>
        <w:spacing w:after="0" w:line="357" w:lineRule="auto"/>
        <w:tabs>
          <w:tab w:leader="none" w:pos="253"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Use of Significant Estimates</w:t>
      </w:r>
    </w:p>
    <w:p>
      <w:pPr>
        <w:ind w:left="260"/>
        <w:spacing w:after="0" w:line="26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 valuation of inventories, valuation of long-lived assets, including operating right-of-use assets, valuation of goodwill and indefinite-lived intangible assets, accounts receivable valuation allowances, and sales return allowances. Actual results could differ from these estimates. The Company revises its estimates and assumptions as new information becomes available.</w:t>
      </w:r>
    </w:p>
    <w:p>
      <w:pPr>
        <w:spacing w:after="0" w:line="173"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Cash and Cash Equivalents</w:t>
      </w:r>
    </w:p>
    <w:p>
      <w:pPr>
        <w:spacing w:after="0" w:line="85"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Cash and cash equivalents represent cash on hand, deposits with financial institutions, and investments with an original maturity of three months or less.</w:t>
      </w:r>
    </w:p>
    <w:p>
      <w:pPr>
        <w:spacing w:after="0" w:line="197"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Inventories</w:t>
      </w:r>
    </w:p>
    <w:p>
      <w:pPr>
        <w:spacing w:after="0" w:line="85" w:lineRule="exact"/>
        <w:rPr>
          <w:rFonts w:ascii="Times New Roman" w:cs="Times New Roman" w:eastAsia="Times New Roman" w:hAnsi="Times New Roman"/>
          <w:sz w:val="14"/>
          <w:szCs w:val="14"/>
          <w:b w:val="1"/>
          <w:bCs w:val="1"/>
          <w:color w:val="auto"/>
        </w:rPr>
      </w:pPr>
    </w:p>
    <w:p>
      <w:pPr>
        <w:ind w:left="260" w:right="340"/>
        <w:spacing w:after="0" w:line="28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Substantially all inventory relates to finished goods.</w:t>
      </w:r>
    </w:p>
    <w:p>
      <w:pPr>
        <w:spacing w:after="0" w:line="7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Property, Plant, and Equipment</w:t>
      </w:r>
    </w:p>
    <w:p>
      <w:pPr>
        <w:spacing w:after="0" w:line="85"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Property, plant, and equipment are carried at cost and depreciated or amortized over the following estimated useful lives using the straight-line method:</w:t>
      </w:r>
    </w:p>
    <w:p>
      <w:pPr>
        <w:spacing w:after="0" w:line="263" w:lineRule="exact"/>
        <w:rPr>
          <w:sz w:val="20"/>
          <w:szCs w:val="20"/>
          <w:color w:val="auto"/>
        </w:rPr>
      </w:pPr>
    </w:p>
    <w:tbl>
      <w:tblPr>
        <w:tblLayout w:type="fixed"/>
        <w:tblInd w:w="1920" w:type="dxa"/>
        <w:tblCellMar>
          <w:top w:w="0" w:type="dxa"/>
          <w:left w:w="0" w:type="dxa"/>
          <w:bottom w:w="0" w:type="dxa"/>
          <w:right w:w="0" w:type="dxa"/>
        </w:tblCellMar>
      </w:tblPr>
      <w:tr>
        <w:trPr>
          <w:trHeight w:val="180"/>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Buildings and building improvements ..............................................</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 years</w:t>
            </w:r>
          </w:p>
        </w:tc>
      </w:tr>
      <w:tr>
        <w:trPr>
          <w:trHeight w:val="180"/>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Land improvements ...........................................................................</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 15 years</w:t>
            </w:r>
          </w:p>
        </w:tc>
      </w:tr>
      <w:tr>
        <w:trPr>
          <w:trHeight w:val="180"/>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 and leasehold improvements ........................</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 10 years</w:t>
            </w:r>
          </w:p>
        </w:tc>
      </w:tr>
      <w:tr>
        <w:trPr>
          <w:trHeight w:val="180"/>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Equipment .........................................................................................</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years</w:t>
            </w:r>
          </w:p>
        </w:tc>
      </w:tr>
      <w:tr>
        <w:trPr>
          <w:trHeight w:val="180"/>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Vehicles .............................................................................................</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years</w:t>
            </w:r>
          </w:p>
        </w:tc>
      </w:tr>
      <w:tr>
        <w:trPr>
          <w:trHeight w:val="184"/>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Computer equipment and software ...................................................</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 5 years</w:t>
            </w:r>
          </w:p>
        </w:tc>
      </w:tr>
    </w:tbl>
    <w:p>
      <w:pPr>
        <w:spacing w:after="0" w:line="113" w:lineRule="exact"/>
        <w:rPr>
          <w:sz w:val="20"/>
          <w:szCs w:val="20"/>
          <w:color w:val="auto"/>
        </w:rPr>
      </w:pPr>
    </w:p>
    <w:p>
      <w:pPr>
        <w:ind w:left="260" w:right="300"/>
        <w:spacing w:after="0" w:line="270" w:lineRule="auto"/>
        <w:rPr>
          <w:sz w:val="20"/>
          <w:szCs w:val="20"/>
          <w:color w:val="auto"/>
        </w:rPr>
      </w:pPr>
      <w:r>
        <w:rPr>
          <w:rFonts w:ascii="Times New Roman" w:cs="Times New Roman" w:eastAsia="Times New Roman" w:hAnsi="Times New Roman"/>
          <w:sz w:val="14"/>
          <w:szCs w:val="14"/>
          <w:color w:val="auto"/>
        </w:rPr>
        <w:t>The Company recognizes depreciation and amortization expense within cost of sales for capital expenditures related to distribution center, sourcing, and other related functions and selling, general, and administrative expenses for all other capital expenditures. Leasehold improvements are amortized over the shorter of the life of the asset or the lease term. Lease terms typically range from three to ten years.</w:t>
      </w:r>
    </w:p>
    <w:p>
      <w:pPr>
        <w:spacing w:after="0" w:line="30"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4"/>
          <w:szCs w:val="14"/>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Operations.</w:t>
      </w:r>
    </w:p>
    <w:p>
      <w:pPr>
        <w:spacing w:after="0" w:line="40" w:lineRule="exact"/>
        <w:rPr>
          <w:sz w:val="20"/>
          <w:szCs w:val="20"/>
          <w:color w:val="auto"/>
        </w:rPr>
      </w:pPr>
    </w:p>
    <w:p>
      <w:pPr>
        <w:ind w:left="260"/>
        <w:spacing w:after="0" w:line="264" w:lineRule="auto"/>
        <w:rPr>
          <w:sz w:val="20"/>
          <w:szCs w:val="20"/>
          <w:color w:val="auto"/>
        </w:rPr>
      </w:pPr>
      <w:r>
        <w:rPr>
          <w:rFonts w:ascii="Times New Roman" w:cs="Times New Roman" w:eastAsia="Times New Roman" w:hAnsi="Times New Roman"/>
          <w:sz w:val="14"/>
          <w:szCs w:val="14"/>
          <w:color w:val="auto"/>
        </w:rPr>
        <w:t>Property, plant, and equipment are reviewed for impairment whenever events or changes in circumstances indicate that the carrying amount of the asset groups may not be recoverable. The reviews are conducted at the lowest identifiable level of cash flows, which is at the retail store level for store-related assets. If the estimated undiscounted future cash flows related to the property, plant, and equipment and operating right-of-use assets are less than the carrying value, the Company recognizes a loss equal to the difference between the carrying value and the fair value, as further defined below in “Fair Value of Financial Instruments.”</w:t>
      </w:r>
    </w:p>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Routine maintenance and repair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3" w:lineRule="exact"/>
        <w:rPr>
          <w:sz w:val="20"/>
          <w:szCs w:val="20"/>
          <w:color w:val="auto"/>
        </w:rPr>
      </w:pPr>
    </w:p>
    <w:p>
      <w:pPr>
        <w:ind w:left="260"/>
        <w:spacing w:after="0" w:line="287" w:lineRule="auto"/>
        <w:rPr>
          <w:sz w:val="20"/>
          <w:szCs w:val="20"/>
          <w:color w:val="auto"/>
        </w:rPr>
      </w:pPr>
      <w:r>
        <w:rPr>
          <w:rFonts w:ascii="Times New Roman" w:cs="Times New Roman" w:eastAsia="Times New Roman" w:hAnsi="Times New Roman"/>
          <w:sz w:val="14"/>
          <w:szCs w:val="14"/>
          <w:color w:val="auto"/>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Revenue Recognition and Accounts Receivable</w:t>
      </w:r>
    </w:p>
    <w:p>
      <w:pPr>
        <w:spacing w:after="0" w:line="85" w:lineRule="exact"/>
        <w:rPr>
          <w:sz w:val="20"/>
          <w:szCs w:val="20"/>
          <w:color w:val="auto"/>
        </w:rPr>
      </w:pPr>
    </w:p>
    <w:p>
      <w:pPr>
        <w:ind w:left="260" w:right="160"/>
        <w:spacing w:after="0" w:line="264" w:lineRule="auto"/>
        <w:rPr>
          <w:sz w:val="20"/>
          <w:szCs w:val="20"/>
          <w:color w:val="auto"/>
        </w:rPr>
      </w:pPr>
      <w:r>
        <w:rPr>
          <w:rFonts w:ascii="Times New Roman" w:cs="Times New Roman" w:eastAsia="Times New Roman" w:hAnsi="Times New Roman"/>
          <w:sz w:val="14"/>
          <w:szCs w:val="14"/>
          <w:color w:val="auto"/>
        </w:rPr>
        <w:t>Vera Bradley and Pura Vida product sales to customers, including amounts billed to customers for shipping fees, as well as royalties from licensing arrangements related to the Vera Bradley brand, are included in net revenues. Costs related to shipping of product are classified in cost of sales in the Consolidated Statements of Operations. The Company has elected to treat shipping and handling activities that occur after the customer has obtained control of a good as an activity to fulfill the promise to transfer the product rather than as an additional promised service. Net revenues exclude sales taxes collected from customers and remitted to governmental authorities from the transaction price.</w:t>
      </w:r>
    </w:p>
    <w:p>
      <w:pPr>
        <w:spacing w:after="0" w:line="45" w:lineRule="exact"/>
        <w:rPr>
          <w:sz w:val="20"/>
          <w:szCs w:val="20"/>
          <w:color w:val="auto"/>
        </w:rPr>
      </w:pPr>
    </w:p>
    <w:p>
      <w:pPr>
        <w:ind w:left="260" w:right="360"/>
        <w:spacing w:after="0" w:line="264" w:lineRule="auto"/>
        <w:rPr>
          <w:sz w:val="20"/>
          <w:szCs w:val="20"/>
          <w:color w:val="auto"/>
        </w:rPr>
      </w:pPr>
      <w:r>
        <w:rPr>
          <w:rFonts w:ascii="Times New Roman" w:cs="Times New Roman" w:eastAsia="Times New Roman" w:hAnsi="Times New Roman"/>
          <w:sz w:val="14"/>
          <w:szCs w:val="14"/>
          <w:color w:val="auto"/>
        </w:rPr>
        <w:t>Revenue from the sale of the Company’s products is recognized when control of the promised goods or services is transferred to customers, in the amount that reflects the consideration the Company expects to be entitled to in exchange for those goods or services. Revenue is recognized using the five-step model. These steps are: (i) identify the contract with the customer; (ii) identify the performance obligations; (iii) determine the transaction price; (iv) allocate the transaction price to each performance obligation; and (v) recognize revenue as the performance obligations are satisfied.</w:t>
      </w:r>
    </w:p>
    <w:p>
      <w:pPr>
        <w:spacing w:after="0" w:line="34" w:lineRule="exact"/>
        <w:rPr>
          <w:sz w:val="20"/>
          <w:szCs w:val="20"/>
          <w:color w:val="auto"/>
        </w:rPr>
      </w:pPr>
    </w:p>
    <w:p>
      <w:pPr>
        <w:jc w:val="both"/>
        <w:ind w:left="260" w:right="240"/>
        <w:spacing w:after="0" w:line="270" w:lineRule="auto"/>
        <w:rPr>
          <w:sz w:val="20"/>
          <w:szCs w:val="20"/>
          <w:color w:val="auto"/>
        </w:rPr>
      </w:pPr>
      <w:r>
        <w:rPr>
          <w:rFonts w:ascii="Times New Roman" w:cs="Times New Roman" w:eastAsia="Times New Roman" w:hAnsi="Times New Roman"/>
          <w:sz w:val="14"/>
          <w:szCs w:val="14"/>
          <w:color w:val="auto"/>
        </w:rPr>
        <w:t>The Company collects payment at the point of sale for Vera Bradley and Pura Vida full-line and outlet store transactions, upon shipment for Vera Bradley e-commerce transactions, and upon purchase for Pura Vida e-commerce transactions. The Company generally collects payment in arrears in accordance with established payment terms for each customer within the VB Indirect segment and for Pura Vida wholesale retailers.</w:t>
      </w:r>
    </w:p>
    <w:p>
      <w:pPr>
        <w:spacing w:after="0" w:line="40" w:lineRule="exact"/>
        <w:rPr>
          <w:sz w:val="20"/>
          <w:szCs w:val="20"/>
          <w:color w:val="auto"/>
        </w:rPr>
      </w:pPr>
    </w:p>
    <w:p>
      <w:pPr>
        <w:ind w:left="260" w:right="360"/>
        <w:spacing w:after="0" w:line="270" w:lineRule="auto"/>
        <w:rPr>
          <w:sz w:val="20"/>
          <w:szCs w:val="20"/>
          <w:color w:val="auto"/>
        </w:rPr>
      </w:pPr>
      <w:r>
        <w:rPr>
          <w:rFonts w:ascii="Times New Roman" w:cs="Times New Roman" w:eastAsia="Times New Roman" w:hAnsi="Times New Roman"/>
          <w:sz w:val="14"/>
          <w:szCs w:val="14"/>
          <w:color w:val="auto"/>
        </w:rPr>
        <w:t>Historical experience provides the Company the ability to reasonably estimate the amount of product sales that customers will return. Product returns are often resalable through multiple channels. Additionally, the Company reserves for customer allowances for certain VB Indirect retailers based upon various contract terms and other potential product credits granted to VB Indirect retailers.</w:t>
      </w:r>
    </w:p>
    <w:p>
      <w:pPr>
        <w:spacing w:after="0" w:line="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returns and credits reserve and the related activity for each fiscal year presented were as follows (in thousands):</w:t>
      </w:r>
    </w:p>
    <w:p>
      <w:pPr>
        <w:spacing w:after="0" w:line="90"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4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Provision</w:t>
            </w:r>
          </w:p>
        </w:tc>
        <w:tc>
          <w:tcPr>
            <w:tcW w:w="16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Allowances</w:t>
            </w:r>
          </w:p>
        </w:tc>
        <w:tc>
          <w:tcPr>
            <w:tcW w:w="220" w:type="dxa"/>
            <w:vAlign w:val="bottom"/>
          </w:tcPr>
          <w:p>
            <w:pPr>
              <w:spacing w:after="0"/>
              <w:rPr>
                <w:sz w:val="11"/>
                <w:szCs w:val="11"/>
                <w:color w:val="auto"/>
              </w:rPr>
            </w:pPr>
          </w:p>
        </w:tc>
        <w:tc>
          <w:tcPr>
            <w:tcW w:w="1220" w:type="dxa"/>
            <w:vAlign w:val="bottom"/>
            <w:vMerge w:val="restart"/>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Balance at End</w:t>
            </w: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Charged to</w:t>
            </w:r>
          </w:p>
        </w:tc>
        <w:tc>
          <w:tcPr>
            <w:tcW w:w="16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Beginning of Year</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Net Revenues</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Taken / Written Off</w:t>
            </w:r>
          </w:p>
        </w:tc>
        <w:tc>
          <w:tcPr>
            <w:tcW w:w="220" w:type="dxa"/>
            <w:vAlign w:val="bottom"/>
          </w:tcPr>
          <w:p>
            <w:pPr>
              <w:spacing w:after="0"/>
              <w:rPr>
                <w:sz w:val="13"/>
                <w:szCs w:val="13"/>
                <w:color w:val="auto"/>
              </w:rPr>
            </w:pPr>
          </w:p>
        </w:tc>
        <w:tc>
          <w:tcPr>
            <w:tcW w:w="1220" w:type="dxa"/>
            <w:vAlign w:val="bottom"/>
          </w:tcPr>
          <w:p>
            <w:pPr>
              <w:jc w:val="right"/>
              <w:ind w:right="495"/>
              <w:spacing w:after="0"/>
              <w:rPr>
                <w:sz w:val="20"/>
                <w:szCs w:val="20"/>
                <w:color w:val="auto"/>
              </w:rPr>
            </w:pPr>
            <w:r>
              <w:rPr>
                <w:rFonts w:ascii="Times New Roman" w:cs="Times New Roman" w:eastAsia="Times New Roman" w:hAnsi="Times New Roman"/>
                <w:sz w:val="11"/>
                <w:szCs w:val="11"/>
                <w:b w:val="1"/>
                <w:bCs w:val="1"/>
                <w:color w:val="auto"/>
              </w:rPr>
              <w:t>of Year</w:t>
            </w:r>
          </w:p>
        </w:tc>
        <w:tc>
          <w:tcPr>
            <w:tcW w:w="0" w:type="dxa"/>
            <w:vAlign w:val="bottom"/>
          </w:tcPr>
          <w:p>
            <w:pPr>
              <w:spacing w:after="0"/>
              <w:rPr>
                <w:sz w:val="1"/>
                <w:szCs w:val="1"/>
                <w:color w:val="auto"/>
              </w:rPr>
            </w:pPr>
          </w:p>
        </w:tc>
      </w:tr>
      <w:tr>
        <w:trPr>
          <w:trHeight w:val="175"/>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ended February 1, 2025</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ended February 3, 2024</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ended January 28, 2023</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260" w:right="20"/>
        <w:spacing w:after="0" w:line="270" w:lineRule="auto"/>
        <w:rPr>
          <w:sz w:val="20"/>
          <w:szCs w:val="20"/>
          <w:color w:val="auto"/>
        </w:rPr>
      </w:pPr>
      <w:r>
        <w:rPr>
          <w:rFonts w:ascii="Times New Roman" w:cs="Times New Roman" w:eastAsia="Times New Roman" w:hAnsi="Times New Roman"/>
          <w:sz w:val="14"/>
          <w:szCs w:val="14"/>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$1.1 million as of February 1, 2025 and February 3, 2024, respectively. The provision for doubtful accounts is based upon the likelihood of default expected during the life of the receivable.</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85" w:lineRule="exact"/>
        <w:rPr>
          <w:sz w:val="20"/>
          <w:szCs w:val="20"/>
          <w:color w:val="auto"/>
        </w:rPr>
      </w:pPr>
    </w:p>
    <w:p>
      <w:pPr>
        <w:ind w:left="260" w:right="280"/>
        <w:spacing w:after="0" w:line="287" w:lineRule="auto"/>
        <w:rPr>
          <w:sz w:val="20"/>
          <w:szCs w:val="20"/>
          <w:color w:val="auto"/>
        </w:rPr>
      </w:pPr>
      <w:r>
        <w:rPr>
          <w:rFonts w:ascii="Times New Roman" w:cs="Times New Roman" w:eastAsia="Times New Roman" w:hAnsi="Times New Roman"/>
          <w:sz w:val="14"/>
          <w:szCs w:val="14"/>
          <w:color w:val="auto"/>
        </w:rPr>
        <w:t>Cost of sales includes material and labor costs, freight, inventory shrinkage, operating lease costs, duty, and other operating expenses, including depreciation of the Vera Bradley distribution center and equipment. Costs and related expenses to purchase and distribute the products are recorded as cost of sales when the related revenues are recognized.</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Operating Leases</w:t>
      </w:r>
    </w:p>
    <w:p>
      <w:pPr>
        <w:spacing w:after="0" w:line="85" w:lineRule="exact"/>
        <w:rPr>
          <w:sz w:val="20"/>
          <w:szCs w:val="20"/>
          <w:color w:val="auto"/>
        </w:rPr>
      </w:pPr>
    </w:p>
    <w:p>
      <w:pPr>
        <w:ind w:left="260" w:right="280"/>
        <w:spacing w:after="0" w:line="287" w:lineRule="auto"/>
        <w:rPr>
          <w:sz w:val="20"/>
          <w:szCs w:val="20"/>
          <w:color w:val="auto"/>
        </w:rPr>
      </w:pPr>
      <w:r>
        <w:rPr>
          <w:rFonts w:ascii="Times New Roman" w:cs="Times New Roman" w:eastAsia="Times New Roman" w:hAnsi="Times New Roman"/>
          <w:sz w:val="14"/>
          <w:szCs w:val="14"/>
          <w:color w:val="auto"/>
        </w:rPr>
        <w:t>The Company recognizes lease liabilities at the lease commencement date based upon the present value of the remaining lease payments. Operating right-of-use assets are based on the lease liability adjusted for prepaid rent, deferred rent, and tenant allowances received from certain of the Company’s landlords, primarily for its retail store locations.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3" w:lineRule="exact"/>
        <w:rPr>
          <w:sz w:val="20"/>
          <w:szCs w:val="20"/>
          <w:color w:val="auto"/>
        </w:rPr>
      </w:pPr>
    </w:p>
    <w:p>
      <w:pPr>
        <w:ind w:left="260" w:right="120"/>
        <w:spacing w:after="0" w:line="287" w:lineRule="auto"/>
        <w:rPr>
          <w:sz w:val="20"/>
          <w:szCs w:val="20"/>
          <w:color w:val="auto"/>
        </w:rPr>
      </w:pPr>
      <w:r>
        <w:rPr>
          <w:rFonts w:ascii="Times New Roman" w:cs="Times New Roman" w:eastAsia="Times New Roman" w:hAnsi="Times New Roman"/>
          <w:sz w:val="14"/>
          <w:szCs w:val="14"/>
          <w:color w:val="auto"/>
        </w:rPr>
        <w:t>Operating lease liabilities are amortized based upon the effective interest method. Operating right-of-use assets are amortized based upon the straight-line lease expense less interest on the lease liability. Operating lease expense is recognized on a straight-line basis over the lease term. Variable rent expense is recognized in the period incurred.</w:t>
      </w:r>
    </w:p>
    <w:p>
      <w:pPr>
        <w:spacing w:after="0" w:line="18" w:lineRule="exact"/>
        <w:rPr>
          <w:sz w:val="20"/>
          <w:szCs w:val="20"/>
          <w:color w:val="auto"/>
        </w:rPr>
      </w:pPr>
    </w:p>
    <w:p>
      <w:pPr>
        <w:ind w:left="260" w:right="160"/>
        <w:spacing w:after="0" w:line="264" w:lineRule="auto"/>
        <w:rPr>
          <w:sz w:val="20"/>
          <w:szCs w:val="20"/>
          <w:color w:val="auto"/>
        </w:rPr>
      </w:pPr>
      <w:r>
        <w:rPr>
          <w:rFonts w:ascii="Times New Roman" w:cs="Times New Roman" w:eastAsia="Times New Roman" w:hAnsi="Times New Roman"/>
          <w:sz w:val="14"/>
          <w:szCs w:val="14"/>
          <w:color w:val="auto"/>
        </w:rPr>
        <w:t>Operating right-of-use assets are reviewed for impairment whenever events or changes in circumstances indicate that the carrying amount of the assets may not be recoverable. The reviews are conducted at the lowest identifiable level of cash flows, which is at the retail store level for store-related assets. If the estimated undiscounted future cash flows related to the operating right-of-use assets are less than the carrying value, the Company recognizes a loss equal to the difference between the carrying value and the fair value, as further defined below in “Fair Value of Financial Instruments.”</w:t>
      </w:r>
    </w:p>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Refer to Note 4 herein for additional information regarding the Company's leases.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Store Pre-Opening, Occupancy, and Operating Costs</w:t>
      </w:r>
    </w:p>
    <w:p>
      <w:pPr>
        <w:spacing w:after="0" w:line="74" w:lineRule="exact"/>
        <w:rPr>
          <w:sz w:val="20"/>
          <w:szCs w:val="20"/>
          <w:color w:val="auto"/>
        </w:rPr>
      </w:pPr>
    </w:p>
    <w:p>
      <w:pPr>
        <w:ind w:left="260" w:right="20"/>
        <w:spacing w:after="0" w:line="287" w:lineRule="auto"/>
        <w:rPr>
          <w:sz w:val="20"/>
          <w:szCs w:val="20"/>
          <w:color w:val="auto"/>
        </w:rPr>
      </w:pPr>
      <w:r>
        <w:rPr>
          <w:rFonts w:ascii="Times New Roman" w:cs="Times New Roman" w:eastAsia="Times New Roman" w:hAnsi="Times New Roman"/>
          <w:sz w:val="14"/>
          <w:szCs w:val="14"/>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Goodwill and Other Intangible Assets</w:t>
      </w:r>
    </w:p>
    <w:p>
      <w:pPr>
        <w:spacing w:after="0" w:line="85" w:lineRule="exact"/>
        <w:rPr>
          <w:sz w:val="20"/>
          <w:szCs w:val="20"/>
          <w:color w:val="auto"/>
        </w:rPr>
      </w:pPr>
    </w:p>
    <w:p>
      <w:pPr>
        <w:ind w:left="260"/>
        <w:spacing w:after="0" w:line="270" w:lineRule="auto"/>
        <w:rPr>
          <w:sz w:val="20"/>
          <w:szCs w:val="20"/>
          <w:color w:val="auto"/>
        </w:rPr>
      </w:pPr>
      <w:r>
        <w:rPr>
          <w:rFonts w:ascii="Times New Roman" w:cs="Times New Roman" w:eastAsia="Times New Roman" w:hAnsi="Times New Roman"/>
          <w:sz w:val="14"/>
          <w:szCs w:val="14"/>
          <w:color w:val="auto"/>
        </w:rPr>
        <w:t>Identifiable intangible assets consisted of the Pura Vida brand and customer relationships. Goodwill was fully impaired during fiscal 2023, leaving no balance. Our Pura Vida brand, an indefinite-lived asset, is not amortized but assessed for impairment at least annually or whenever events or circumstances indicate that the brand may be impaired. The Pura Vida customer relationship, a definite-lived intangible asset, is amortized over its estimated useful life and is also subject to impairment testing, similar to the Company’s other long-lived assets.</w:t>
      </w:r>
    </w:p>
    <w:p>
      <w:pPr>
        <w:spacing w:after="0" w:line="30" w:lineRule="exact"/>
        <w:rPr>
          <w:sz w:val="20"/>
          <w:szCs w:val="20"/>
          <w:color w:val="auto"/>
        </w:rPr>
      </w:pPr>
    </w:p>
    <w:p>
      <w:pPr>
        <w:ind w:left="260" w:right="80"/>
        <w:spacing w:after="0" w:line="259" w:lineRule="auto"/>
        <w:rPr>
          <w:sz w:val="20"/>
          <w:szCs w:val="20"/>
          <w:color w:val="auto"/>
        </w:rPr>
      </w:pPr>
      <w:r>
        <w:rPr>
          <w:rFonts w:ascii="Times New Roman" w:cs="Times New Roman" w:eastAsia="Times New Roman" w:hAnsi="Times New Roman"/>
          <w:sz w:val="14"/>
          <w:szCs w:val="14"/>
          <w:color w:val="auto"/>
        </w:rPr>
        <w:t>We test the Pura Vida brand for impairment annually, or more frequently if events or changes in circumstances indicate that the asset may be impaired. Our annual impairment test may be completed through a qualitative assessment to determine if the fair value of the Pura Vida brand is more likely than not greater than the carrying amount. If we elect to bypass the qualitative assessment, or if a qualitative assessment indicates it is more likely than not that the estimated carrying value exceeds the fair value, we test for impairment using a quantitative process. Our quantitative process includes comparing the carrying value to the fair value of the Pura Vida brand, with any excess recognized as an impairment loss. Fair value is estimated using a relief-from-royalty method. The estimates and assumptions used in the determination of the fair value of the Pura Vida brand include the projected revenue growth, long-term growth rate, the royalty rate, and discount rate.</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Prior to fiscal 2024, the Company performed an annual impairment test for its goodwill.</w:t>
      </w:r>
    </w:p>
    <w:p>
      <w:pPr>
        <w:spacing w:after="0" w:line="83" w:lineRule="exact"/>
        <w:rPr>
          <w:sz w:val="20"/>
          <w:szCs w:val="20"/>
          <w:color w:val="auto"/>
        </w:rPr>
      </w:pPr>
    </w:p>
    <w:p>
      <w:pPr>
        <w:jc w:val="both"/>
        <w:ind w:left="260" w:right="280"/>
        <w:spacing w:after="0" w:line="254" w:lineRule="auto"/>
        <w:rPr>
          <w:sz w:val="20"/>
          <w:szCs w:val="20"/>
          <w:color w:val="auto"/>
        </w:rPr>
      </w:pPr>
      <w:r>
        <w:rPr>
          <w:rFonts w:ascii="Times New Roman" w:cs="Times New Roman" w:eastAsia="Times New Roman" w:hAnsi="Times New Roman"/>
          <w:sz w:val="14"/>
          <w:szCs w:val="14"/>
          <w:color w:val="auto"/>
        </w:rPr>
        <w:t>The Pura Vida brand was fully impaired during fiscal 2025, leaving no balance. For the annual impairment analysis performed in the second quarter of fiscal 2025, the Company performed a quantitative analysis and no impairment was recorded. Subsequent to the annual impairment test, the Company performed an additional quantitative analysis of the carrying value of the Pura Vida brand due to triggering events and recorded an impairment charge of $6.2 million during the fourth quarter of fiscal 2025, further described in Note 15 herein.</w:t>
      </w:r>
    </w:p>
    <w:p>
      <w:pPr>
        <w:spacing w:after="0" w:line="41" w:lineRule="exact"/>
        <w:rPr>
          <w:sz w:val="20"/>
          <w:szCs w:val="20"/>
          <w:color w:val="auto"/>
        </w:rPr>
      </w:pPr>
    </w:p>
    <w:p>
      <w:pPr>
        <w:ind w:left="260" w:right="240"/>
        <w:spacing w:after="0" w:line="287" w:lineRule="auto"/>
        <w:rPr>
          <w:sz w:val="20"/>
          <w:szCs w:val="20"/>
          <w:color w:val="auto"/>
        </w:rPr>
      </w:pPr>
      <w:r>
        <w:rPr>
          <w:rFonts w:ascii="Times New Roman" w:cs="Times New Roman" w:eastAsia="Times New Roman" w:hAnsi="Times New Roman"/>
          <w:sz w:val="14"/>
          <w:szCs w:val="14"/>
          <w:color w:val="auto"/>
        </w:rPr>
        <w:t>For the annual impairment analysis performed during fiscal 2024, the Company performed a quantitative analysis, as well as subsequent analyses due to triggering events, further described in Note 15 of the Notes to the Consolidated Financial Statements herein. An impairment charge of $5.4 million was recorded during fiscal 2024 for the Pura Vida brand.</w:t>
      </w:r>
    </w:p>
    <w:p>
      <w:pPr>
        <w:spacing w:after="0" w:line="18" w:lineRule="exact"/>
        <w:rPr>
          <w:sz w:val="20"/>
          <w:szCs w:val="20"/>
          <w:color w:val="auto"/>
        </w:rPr>
      </w:pPr>
    </w:p>
    <w:p>
      <w:pPr>
        <w:ind w:left="260" w:right="240"/>
        <w:spacing w:after="0" w:line="271" w:lineRule="auto"/>
        <w:rPr>
          <w:sz w:val="20"/>
          <w:szCs w:val="20"/>
          <w:color w:val="auto"/>
        </w:rPr>
      </w:pPr>
      <w:r>
        <w:rPr>
          <w:rFonts w:ascii="Times New Roman" w:cs="Times New Roman" w:eastAsia="Times New Roman" w:hAnsi="Times New Roman"/>
          <w:sz w:val="14"/>
          <w:szCs w:val="14"/>
          <w:color w:val="auto"/>
        </w:rPr>
        <w:t>For the annual impairment analysis performed during fiscal 2023, the Company performed a quantitative analysis, as well as subsequent analyses due to triggering events, further described in Note 15 herein. Impairment charges of $44.3 million and $25.0 million were recorded during fiscal 2023 for goodwill and the Pura Vida brand, respectively.</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p>
      <w:pPr>
        <w:spacing w:after="0" w:line="74" w:lineRule="exact"/>
        <w:rPr>
          <w:sz w:val="20"/>
          <w:szCs w:val="20"/>
          <w:color w:val="auto"/>
        </w:rPr>
      </w:pPr>
    </w:p>
    <w:p>
      <w:pPr>
        <w:jc w:val="both"/>
        <w:ind w:left="260"/>
        <w:spacing w:after="0" w:line="262" w:lineRule="auto"/>
        <w:rPr>
          <w:sz w:val="20"/>
          <w:szCs w:val="20"/>
          <w:color w:val="auto"/>
        </w:rPr>
      </w:pPr>
      <w:r>
        <w:rPr>
          <w:rFonts w:ascii="Times New Roman" w:cs="Times New Roman" w:eastAsia="Times New Roman" w:hAnsi="Times New Roman"/>
          <w:sz w:val="14"/>
          <w:szCs w:val="14"/>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had the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3" w:lineRule="exact"/>
        <w:rPr>
          <w:sz w:val="20"/>
          <w:szCs w:val="20"/>
          <w:color w:val="auto"/>
        </w:rPr>
      </w:pPr>
    </w:p>
    <w:p>
      <w:pPr>
        <w:ind w:left="260" w:right="20"/>
        <w:spacing w:after="0" w:line="249" w:lineRule="auto"/>
        <w:rPr>
          <w:sz w:val="20"/>
          <w:szCs w:val="20"/>
          <w:color w:val="auto"/>
        </w:rPr>
      </w:pPr>
      <w:r>
        <w:rPr>
          <w:rFonts w:ascii="Times New Roman" w:cs="Times New Roman" w:eastAsia="Times New Roman" w:hAnsi="Times New Roman"/>
          <w:sz w:val="14"/>
          <w:szCs w:val="14"/>
          <w:color w:val="auto"/>
        </w:rPr>
        <w:t>right to sell all of the Remaining Pura Vida Interest to the Company, and the Company had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was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was delivered by a relevant party. In the event of a change in control of the Company, the parties had the right to exercise a portion of their put and call rights prior to the fifth anniversary of the closing date (as defined in the Put/Call Agreement).</w:t>
      </w:r>
    </w:p>
    <w:p>
      <w:pPr>
        <w:spacing w:after="0" w:line="46" w:lineRule="exact"/>
        <w:rPr>
          <w:sz w:val="20"/>
          <w:szCs w:val="20"/>
          <w:color w:val="auto"/>
        </w:rPr>
      </w:pPr>
    </w:p>
    <w:p>
      <w:pPr>
        <w:ind w:left="260"/>
        <w:spacing w:after="0" w:line="247" w:lineRule="auto"/>
        <w:rPr>
          <w:sz w:val="20"/>
          <w:szCs w:val="20"/>
          <w:color w:val="auto"/>
        </w:rPr>
      </w:pPr>
      <w:r>
        <w:rPr>
          <w:rFonts w:ascii="Times New Roman" w:cs="Times New Roman" w:eastAsia="Times New Roman" w:hAnsi="Times New Roman"/>
          <w:sz w:val="14"/>
          <w:szCs w:val="14"/>
          <w:color w:val="auto"/>
        </w:rPr>
        <w:t>As a result of this redemption feature, the Company recorded the noncontrolling interest as redeemable and classified it in temporary equity within its Consolidated Balance Sheets initially at its acquisition-date fair value. The noncontrolling interest was adjusted each reporting period for income (or loss) attributable to the noncontrolling interest. A measurement period adjustment, if any, was then made to adjust the noncontrolling interest to the higher of the redemption value or carrying value each reporting period. These adjustments were recognized through retained earnings and were not reflected in net income or net income attributable to Vera Bradley, Inc. When calculating earnings per share attributable to Vera Bradley, Inc., the Company adjusted net income attributable to Vera Bradley, Inc. for the measurement period adjustment to the extent the redemption value exceeds the fair value of the noncontrolling interest on a cumulative basis. The fair value of the noncontrolling interest was estimated using a combination of the income approach, a discounted cash flow analysis, and the market approach, utilizing the guideline company method. The reporting unit’s discounted cash flow analysis required significant management judgment with respect to revenue, total direct costs, selling, general, and administrative expenses, capital expenditures, and the selection and use of an appropriate discount rate. The projected revenue and expense assumptions and capital expenditures were based on our annual and long-term business plans. Discount rates reflected market-based estimates of the risks associated with the projected cash flows directly resulting from the use of those assets in operations.</w:t>
      </w:r>
    </w:p>
    <w:p>
      <w:pPr>
        <w:spacing w:after="0" w:line="47" w:lineRule="exact"/>
        <w:rPr>
          <w:sz w:val="20"/>
          <w:szCs w:val="20"/>
          <w:color w:val="auto"/>
        </w:rPr>
      </w:pPr>
    </w:p>
    <w:p>
      <w:pPr>
        <w:ind w:left="260" w:right="220"/>
        <w:spacing w:after="0" w:line="270" w:lineRule="auto"/>
        <w:rPr>
          <w:sz w:val="20"/>
          <w:szCs w:val="20"/>
          <w:color w:val="auto"/>
        </w:rPr>
      </w:pPr>
      <w:r>
        <w:rPr>
          <w:rFonts w:ascii="Times New Roman" w:cs="Times New Roman" w:eastAsia="Times New Roman" w:hAnsi="Times New Roman"/>
          <w:sz w:val="14"/>
          <w:szCs w:val="14"/>
          <w:color w:val="auto"/>
        </w:rPr>
        <w:t>On January 23, 2023, the Company and certain of its subsidiaries entered into an Interest Purchase Agreement (the “Interest Purchase Agreement”) with Creative Genius Holdings, Inc. a California corporation, Creative Genius Investments, Inc., a California corporation, Griffin Thall and Paul Goodman (collectively “Sellers”) to purchase the remaining 25% of the outstanding membership interests (the "Remaining Pura Vida Interests") of Pura Vida. The closing date of the Transaction was January 30, 2023.</w:t>
      </w:r>
    </w:p>
    <w:p>
      <w:pPr>
        <w:spacing w:after="0" w:line="30" w:lineRule="exact"/>
        <w:rPr>
          <w:sz w:val="20"/>
          <w:szCs w:val="20"/>
          <w:color w:val="auto"/>
        </w:rPr>
      </w:pPr>
    </w:p>
    <w:p>
      <w:pPr>
        <w:ind w:left="260"/>
        <w:spacing w:after="0" w:line="261" w:lineRule="auto"/>
        <w:rPr>
          <w:sz w:val="20"/>
          <w:szCs w:val="20"/>
          <w:color w:val="auto"/>
        </w:rPr>
      </w:pPr>
      <w:r>
        <w:rPr>
          <w:rFonts w:ascii="Times New Roman" w:cs="Times New Roman" w:eastAsia="Times New Roman" w:hAnsi="Times New Roman"/>
          <w:sz w:val="14"/>
          <w:szCs w:val="14"/>
          <w:color w:val="auto"/>
        </w:rPr>
        <w:t>Pursuant to the Interest Purchase Agreement, and subject to the terms and conditions thereof, on the closing date, the Company indirectly acquired the Remaining Pura Vida Interests (the “Transaction”) in exchange for cash consideration consisting of approximately $10 million payable at closing, subject to certain adjustments. The Transaction was not subject to financing conditions. The Company’s existing available cash and cash equivalents funded the purchase price. Following completion of the Transaction, the Company owned one hundred percent (100%) of the ownership interests in Pura Vida. The Interest Purchase Agreement also included certain non-competition and customer, supplier and employee non-solicitation and non-interference covenants from the Sellers in favor of the Company during the four-year period beginning on the closing date of the Transaction.</w:t>
      </w:r>
    </w:p>
    <w:p>
      <w:pPr>
        <w:spacing w:after="0" w:line="48" w:lineRule="exact"/>
        <w:rPr>
          <w:sz w:val="20"/>
          <w:szCs w:val="20"/>
          <w:color w:val="auto"/>
        </w:rPr>
      </w:pPr>
    </w:p>
    <w:p>
      <w:pPr>
        <w:ind w:left="260" w:right="80"/>
        <w:spacing w:after="0" w:line="287" w:lineRule="auto"/>
        <w:rPr>
          <w:sz w:val="20"/>
          <w:szCs w:val="20"/>
          <w:color w:val="auto"/>
        </w:rPr>
      </w:pPr>
      <w:r>
        <w:rPr>
          <w:rFonts w:ascii="Times New Roman" w:cs="Times New Roman" w:eastAsia="Times New Roman" w:hAnsi="Times New Roman"/>
          <w:sz w:val="14"/>
          <w:szCs w:val="14"/>
          <w:color w:val="auto"/>
        </w:rPr>
        <w:t>The Interest Purchase Agreement provides that, as of the closing of the Transaction, all rights and obligations of the Company and the Sellers under any agreements among the parties, including the Put/Call Agreement, were terminated.</w:t>
      </w:r>
    </w:p>
    <w:p>
      <w:pPr>
        <w:spacing w:after="0" w:line="29" w:lineRule="exact"/>
        <w:rPr>
          <w:sz w:val="20"/>
          <w:szCs w:val="20"/>
          <w:color w:val="auto"/>
        </w:rPr>
      </w:pPr>
    </w:p>
    <w:p>
      <w:pPr>
        <w:ind w:left="260" w:right="180"/>
        <w:spacing w:after="0" w:line="270" w:lineRule="auto"/>
        <w:rPr>
          <w:sz w:val="20"/>
          <w:szCs w:val="20"/>
          <w:color w:val="auto"/>
        </w:rPr>
      </w:pPr>
      <w:r>
        <w:rPr>
          <w:rFonts w:ascii="Times New Roman" w:cs="Times New Roman" w:eastAsia="Times New Roman" w:hAnsi="Times New Roman"/>
          <w:sz w:val="14"/>
          <w:szCs w:val="14"/>
          <w:color w:val="auto"/>
        </w:rPr>
        <w:t>As a result of the Transaction, the Company recorded a decrease to redeemable noncontrolling interest of $10.7 million. The difference between the fair value of the consideration paid and the balance of the redeemable noncontrolling interest resulted in $0.7 million recognized in additional paid-in capital (“APIC”) during fiscal 2024. In addition, there was an APIC adjustment of $0.6 million related to deferred income taxes for the purchase of the redeemable noncontrolling interest. The total APIC adjustment for this matter during fiscal 2024 was $1.3 million.</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83" w:lineRule="exact"/>
        <w:rPr>
          <w:sz w:val="20"/>
          <w:szCs w:val="20"/>
          <w:color w:val="auto"/>
        </w:rPr>
      </w:pPr>
    </w:p>
    <w:p>
      <w:pPr>
        <w:ind w:left="260" w:right="60"/>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accounts for stock-based compensation using the fair-value recognition provisions of ASC 718, </w:t>
      </w:r>
      <w:r>
        <w:rPr>
          <w:rFonts w:ascii="Times New Roman" w:cs="Times New Roman" w:eastAsia="Times New Roman" w:hAnsi="Times New Roman"/>
          <w:sz w:val="14"/>
          <w:szCs w:val="14"/>
          <w:i w:val="1"/>
          <w:iCs w:val="1"/>
          <w:color w:val="auto"/>
        </w:rPr>
        <w:t>Stock Compensation</w:t>
      </w:r>
      <w:r>
        <w:rPr>
          <w:rFonts w:ascii="Times New Roman" w:cs="Times New Roman" w:eastAsia="Times New Roman" w:hAnsi="Times New Roman"/>
          <w:sz w:val="14"/>
          <w:szCs w:val="14"/>
          <w:color w:val="auto"/>
        </w:rPr>
        <w:t>. Under these provisions, for its awards of restricted stock and restricted-stock units, the Company recognizes stock-based compensation expense in an amount equal to the fair market value of the underlying stock on the grant date of the respective award. The Company recognizes this expense, net of estimated forfeitures, on a straight-line basis over the requisite service period.</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Advertising Costs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3" w:lineRule="exact"/>
        <w:rPr>
          <w:sz w:val="20"/>
          <w:szCs w:val="20"/>
          <w:color w:val="auto"/>
        </w:rPr>
      </w:pPr>
    </w:p>
    <w:p>
      <w:pPr>
        <w:ind w:left="260" w:right="80"/>
        <w:spacing w:after="0" w:line="287" w:lineRule="auto"/>
        <w:rPr>
          <w:sz w:val="20"/>
          <w:szCs w:val="20"/>
          <w:color w:val="auto"/>
        </w:rPr>
      </w:pPr>
      <w:r>
        <w:rPr>
          <w:rFonts w:ascii="Times New Roman" w:cs="Times New Roman" w:eastAsia="Times New Roman" w:hAnsi="Times New Roman"/>
          <w:sz w:val="14"/>
          <w:szCs w:val="14"/>
          <w:color w:val="auto"/>
        </w:rPr>
        <w:t>The Company expenses advertising costs at the time the promotion first appears in media, in stores, or on its websites, and includes those costs in selling, general, and administrative expenses in the Consolidated Statements of Operations.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advertising expense was as follows (in thousands):</w:t>
      </w:r>
    </w:p>
    <w:p>
      <w:pPr>
        <w:spacing w:after="0" w:line="267"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ended February 1, 2025</w:t>
            </w:r>
          </w:p>
        </w:tc>
        <w:tc>
          <w:tcPr>
            <w:tcW w:w="43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52,373</w:t>
            </w: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ended February 3, 2024</w:t>
            </w:r>
          </w:p>
        </w:tc>
        <w:tc>
          <w:tcPr>
            <w:tcW w:w="4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54,999</w:t>
            </w: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ended January 28, 2023</w:t>
            </w:r>
          </w:p>
        </w:tc>
        <w:tc>
          <w:tcPr>
            <w:tcW w:w="4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54,941</w:t>
            </w:r>
          </w:p>
        </w:tc>
      </w:tr>
    </w:tbl>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74" w:lineRule="exact"/>
        <w:rPr>
          <w:sz w:val="20"/>
          <w:szCs w:val="20"/>
          <w:color w:val="auto"/>
        </w:rPr>
      </w:pPr>
    </w:p>
    <w:p>
      <w:pPr>
        <w:ind w:left="260" w:right="260"/>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29"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Quoted prices in active markets for identical assets or liabilities;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Inputs, other than the quoted prices in active markets, that are observable either directly or indirectly;</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Unobservable inputs based on the Company’s own assumptions.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classification of fair value measurements within the hierarchy is based upon the lowest level of input that is significant to the measurement.</w:t>
      </w:r>
    </w:p>
    <w:p>
      <w:pPr>
        <w:spacing w:after="0" w:line="83" w:lineRule="exact"/>
        <w:rPr>
          <w:sz w:val="20"/>
          <w:szCs w:val="20"/>
          <w:color w:val="auto"/>
        </w:rPr>
      </w:pPr>
    </w:p>
    <w:p>
      <w:pPr>
        <w:ind w:left="260" w:right="440"/>
        <w:spacing w:after="0" w:line="287" w:lineRule="auto"/>
        <w:rPr>
          <w:sz w:val="20"/>
          <w:szCs w:val="20"/>
          <w:color w:val="auto"/>
        </w:rPr>
      </w:pPr>
      <w:r>
        <w:rPr>
          <w:rFonts w:ascii="Times New Roman" w:cs="Times New Roman" w:eastAsia="Times New Roman" w:hAnsi="Times New Roman"/>
          <w:sz w:val="14"/>
          <w:szCs w:val="14"/>
          <w:color w:val="auto"/>
        </w:rPr>
        <w:t>The carrying amounts reflected on the Consolidated Balance Sheets for cash and cash equivalents, accounts receivable, and accounts payable as of February 1, 2025 and February 3, 2024, approximated their fair values.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details the fair value measurements of the Company’s investments as of February 1, 2025 and February 3, 2024 (in thousands):</w:t>
      </w:r>
    </w:p>
    <w:p>
      <w:pPr>
        <w:spacing w:after="0" w:line="185"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4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5"/>
          </w:tcPr>
          <w:p>
            <w:pPr>
              <w:ind w:left="8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00" w:type="dxa"/>
            <w:vAlign w:val="bottom"/>
          </w:tcPr>
          <w:p>
            <w:pPr>
              <w:spacing w:after="0"/>
              <w:rPr>
                <w:sz w:val="13"/>
                <w:szCs w:val="13"/>
                <w:color w:val="auto"/>
              </w:rPr>
            </w:pPr>
          </w:p>
        </w:tc>
        <w:tc>
          <w:tcPr>
            <w:tcW w:w="2240" w:type="dxa"/>
            <w:vAlign w:val="bottom"/>
            <w:gridSpan w:val="6"/>
          </w:tcPr>
          <w:p>
            <w:pPr>
              <w:jc w:val="right"/>
              <w:ind w:right="100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60" w:type="dxa"/>
            <w:vAlign w:val="bottom"/>
            <w:gridSpan w:val="4"/>
          </w:tcPr>
          <w:p>
            <w:pPr>
              <w:ind w:left="82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54"/>
        </w:trPr>
        <w:tc>
          <w:tcPr>
            <w:tcW w:w="4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February 1, 2025</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February 3, 2024</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w w:val="99"/>
              </w:rPr>
              <w:t>February 1, 2025</w:t>
            </w:r>
          </w:p>
        </w:tc>
        <w:tc>
          <w:tcPr>
            <w:tcW w:w="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February 3, 2024</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February 1, 2025</w:t>
            </w:r>
          </w:p>
        </w:tc>
        <w:tc>
          <w:tcPr>
            <w:tcW w:w="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February 3, 2024</w:t>
            </w:r>
          </w:p>
        </w:tc>
      </w:tr>
      <w:tr>
        <w:trPr>
          <w:trHeight w:val="176"/>
        </w:trPr>
        <w:tc>
          <w:tcPr>
            <w:tcW w:w="4380" w:type="dxa"/>
            <w:vAlign w:val="bottom"/>
            <w:tcBorders>
              <w:top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Cash equivalents </w:t>
            </w:r>
            <w:r>
              <w:rPr>
                <w:rFonts w:ascii="Times New Roman" w:cs="Times New Roman" w:eastAsia="Times New Roman" w:hAnsi="Times New Roman"/>
                <w:sz w:val="18"/>
                <w:szCs w:val="18"/>
                <w:color w:val="auto"/>
                <w:vertAlign w:val="superscript"/>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55,262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r>
    </w:tbl>
    <w:p>
      <w:pPr>
        <w:spacing w:after="0" w:line="38" w:lineRule="exact"/>
        <w:rPr>
          <w:sz w:val="20"/>
          <w:szCs w:val="20"/>
          <w:color w:val="auto"/>
        </w:rPr>
      </w:pPr>
    </w:p>
    <w:p>
      <w:pPr>
        <w:ind w:left="280" w:right="260" w:hanging="6"/>
        <w:spacing w:after="0" w:line="239" w:lineRule="auto"/>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equivalents primarily represent money market funds that have a maturity of three months or less at the date of purchase. Due to its short maturity, the Company believes the carrying value approximates fair value.</w:t>
      </w:r>
    </w:p>
    <w:p>
      <w:pPr>
        <w:spacing w:after="0" w:line="136" w:lineRule="exact"/>
        <w:rPr>
          <w:sz w:val="20"/>
          <w:szCs w:val="20"/>
          <w:color w:val="auto"/>
        </w:rPr>
      </w:pPr>
    </w:p>
    <w:p>
      <w:pPr>
        <w:ind w:left="260" w:right="20"/>
        <w:spacing w:after="0" w:line="261" w:lineRule="auto"/>
        <w:rPr>
          <w:sz w:val="20"/>
          <w:szCs w:val="20"/>
          <w:color w:val="auto"/>
        </w:rPr>
      </w:pPr>
      <w:r>
        <w:rPr>
          <w:rFonts w:ascii="Times New Roman" w:cs="Times New Roman" w:eastAsia="Times New Roman" w:hAnsi="Times New Roman"/>
          <w:sz w:val="14"/>
          <w:szCs w:val="14"/>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$2.6 million and $1.4 million in impairment charges primarily related to store assets including property, plant, and equipment and lease right-of-use assets during the fiscal years ended February 1, 2025, and January 28, 2023, respectively. No impairment charges were recorded in fiscal 2024 for long-lived assets.</w:t>
      </w:r>
    </w:p>
    <w:p>
      <w:pPr>
        <w:spacing w:after="0" w:line="37" w:lineRule="exact"/>
        <w:rPr>
          <w:sz w:val="20"/>
          <w:szCs w:val="20"/>
          <w:color w:val="auto"/>
        </w:rPr>
      </w:pPr>
    </w:p>
    <w:p>
      <w:pPr>
        <w:ind w:left="260" w:right="160"/>
        <w:spacing w:after="0" w:line="270" w:lineRule="auto"/>
        <w:rPr>
          <w:sz w:val="20"/>
          <w:szCs w:val="20"/>
          <w:color w:val="auto"/>
        </w:rPr>
      </w:pPr>
      <w:r>
        <w:rPr>
          <w:rFonts w:ascii="Times New Roman" w:cs="Times New Roman" w:eastAsia="Times New Roman" w:hAnsi="Times New Roman"/>
          <w:sz w:val="14"/>
          <w:szCs w:val="14"/>
          <w:color w:val="auto"/>
        </w:rPr>
        <w:t>Assets recognized or disclosed at fair value on the consolidated financial statements on a nonrecurring basis include items such as property, plant, and equipment, including leasehold improvements, and operating lease assets, as well as assets related to the Pura Vida acquisition including goodwill and intangible assets. These assets are measured at fair value if determined to be impaired. Refer to Note 15 herein regarding the Pura Vida Brand impairment test and related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impairment charges for fiscal 2025 and fiscal 2024, as well as the Pura Vida Brand and goodwill impairment test and impairment charges for fiscal 2023.</w:t>
      </w:r>
    </w:p>
    <w:p>
      <w:pPr>
        <w:spacing w:after="0" w:line="72" w:lineRule="exact"/>
        <w:rPr>
          <w:sz w:val="20"/>
          <w:szCs w:val="20"/>
          <w:color w:val="auto"/>
        </w:rPr>
      </w:pPr>
    </w:p>
    <w:p>
      <w:pPr>
        <w:ind w:left="260" w:right="120"/>
        <w:spacing w:after="0" w:line="261" w:lineRule="auto"/>
        <w:rPr>
          <w:sz w:val="20"/>
          <w:szCs w:val="20"/>
          <w:color w:val="auto"/>
        </w:rPr>
      </w:pPr>
      <w:r>
        <w:rPr>
          <w:rFonts w:ascii="Times New Roman" w:cs="Times New Roman" w:eastAsia="Times New Roman" w:hAnsi="Times New Roman"/>
          <w:sz w:val="14"/>
          <w:szCs w:val="14"/>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85" w:lineRule="exact"/>
        <w:rPr>
          <w:sz w:val="20"/>
          <w:szCs w:val="20"/>
          <w:color w:val="auto"/>
        </w:rPr>
      </w:pPr>
    </w:p>
    <w:p>
      <w:pPr>
        <w:ind w:left="260" w:right="160"/>
        <w:spacing w:after="0" w:line="270" w:lineRule="auto"/>
        <w:rPr>
          <w:sz w:val="20"/>
          <w:szCs w:val="20"/>
          <w:color w:val="auto"/>
        </w:rPr>
      </w:pPr>
      <w:r>
        <w:rPr>
          <w:rFonts w:ascii="Times New Roman" w:cs="Times New Roman" w:eastAsia="Times New Roman" w:hAnsi="Times New Roman"/>
          <w:sz w:val="14"/>
          <w:szCs w:val="14"/>
          <w:color w:val="auto"/>
        </w:rPr>
        <w:t>The Company accrues income taxes payable or refundable and recognizes deferred tax assets and liabilities based on differences between the book and tax bases of assets and liabilities. The Company measures deferred tax assets and liabilities using enacted rates in effect for the years in which the differences are expected to reverse, and recognizes the effect of a change in enacted rates in the period of enactment.</w:t>
      </w:r>
    </w:p>
    <w:p>
      <w:pPr>
        <w:spacing w:after="0" w:line="30" w:lineRule="exact"/>
        <w:rPr>
          <w:sz w:val="20"/>
          <w:szCs w:val="20"/>
          <w:color w:val="auto"/>
        </w:rPr>
      </w:pPr>
    </w:p>
    <w:p>
      <w:pPr>
        <w:jc w:val="both"/>
        <w:ind w:left="260" w:right="100"/>
        <w:spacing w:after="0" w:line="270" w:lineRule="auto"/>
        <w:rPr>
          <w:sz w:val="20"/>
          <w:szCs w:val="20"/>
          <w:color w:val="auto"/>
        </w:rPr>
      </w:pPr>
      <w:r>
        <w:rPr>
          <w:rFonts w:ascii="Times New Roman" w:cs="Times New Roman" w:eastAsia="Times New Roman" w:hAnsi="Times New Roman"/>
          <w:sz w:val="14"/>
          <w:szCs w:val="14"/>
          <w:color w:val="auto"/>
        </w:rPr>
        <w:t>When measuring deferred tax assets, the Company considers both positive and negative evidence to determine whether it is more likely than not that the deferred tax assets will be realized. This evidence includes recent operating results, projected future taxable income, the reversal of existing taxable differences, tax planning strategies, among other factors. When necessary, a valuation allowance is recorded to reduce the deferred tax assets to their anticipated realizable value. In fiscal 2025, the Company recorded a full valuation allowance against its net deferred tax assets.</w:t>
      </w:r>
    </w:p>
    <w:p>
      <w:pPr>
        <w:spacing w:after="0" w:line="40" w:lineRule="exact"/>
        <w:rPr>
          <w:sz w:val="20"/>
          <w:szCs w:val="20"/>
          <w:color w:val="auto"/>
        </w:rPr>
      </w:pPr>
    </w:p>
    <w:p>
      <w:pPr>
        <w:ind w:left="260" w:right="320"/>
        <w:spacing w:after="0" w:line="287" w:lineRule="auto"/>
        <w:rPr>
          <w:sz w:val="20"/>
          <w:szCs w:val="20"/>
          <w:color w:val="auto"/>
        </w:rPr>
      </w:pPr>
      <w:r>
        <w:rPr>
          <w:rFonts w:ascii="Times New Roman" w:cs="Times New Roman" w:eastAsia="Times New Roman" w:hAnsi="Times New Roman"/>
          <w:sz w:val="14"/>
          <w:szCs w:val="14"/>
          <w:color w:val="auto"/>
        </w:rPr>
        <w:t>The Company establishes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Cloud Computing Arrangements</w:t>
      </w:r>
    </w:p>
    <w:p>
      <w:pPr>
        <w:spacing w:after="0" w:line="74" w:lineRule="exact"/>
        <w:rPr>
          <w:sz w:val="20"/>
          <w:szCs w:val="20"/>
          <w:color w:val="auto"/>
        </w:rPr>
      </w:pPr>
    </w:p>
    <w:p>
      <w:pPr>
        <w:ind w:left="260" w:right="20"/>
        <w:spacing w:after="0" w:line="258" w:lineRule="auto"/>
        <w:rPr>
          <w:sz w:val="20"/>
          <w:szCs w:val="20"/>
          <w:color w:val="auto"/>
        </w:rPr>
      </w:pPr>
      <w:r>
        <w:rPr>
          <w:rFonts w:ascii="Times New Roman" w:cs="Times New Roman" w:eastAsia="Times New Roman" w:hAnsi="Times New Roman"/>
          <w:sz w:val="14"/>
          <w:szCs w:val="14"/>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Consolidated Statements of Operations, which is within the same line item as the related hosting fees. The balance of the unamortized CCA implementation costs totaled $0.6 million and $3.8 million as of February 1, 2025 and February 3, 2024, respectively. Of this total, $0.4 million and $2.8 million was recorded within prepaid expenses and other current assets and $0.2 million and $1.0 million was recorded within other assets on the Company's Consolidated Balance Sheets as of February 1, 2025 and February 3, 2024, respectively. In the fourth quarter of fiscal 2025, the Company recorded a software abandonment charge of $1.1 million. The CCA implementation costs are recorded within operating activities in the Company's Consolidated Statements of Cash Flows.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85" w:lineRule="exact"/>
        <w:rPr>
          <w:sz w:val="20"/>
          <w:szCs w:val="20"/>
          <w:color w:val="auto"/>
        </w:rPr>
      </w:pPr>
    </w:p>
    <w:p>
      <w:pPr>
        <w:ind w:left="260"/>
        <w:spacing w:after="0" w:line="259" w:lineRule="auto"/>
        <w:rPr>
          <w:sz w:val="20"/>
          <w:szCs w:val="20"/>
          <w:color w:val="auto"/>
        </w:rPr>
      </w:pPr>
      <w:r>
        <w:rPr>
          <w:rFonts w:ascii="Times New Roman" w:cs="Times New Roman" w:eastAsia="Times New Roman" w:hAnsi="Times New Roman"/>
          <w:sz w:val="14"/>
          <w:szCs w:val="14"/>
          <w:color w:val="auto"/>
        </w:rPr>
        <w:t>In November 2023, the FASB issued ASU 2023-07, "Improvements to Reportable Segment Disclosures".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The Company adopted the ASU during the year ended February 1, 2025 and the impact of the ASU was limited to financial statement footnote disclosures. Refer to Note 17 herein.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3" w:lineRule="exact"/>
        <w:rPr>
          <w:sz w:val="20"/>
          <w:szCs w:val="20"/>
          <w:color w:val="auto"/>
        </w:rPr>
      </w:pPr>
    </w:p>
    <w:p>
      <w:pPr>
        <w:ind w:left="260" w:right="40"/>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"Improvements to Income Tax Disclosures". This ASU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The new standard is effective for fiscal years beginning after December 15, 2024 (the Company's fiscal year 2026), with retrospective application permitted. The Company is currently evaluating this guidance to determine the impact on its disclosures; however, adoption will not impact our consolidated financial statements.</w:t>
      </w:r>
    </w:p>
    <w:p>
      <w:pPr>
        <w:spacing w:after="0" w:line="34" w:lineRule="exact"/>
        <w:rPr>
          <w:sz w:val="20"/>
          <w:szCs w:val="20"/>
          <w:color w:val="auto"/>
        </w:rPr>
      </w:pPr>
    </w:p>
    <w:p>
      <w:pPr>
        <w:ind w:left="260"/>
        <w:spacing w:after="0" w:line="261" w:lineRule="auto"/>
        <w:rPr>
          <w:sz w:val="20"/>
          <w:szCs w:val="20"/>
          <w:color w:val="auto"/>
        </w:rPr>
      </w:pPr>
      <w:r>
        <w:rPr>
          <w:rFonts w:ascii="Times New Roman" w:cs="Times New Roman" w:eastAsia="Times New Roman" w:hAnsi="Times New Roman"/>
          <w:sz w:val="14"/>
          <w:szCs w:val="14"/>
          <w:color w:val="auto"/>
        </w:rPr>
        <w:t>In November 2024, the Financial Accounting Standards Board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(the Company’s fiscal year 2028) and interim reporting periods beginning after December 15, 2027 (interim periods for the Company’s fiscal year 2029). Public business entities are required to apply the guidance prospectively, however, retrospective application is permitted. The Company is currently evaluating the impact of this ASU, but expects the impact to be limited to financial statement footnote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314"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47" w:lineRule="exact"/>
        <w:rPr>
          <w:sz w:val="20"/>
          <w:szCs w:val="20"/>
          <w:color w:val="auto"/>
        </w:rPr>
      </w:pPr>
    </w:p>
    <w:p>
      <w:pPr>
        <w:ind w:left="260" w:right="8560" w:hanging="255"/>
        <w:spacing w:after="0" w:line="357" w:lineRule="auto"/>
        <w:tabs>
          <w:tab w:leader="none" w:pos="253"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from Contracts with Customers Disaggregation of Revenue</w:t>
      </w:r>
    </w:p>
    <w:p>
      <w:pPr>
        <w:ind w:left="260"/>
        <w:spacing w:after="0" w:line="28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presents the Company's net revenues disaggregated by product category for the fifty-two weeks ended February 1, 2025 and January 28, 2023, and fifty-three weeks ended February 3, 2024 (in thousands):</w:t>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871"/>
              <w:spacing w:after="0"/>
              <w:rPr>
                <w:sz w:val="20"/>
                <w:szCs w:val="20"/>
                <w:color w:val="auto"/>
              </w:rPr>
            </w:pPr>
            <w:r>
              <w:rPr>
                <w:rFonts w:ascii="Times New Roman" w:cs="Times New Roman" w:eastAsia="Times New Roman" w:hAnsi="Times New Roman"/>
                <w:sz w:val="11"/>
                <w:szCs w:val="11"/>
                <w:b w:val="1"/>
                <w:bCs w:val="1"/>
                <w:color w:val="auto"/>
              </w:rPr>
              <w:t>Fifty-Two Weeks Ended</w:t>
            </w: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4"/>
        </w:trPr>
        <w:tc>
          <w:tcPr>
            <w:tcW w:w="4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1051"/>
              <w:spacing w:after="0"/>
              <w:rPr>
                <w:sz w:val="20"/>
                <w:szCs w:val="20"/>
                <w:color w:val="auto"/>
              </w:rPr>
            </w:pPr>
            <w:r>
              <w:rPr>
                <w:rFonts w:ascii="Times New Roman" w:cs="Times New Roman" w:eastAsia="Times New Roman" w:hAnsi="Times New Roman"/>
                <w:sz w:val="11"/>
                <w:szCs w:val="11"/>
                <w:b w:val="1"/>
                <w:bCs w:val="1"/>
                <w:color w:val="auto"/>
              </w:rPr>
              <w:t>February 1, 2025</w:t>
            </w: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0"/>
        </w:trPr>
        <w:tc>
          <w:tcPr>
            <w:tcW w:w="46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VB Direct Segment</w:t>
            </w:r>
          </w:p>
        </w:tc>
        <w:tc>
          <w:tcPr>
            <w:tcW w:w="3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VB Indirect Segment</w:t>
            </w:r>
          </w:p>
        </w:tc>
        <w:tc>
          <w:tcPr>
            <w:tcW w:w="3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Pura Vida Segment</w:t>
            </w:r>
          </w:p>
        </w:tc>
        <w:tc>
          <w:tcPr>
            <w:tcW w:w="3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Product categories</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Bags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105,071</w:t>
            </w:r>
          </w:p>
        </w:tc>
        <w:tc>
          <w:tcPr>
            <w:tcW w:w="3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35,077</w:t>
            </w: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140,230</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Travel</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67,911</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13,090</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81,001</w:t>
            </w: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Accessories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40,993</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6,920</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51,312</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99,225</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25,899</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28,637</w:t>
            </w: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Apparel/Footwear</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10,554</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12,250</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7,181</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7"/>
              </w:rPr>
              <w:t>(2)</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7"/>
              </w:rPr>
              <w:t>(3)</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10,624</w:t>
            </w:r>
          </w:p>
        </w:tc>
      </w:tr>
      <w:tr>
        <w:trPr>
          <w:trHeight w:val="17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257,609</w:t>
            </w: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61,186</w:t>
            </w: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53,172</w:t>
            </w: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(4)</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371,967</w:t>
            </w: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480" w:hanging="206"/>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net revenues from stationery, freight, and gift card breakage.</w:t>
      </w:r>
    </w:p>
    <w:p>
      <w:pPr>
        <w:spacing w:after="0" w:line="23"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net revenues from licensing agreements, freight, and merchandising.</w:t>
      </w:r>
    </w:p>
    <w:p>
      <w:pPr>
        <w:spacing w:after="0" w:line="19"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freight.</w:t>
      </w:r>
    </w:p>
    <w:p>
      <w:pPr>
        <w:spacing w:after="0" w:line="19"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were related to product sales recognized at a point in time.</w:t>
      </w:r>
    </w:p>
    <w:p>
      <w:pPr>
        <w:spacing w:after="0" w:line="19"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$59.4 million of net revenues related to product sales recognized at a point in time and $1.8 million of net revenues related to sales-based royalties recognized over time.</w:t>
      </w:r>
    </w:p>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1"/>
                <w:szCs w:val="11"/>
                <w:b w:val="1"/>
                <w:bCs w:val="1"/>
                <w:color w:val="auto"/>
              </w:rPr>
              <w:t>Fifty-Three Weeks Ended</w:t>
            </w: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4"/>
        </w:trPr>
        <w:tc>
          <w:tcPr>
            <w:tcW w:w="4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1051"/>
              <w:spacing w:after="0"/>
              <w:rPr>
                <w:sz w:val="20"/>
                <w:szCs w:val="20"/>
                <w:color w:val="auto"/>
              </w:rPr>
            </w:pPr>
            <w:r>
              <w:rPr>
                <w:rFonts w:ascii="Times New Roman" w:cs="Times New Roman" w:eastAsia="Times New Roman" w:hAnsi="Times New Roman"/>
                <w:sz w:val="11"/>
                <w:szCs w:val="11"/>
                <w:b w:val="1"/>
                <w:bCs w:val="1"/>
                <w:color w:val="auto"/>
              </w:rPr>
              <w:t>February 3, 2024</w:t>
            </w: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0"/>
        </w:trPr>
        <w:tc>
          <w:tcPr>
            <w:tcW w:w="46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VB Direct Segment</w:t>
            </w:r>
          </w:p>
        </w:tc>
        <w:tc>
          <w:tcPr>
            <w:tcW w:w="3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VB Indirect Segment</w:t>
            </w:r>
          </w:p>
        </w:tc>
        <w:tc>
          <w:tcPr>
            <w:tcW w:w="3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Pura Vida Segment</w:t>
            </w:r>
          </w:p>
        </w:tc>
        <w:tc>
          <w:tcPr>
            <w:tcW w:w="3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Product categories</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Bags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119,705</w:t>
            </w:r>
          </w:p>
        </w:tc>
        <w:tc>
          <w:tcPr>
            <w:tcW w:w="3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39,609</w:t>
            </w: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3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159,721</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Travel</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75,927</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14,922</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90,849</w:t>
            </w: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Accessories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52,930</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9,547</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82,731</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145,208</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37,587</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41,609</w:t>
            </w: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Apparel/Footwear</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16,526</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20,437</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7,235</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7"/>
              </w:rPr>
              <w:t>(2)</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7"/>
              </w:rPr>
              <w:t>(3)</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12,962</w:t>
            </w:r>
          </w:p>
        </w:tc>
      </w:tr>
      <w:tr>
        <w:trPr>
          <w:trHeight w:val="17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309,910</w:t>
            </w: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73,803</w:t>
            </w: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87,073</w:t>
            </w: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(4)</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470,786</w:t>
            </w: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480" w:hanging="206"/>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net revenues from stationery, freight, and gift card breakage.</w:t>
      </w:r>
    </w:p>
    <w:p>
      <w:pPr>
        <w:spacing w:after="0" w:line="23"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net revenues from licensing agreements, freight, and merchandising.</w:t>
      </w:r>
    </w:p>
    <w:p>
      <w:pPr>
        <w:spacing w:after="0" w:line="19"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freight.</w:t>
      </w:r>
    </w:p>
    <w:p>
      <w:pPr>
        <w:spacing w:after="0" w:line="19"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were related to product sales recognized at a point in time.</w:t>
      </w:r>
    </w:p>
    <w:p>
      <w:pPr>
        <w:spacing w:after="0" w:line="19"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$71.4 million of net revenues related to product sales recognized at a point in time and $2.4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871"/>
              <w:spacing w:after="0"/>
              <w:rPr>
                <w:sz w:val="20"/>
                <w:szCs w:val="20"/>
                <w:color w:val="auto"/>
              </w:rPr>
            </w:pPr>
            <w:r>
              <w:rPr>
                <w:rFonts w:ascii="Times New Roman" w:cs="Times New Roman" w:eastAsia="Times New Roman" w:hAnsi="Times New Roman"/>
                <w:sz w:val="11"/>
                <w:szCs w:val="11"/>
                <w:b w:val="1"/>
                <w:bCs w:val="1"/>
                <w:color w:val="auto"/>
              </w:rPr>
              <w:t>Fifty-Two Weeks Ended</w:t>
            </w: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4"/>
        </w:trPr>
        <w:tc>
          <w:tcPr>
            <w:tcW w:w="4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1051"/>
              <w:spacing w:after="0"/>
              <w:rPr>
                <w:sz w:val="20"/>
                <w:szCs w:val="20"/>
                <w:color w:val="auto"/>
              </w:rPr>
            </w:pPr>
            <w:r>
              <w:rPr>
                <w:rFonts w:ascii="Times New Roman" w:cs="Times New Roman" w:eastAsia="Times New Roman" w:hAnsi="Times New Roman"/>
                <w:sz w:val="11"/>
                <w:szCs w:val="11"/>
                <w:b w:val="1"/>
                <w:bCs w:val="1"/>
                <w:color w:val="auto"/>
              </w:rPr>
              <w:t>January 28, 2023</w:t>
            </w: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0"/>
        </w:trPr>
        <w:tc>
          <w:tcPr>
            <w:tcW w:w="46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VB Direct Segment</w:t>
            </w:r>
          </w:p>
        </w:tc>
        <w:tc>
          <w:tcPr>
            <w:tcW w:w="3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VB Indirect Segment</w:t>
            </w:r>
          </w:p>
        </w:tc>
        <w:tc>
          <w:tcPr>
            <w:tcW w:w="3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Pura Vida Segment</w:t>
            </w:r>
          </w:p>
        </w:tc>
        <w:tc>
          <w:tcPr>
            <w:tcW w:w="3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Product categories</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Bags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131,432</w:t>
            </w:r>
          </w:p>
        </w:tc>
        <w:tc>
          <w:tcPr>
            <w:tcW w:w="3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38,587</w:t>
            </w: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3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171,268</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Travel</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79,585</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14,283</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93,868</w:t>
            </w: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Accessories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58,932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10,312</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90,743</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159,987</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38,040</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4,233</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42,273</w:t>
            </w:r>
          </w:p>
        </w:tc>
      </w:tr>
      <w:tr>
        <w:trPr>
          <w:trHeight w:val="180"/>
        </w:trPr>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Apparel/Footwear</w:t>
            </w:r>
            <w:r>
              <w:rPr>
                <w:rFonts w:ascii="Times New Roman" w:cs="Times New Roman" w:eastAsia="Times New Roman" w:hAnsi="Times New Roman"/>
                <w:sz w:val="18"/>
                <w:szCs w:val="18"/>
                <w:color w:val="auto"/>
                <w:vertAlign w:val="superscript"/>
              </w:rPr>
              <w:t>(6)</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18,781</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7,541</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7"/>
              </w:rPr>
              <w:t>(2)</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3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7"/>
              </w:rPr>
              <w:t>(3)</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13,784</w:t>
            </w:r>
          </w:p>
        </w:tc>
      </w:tr>
      <w:tr>
        <w:trPr>
          <w:trHeight w:val="17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328,231</w:t>
            </w: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73,316</w:t>
            </w: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98,414</w:t>
            </w:r>
          </w:p>
        </w:tc>
        <w:tc>
          <w:tcPr>
            <w:tcW w:w="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(4)</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499,961</w:t>
            </w: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480" w:hanging="206"/>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net revenues from stationery, freight, and gift card breakage.</w:t>
      </w:r>
    </w:p>
    <w:p>
      <w:pPr>
        <w:spacing w:after="0" w:line="23"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net revenues from licensing agreements, freight, and merchandising.</w:t>
      </w:r>
    </w:p>
    <w:p>
      <w:pPr>
        <w:spacing w:after="0" w:line="19"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freight.</w:t>
      </w:r>
    </w:p>
    <w:p>
      <w:pPr>
        <w:spacing w:after="0" w:line="19"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were related to product sales recognized at a point in time.</w:t>
      </w:r>
    </w:p>
    <w:p>
      <w:pPr>
        <w:spacing w:after="0" w:line="19"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$70.7 million of net revenues related to product sales recognized at a point in time and $2.6 million of net revenues related to sales-based royalties recognized over time.</w:t>
      </w:r>
    </w:p>
    <w:p>
      <w:pPr>
        <w:spacing w:after="0" w:line="19"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mask sales.</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Contract Balances</w:t>
      </w:r>
    </w:p>
    <w:p>
      <w:pPr>
        <w:spacing w:after="0" w:line="74" w:lineRule="exact"/>
        <w:rPr>
          <w:sz w:val="20"/>
          <w:szCs w:val="20"/>
          <w:color w:val="auto"/>
        </w:rPr>
      </w:pPr>
    </w:p>
    <w:p>
      <w:pPr>
        <w:ind w:left="260" w:right="20"/>
        <w:spacing w:after="0" w:line="264" w:lineRule="auto"/>
        <w:rPr>
          <w:sz w:val="20"/>
          <w:szCs w:val="20"/>
          <w:color w:val="auto"/>
        </w:rPr>
      </w:pPr>
      <w:r>
        <w:rPr>
          <w:rFonts w:ascii="Times New Roman" w:cs="Times New Roman" w:eastAsia="Times New Roman" w:hAnsi="Times New Roman"/>
          <w:sz w:val="14"/>
          <w:szCs w:val="14"/>
          <w:color w:val="auto"/>
        </w:rPr>
        <w:t>Contract liabilities as of February 1, 2025 and February 3, 2024, were $2.4 million and $2.6 million, respectively. The balance consisted of unredeemed gift cards, unearned revenue related to the monthly bracelet subscription of the Pura Vida segment, Pura Vida loyalty club points, and Pura Vida customer deposits and payments collected before shipment. These contract liabilities are recognized within other accrued liabilities on the Company’s Consolidated Balance Sheets. Substantially all contract liabilities are recognized within one year. The Company did not have contract assets as of February 1, 2025 and February 3, 2024.</w:t>
      </w:r>
    </w:p>
    <w:p>
      <w:pPr>
        <w:spacing w:after="0" w:line="45" w:lineRule="exact"/>
        <w:rPr>
          <w:sz w:val="20"/>
          <w:szCs w:val="20"/>
          <w:color w:val="auto"/>
        </w:rPr>
      </w:pPr>
    </w:p>
    <w:p>
      <w:pPr>
        <w:jc w:val="both"/>
        <w:ind w:left="260" w:right="160"/>
        <w:spacing w:after="0" w:line="270" w:lineRule="auto"/>
        <w:rPr>
          <w:sz w:val="20"/>
          <w:szCs w:val="20"/>
          <w:color w:val="auto"/>
        </w:rPr>
      </w:pPr>
      <w:r>
        <w:rPr>
          <w:rFonts w:ascii="Times New Roman" w:cs="Times New Roman" w:eastAsia="Times New Roman" w:hAnsi="Times New Roman"/>
          <w:sz w:val="14"/>
          <w:szCs w:val="14"/>
          <w:color w:val="auto"/>
        </w:rPr>
        <w:t>The balance for accounts receivable from contracts with customers, net of allowances, as of February 1, 2025 and February 3, 2024 was $14.2 million and $16.4 million, respectively, which is recognized within accounts receivable, net, on the Company’s Consolidated Balance Sheets. The provision for doubtful accounts was $1.1 million as of February 1, 2025 and February 3, 2024, respectively. The provision for doubtful accounts is based upon the likelihood of default expected during the life of the receivable.</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Performance Obligations</w:t>
      </w:r>
    </w:p>
    <w:p>
      <w:pPr>
        <w:spacing w:after="0" w:line="85" w:lineRule="exact"/>
        <w:rPr>
          <w:sz w:val="20"/>
          <w:szCs w:val="20"/>
          <w:color w:val="auto"/>
        </w:rPr>
      </w:pPr>
    </w:p>
    <w:p>
      <w:pPr>
        <w:ind w:left="260"/>
        <w:spacing w:after="0" w:line="287" w:lineRule="auto"/>
        <w:rPr>
          <w:sz w:val="20"/>
          <w:szCs w:val="20"/>
          <w:color w:val="auto"/>
        </w:rPr>
      </w:pPr>
      <w:r>
        <w:rPr>
          <w:rFonts w:ascii="Times New Roman" w:cs="Times New Roman" w:eastAsia="Times New Roman" w:hAnsi="Times New Roman"/>
          <w:sz w:val="14"/>
          <w:szCs w:val="14"/>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Remaining Performance Obligations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does not have remaining performance obligations in excess of one year or contracts that it does not have the right to invoice as of February 1, 2025.</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Significant Judgments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Product Sales</w:t>
      </w:r>
    </w:p>
    <w:p>
      <w:pPr>
        <w:spacing w:after="0" w:line="85" w:lineRule="exact"/>
        <w:rPr>
          <w:sz w:val="20"/>
          <w:szCs w:val="20"/>
          <w:color w:val="auto"/>
        </w:rPr>
      </w:pPr>
    </w:p>
    <w:p>
      <w:pPr>
        <w:ind w:left="260" w:right="220"/>
        <w:spacing w:after="0" w:line="270" w:lineRule="auto"/>
        <w:rPr>
          <w:sz w:val="20"/>
          <w:szCs w:val="20"/>
          <w:color w:val="auto"/>
        </w:rPr>
      </w:pPr>
      <w:r>
        <w:rPr>
          <w:rFonts w:ascii="Times New Roman" w:cs="Times New Roman" w:eastAsia="Times New Roman" w:hAnsi="Times New Roman"/>
          <w:sz w:val="14"/>
          <w:szCs w:val="14"/>
          <w:color w:val="auto"/>
        </w:rPr>
        <w:t>In the Vera Bradley and Pura Vida retail stores (recognized within the VB Direct segment and the Pura Vida segments), control is transferred and net revenue is recognized at the point of sale. Product shipments for the Company’s e-commerce channels (recognized within the VB Direct and Pura Vida segments) and shipments to its wholesale retailers (recognized within the VB Indirect segment and Pura Vida segment) are generally shipped Free on Board (“FOB”) shipping point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3" w:lineRule="exact"/>
        <w:rPr>
          <w:sz w:val="20"/>
          <w:szCs w:val="20"/>
          <w:color w:val="auto"/>
        </w:rPr>
      </w:pPr>
    </w:p>
    <w:p>
      <w:pPr>
        <w:ind w:left="260"/>
        <w:spacing w:after="0" w:line="270" w:lineRule="auto"/>
        <w:rPr>
          <w:sz w:val="20"/>
          <w:szCs w:val="20"/>
          <w:color w:val="auto"/>
        </w:rPr>
      </w:pPr>
      <w:r>
        <w:rPr>
          <w:rFonts w:ascii="Times New Roman" w:cs="Times New Roman" w:eastAsia="Times New Roman" w:hAnsi="Times New Roman"/>
          <w:sz w:val="14"/>
          <w:szCs w:val="14"/>
          <w:color w:val="auto"/>
        </w:rPr>
        <w:t>typically from its distribution center in Roanoke, Indiana, for Vera Bradley products and primarily from its third-party fulfillment center in Tijuana, Mexico for Pura Vida products. Net revenue is recognized upon shipment consistent with when control is transferred to the customer. Upon shipment, the customer has the right to direct the use of, and obtain substantially all of the benefits from, the product.</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Licensing Royalties</w:t>
      </w:r>
    </w:p>
    <w:p>
      <w:pPr>
        <w:spacing w:after="0" w:line="85" w:lineRule="exact"/>
        <w:rPr>
          <w:sz w:val="20"/>
          <w:szCs w:val="20"/>
          <w:color w:val="auto"/>
        </w:rPr>
      </w:pPr>
    </w:p>
    <w:p>
      <w:pPr>
        <w:jc w:val="both"/>
        <w:ind w:left="260" w:right="280"/>
        <w:spacing w:after="0" w:line="270" w:lineRule="auto"/>
        <w:rPr>
          <w:sz w:val="20"/>
          <w:szCs w:val="20"/>
          <w:color w:val="auto"/>
        </w:rPr>
      </w:pPr>
      <w:r>
        <w:rPr>
          <w:rFonts w:ascii="Times New Roman" w:cs="Times New Roman" w:eastAsia="Times New Roman" w:hAnsi="Times New Roman"/>
          <w:sz w:val="14"/>
          <w:szCs w:val="14"/>
          <w:color w:val="auto"/>
        </w:rPr>
        <w:t>The Company grants rights to access its Vera Bradley IP and accounts for any resulting sales-based royalty revenue over time, as the subsequent sales occur. The Company has contractually guaranteed minimum royalties in certain of its sales-based royalty arrangements which are recognized straight-line over the remaining license period once determined that the minimum sales level will not be achieved. Licensing royalties are recognized within VB Indirect segment net revenues.</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Transaction Price and Amounts Allocated to Performance Obligations</w:t>
      </w:r>
    </w:p>
    <w:p>
      <w:pPr>
        <w:spacing w:after="0" w:line="74" w:lineRule="exact"/>
        <w:rPr>
          <w:sz w:val="20"/>
          <w:szCs w:val="20"/>
          <w:color w:val="auto"/>
        </w:rPr>
      </w:pPr>
    </w:p>
    <w:p>
      <w:pPr>
        <w:ind w:left="260" w:right="100"/>
        <w:spacing w:after="0" w:line="264" w:lineRule="auto"/>
        <w:rPr>
          <w:sz w:val="20"/>
          <w:szCs w:val="20"/>
          <w:color w:val="auto"/>
        </w:rPr>
      </w:pPr>
      <w:r>
        <w:rPr>
          <w:rFonts w:ascii="Times New Roman" w:cs="Times New Roman" w:eastAsia="Times New Roman" w:hAnsi="Times New Roman"/>
          <w:sz w:val="14"/>
          <w:szCs w:val="14"/>
          <w:color w:val="auto"/>
        </w:rPr>
        <w:t>The transaction price is the amount of consideration the Company expects to be entitled to in a sales transaction. The transaction price is net of discounts, estimated variable consideration (if any), and any customer allowances offered or estimated, including those offered to certain Indirect retailers based on various contract terms. The transaction price also is net of allowances for product returns, which the Company is able to reasonably estimate based upon historical experience. The transaction price is allocated to each performance obligation in the contract based upon the standalone selling price.</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Contract Costs</w:t>
      </w:r>
    </w:p>
    <w:p>
      <w:pPr>
        <w:spacing w:after="0" w:line="85" w:lineRule="exact"/>
        <w:rPr>
          <w:sz w:val="20"/>
          <w:szCs w:val="20"/>
          <w:color w:val="auto"/>
        </w:rPr>
      </w:pPr>
    </w:p>
    <w:p>
      <w:pPr>
        <w:jc w:val="both"/>
        <w:ind w:left="260"/>
        <w:spacing w:after="0" w:line="287" w:lineRule="auto"/>
        <w:rPr>
          <w:sz w:val="20"/>
          <w:szCs w:val="20"/>
          <w:color w:val="auto"/>
        </w:rPr>
      </w:pPr>
      <w:r>
        <w:rPr>
          <w:rFonts w:ascii="Times New Roman" w:cs="Times New Roman" w:eastAsia="Times New Roman" w:hAnsi="Times New Roman"/>
          <w:sz w:val="14"/>
          <w:szCs w:val="14"/>
          <w:color w:val="auto"/>
        </w:rPr>
        <w:t>Sales commissions are paid to certain employees based upon specific sales achieved during a time period. As the Company’s contracts related to these sales commissions do not exceed one year, these incentive payments are expensed as incurred.</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Other Practical Expedients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Significant Financing Components</w:t>
      </w:r>
    </w:p>
    <w:p>
      <w:pPr>
        <w:spacing w:after="0" w:line="85" w:lineRule="exact"/>
        <w:rPr>
          <w:sz w:val="20"/>
          <w:szCs w:val="20"/>
          <w:color w:val="auto"/>
        </w:rPr>
      </w:pPr>
    </w:p>
    <w:p>
      <w:pPr>
        <w:jc w:val="both"/>
        <w:ind w:left="260"/>
        <w:spacing w:after="0" w:line="280" w:lineRule="auto"/>
        <w:rPr>
          <w:sz w:val="20"/>
          <w:szCs w:val="20"/>
          <w:color w:val="auto"/>
        </w:rPr>
      </w:pPr>
      <w:r>
        <w:rPr>
          <w:rFonts w:ascii="Times New Roman" w:cs="Times New Roman" w:eastAsia="Times New Roman" w:hAnsi="Times New Roman"/>
          <w:sz w:val="14"/>
          <w:szCs w:val="14"/>
          <w:color w:val="auto"/>
        </w:rPr>
        <w:t>The Company does not adjust for the time value of money as the majority of its contracts have an original expected duration of one year or less; contracts that are greater than one year are related to net revenues that are constrained until the subsequent sales occur. The net revenues associated with these contracts are immaterial, and the Company does not adjust for the time value of money.</w:t>
      </w:r>
    </w:p>
    <w:p>
      <w:pPr>
        <w:spacing w:after="0" w:line="3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Concentration of Credit Risk</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Five customers represented approximately 66.0% of the balance of accounts receivable, net as of February 1, 2025.</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w:t>
      </w:r>
    </w:p>
    <w:p>
      <w:pPr>
        <w:spacing w:after="0" w:line="210"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Nature of Leases</w:t>
      </w:r>
    </w:p>
    <w:p>
      <w:pPr>
        <w:spacing w:after="0" w:line="74" w:lineRule="exact"/>
        <w:rPr>
          <w:rFonts w:ascii="Times New Roman" w:cs="Times New Roman" w:eastAsia="Times New Roman" w:hAnsi="Times New Roman"/>
          <w:sz w:val="14"/>
          <w:szCs w:val="14"/>
          <w:b w:val="1"/>
          <w:bCs w:val="1"/>
          <w:color w:val="auto"/>
        </w:rPr>
      </w:pPr>
    </w:p>
    <w:p>
      <w:pPr>
        <w:ind w:left="260" w:right="480"/>
        <w:spacing w:after="0" w:line="28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has operating leases at all of its Vera Bradley and Pura Vida retail stores (including storage spaces), as well as for its New York office, the California Pura Vida office, Asia sourcing office, and showrooms. The Company does not have residual value guarantees, restrictions, or covenants imposed by leases.</w:t>
      </w:r>
    </w:p>
    <w:p>
      <w:pPr>
        <w:spacing w:after="0" w:line="154"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Determination of Lease Terms</w:t>
      </w:r>
    </w:p>
    <w:p>
      <w:pPr>
        <w:spacing w:after="0" w:line="85" w:lineRule="exact"/>
        <w:rPr>
          <w:rFonts w:ascii="Times New Roman" w:cs="Times New Roman" w:eastAsia="Times New Roman" w:hAnsi="Times New Roman"/>
          <w:sz w:val="14"/>
          <w:szCs w:val="14"/>
          <w:b w:val="1"/>
          <w:bCs w:val="1"/>
          <w:color w:val="auto"/>
        </w:rPr>
      </w:pPr>
    </w:p>
    <w:p>
      <w:pPr>
        <w:ind w:left="260" w:right="100"/>
        <w:spacing w:after="0" w:line="26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Retail store leases have remaining terms of up to 10 years as of February 1, 2025. These leases generally have early termination rights when certain sales thresholds are not met for a specified measurement period. The Company's other leases generally have remaining terms of up to approximately two years as of February 1, 2025. If the lease contains a renewal period at the Company's option, the renewal period is included in the lease term if determined the option is reasonably certain to be exercised at lease commencement. The Company's lease options generally do not include termination rights other than those mentioned. The Company did not have financing leases as of February 1, 2025.</w:t>
      </w:r>
    </w:p>
    <w:p>
      <w:pPr>
        <w:spacing w:after="0" w:line="15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Variable Rental Payments</w:t>
      </w:r>
    </w:p>
    <w:p>
      <w:pPr>
        <w:spacing w:after="0" w:line="85" w:lineRule="exact"/>
        <w:rPr>
          <w:rFonts w:ascii="Times New Roman" w:cs="Times New Roman" w:eastAsia="Times New Roman" w:hAnsi="Times New Roman"/>
          <w:sz w:val="14"/>
          <w:szCs w:val="14"/>
          <w:b w:val="1"/>
          <w:bCs w:val="1"/>
          <w:color w:val="auto"/>
        </w:rPr>
      </w:pPr>
    </w:p>
    <w:p>
      <w:pPr>
        <w:jc w:val="both"/>
        <w:ind w:left="260" w:right="100"/>
        <w:spacing w:after="0" w:line="27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retail store leases contain variable rental payments based on each location's monthly gross sales, the majority of which have specified sales breakpoints. In addition, the majority of the Company's leases contain real estate taxes, common area maintenance, and similar items that are billed as pass-through charges from its landlords. These rental payments are not included in the measurement of the lease liability, but are recognized as variable lease cost in the period incurred.</w:t>
      </w:r>
    </w:p>
    <w:p>
      <w:pPr>
        <w:spacing w:after="0" w:line="40" w:lineRule="exact"/>
        <w:rPr>
          <w:rFonts w:ascii="Times New Roman" w:cs="Times New Roman" w:eastAsia="Times New Roman" w:hAnsi="Times New Roman"/>
          <w:sz w:val="14"/>
          <w:szCs w:val="14"/>
          <w:b w:val="1"/>
          <w:bCs w:val="1"/>
          <w:color w:val="auto"/>
        </w:rPr>
      </w:pPr>
    </w:p>
    <w:p>
      <w:pPr>
        <w:ind w:left="260" w:right="100"/>
        <w:spacing w:after="0" w:line="28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Certain of the Company's leases also contain lease components with increases based upon an index or rate. These lease components are included on the Company's balance sheet at the rate as of lease commencement. Future changes in the index or rate will generally be included as variable lease cost.</w:t>
      </w:r>
    </w:p>
    <w:p>
      <w:pPr>
        <w:spacing w:after="0" w:line="143" w:lineRule="exact"/>
        <w:rPr>
          <w:rFonts w:ascii="Times New Roman" w:cs="Times New Roman" w:eastAsia="Times New Roman" w:hAnsi="Times New Roman"/>
          <w:sz w:val="14"/>
          <w:szCs w:val="14"/>
          <w:b w:val="1"/>
          <w:bCs w:val="1"/>
          <w:color w:val="auto"/>
        </w:rPr>
      </w:pPr>
    </w:p>
    <w:p>
      <w:pPr>
        <w:ind w:left="260" w:right="7880"/>
        <w:spacing w:after="0" w:line="36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Significant Judgments and Assumptions </w:t>
      </w:r>
      <w:r>
        <w:rPr>
          <w:rFonts w:ascii="Times New Roman" w:cs="Times New Roman" w:eastAsia="Times New Roman" w:hAnsi="Times New Roman"/>
          <w:sz w:val="14"/>
          <w:szCs w:val="14"/>
          <w:i w:val="1"/>
          <w:iCs w:val="1"/>
          <w:color w:val="auto"/>
        </w:rPr>
        <w:t>Determination of Whether a Contract Contains a Lease</w:t>
      </w:r>
    </w:p>
    <w:p>
      <w:pPr>
        <w:ind w:left="260" w:right="240"/>
        <w:spacing w:after="0" w:line="27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determines whether a contract is or contains a lease at the inception of the contract. The contract is, or contains, a lease if the contract conveys the right to control the use of identified property, plant, or equipment for a period of time in exchange for consideration. The Company generally must also have the right to obtain substantially all of the economic benefits from use of the property, plant, and equipment and have the right to direct its use.</w:t>
      </w:r>
    </w:p>
    <w:p>
      <w:pPr>
        <w:spacing w:after="0" w:line="27"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Discount Rate</w:t>
      </w:r>
    </w:p>
    <w:p>
      <w:pPr>
        <w:spacing w:after="0" w:line="85" w:lineRule="exact"/>
        <w:rPr>
          <w:rFonts w:ascii="Times New Roman" w:cs="Times New Roman" w:eastAsia="Times New Roman" w:hAnsi="Times New Roman"/>
          <w:sz w:val="14"/>
          <w:szCs w:val="14"/>
          <w:b w:val="1"/>
          <w:bCs w:val="1"/>
          <w:color w:val="auto"/>
        </w:rPr>
      </w:pPr>
    </w:p>
    <w:p>
      <w:pPr>
        <w:ind w:left="260" w:right="40"/>
        <w:spacing w:after="0" w:line="27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weighted-average discount rate as of February 1, 2025 and February 3, 2024, was 5.0% and 4.8%, respectively. The discount rate is not readily determinable in the lease; therefore, the Company estimated the incremental borrowing rate, at the commencement or remeasurement date of each lease, which is the rate of interest it would have to borrow on a collateralized basis over a similar term with similar payments.</w:t>
      </w:r>
    </w:p>
    <w:p>
      <w:pPr>
        <w:spacing w:after="0" w:line="165"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 Not Yet Commenced</w:t>
      </w:r>
    </w:p>
    <w:p>
      <w:pPr>
        <w:spacing w:after="0" w:line="74"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of February 1, 2025, there were no executed leases in which the Company did not have control of the underlying asset.</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Practical Expedients (Policy Elections)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has elected the following practical expedients as policy elections upon the adoption of ASC Topic 842.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0" w:type="dxa"/>
            <w:vAlign w:val="bottom"/>
          </w:tcPr>
          <w:p>
            <w:pPr>
              <w:spacing w:after="0"/>
              <w:rPr>
                <w:sz w:val="15"/>
                <w:szCs w:val="15"/>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Short-Term Leases</w:t>
            </w:r>
          </w:p>
        </w:tc>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The Company elected to exclude leases with a term of 12 months or less from recognition on the balance sheet for all leases.</w:t>
            </w:r>
          </w:p>
        </w:tc>
      </w:tr>
      <w:tr>
        <w:trPr>
          <w:trHeight w:val="186"/>
        </w:trPr>
        <w:tc>
          <w:tcPr>
            <w:tcW w:w="260" w:type="dxa"/>
            <w:vAlign w:val="bottom"/>
          </w:tcPr>
          <w:p>
            <w:pPr>
              <w:spacing w:after="0"/>
              <w:rPr>
                <w:sz w:val="16"/>
                <w:szCs w:val="16"/>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Not Separating Lease and Nonlease Components</w:t>
            </w:r>
          </w:p>
        </w:tc>
        <w:tc>
          <w:tcPr>
            <w:tcW w:w="7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The Company elected to combine lease and nonlease components and recognize as a single lease component for all leases.</w:t>
            </w:r>
          </w:p>
        </w:tc>
      </w:tr>
      <w:tr>
        <w:trPr>
          <w:trHeight w:val="896"/>
        </w:trPr>
        <w:tc>
          <w:tcPr>
            <w:tcW w:w="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700" w:type="dxa"/>
            <w:vAlign w:val="bottom"/>
          </w:tcPr>
          <w:p>
            <w:pPr>
              <w:jc w:val="right"/>
              <w:ind w:right="5489"/>
              <w:spacing w:after="0"/>
              <w:rPr>
                <w:sz w:val="20"/>
                <w:szCs w:val="20"/>
                <w:color w:val="auto"/>
              </w:rPr>
            </w:pPr>
            <w:r>
              <w:rPr>
                <w:rFonts w:ascii="Times New Roman" w:cs="Times New Roman" w:eastAsia="Times New Roman" w:hAnsi="Times New Roman"/>
                <w:sz w:val="14"/>
                <w:szCs w:val="14"/>
                <w:color w:val="auto"/>
              </w:rPr>
              <w:t>63</w:t>
            </w:r>
          </w:p>
        </w:tc>
      </w:tr>
      <w:tr>
        <w:trPr>
          <w:trHeight w:val="87"/>
        </w:trPr>
        <w:tc>
          <w:tcPr>
            <w:tcW w:w="260" w:type="dxa"/>
            <w:vAlign w:val="bottom"/>
            <w:tcBorders>
              <w:bottom w:val="single" w:sz="8" w:color="9A9A9A"/>
            </w:tcBorders>
          </w:tcPr>
          <w:p>
            <w:pPr>
              <w:spacing w:after="0"/>
              <w:rPr>
                <w:sz w:val="7"/>
                <w:szCs w:val="7"/>
                <w:color w:val="auto"/>
              </w:rPr>
            </w:pPr>
          </w:p>
        </w:tc>
        <w:tc>
          <w:tcPr>
            <w:tcW w:w="3320" w:type="dxa"/>
            <w:vAlign w:val="bottom"/>
            <w:tcBorders>
              <w:bottom w:val="single" w:sz="8" w:color="9A9A9A"/>
            </w:tcBorders>
          </w:tcPr>
          <w:p>
            <w:pPr>
              <w:spacing w:after="0"/>
              <w:rPr>
                <w:sz w:val="7"/>
                <w:szCs w:val="7"/>
                <w:color w:val="auto"/>
              </w:rPr>
            </w:pPr>
          </w:p>
        </w:tc>
        <w:tc>
          <w:tcPr>
            <w:tcW w:w="7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Amounts Recognized in the Consolidated Financial Statements</w:t>
      </w:r>
    </w:p>
    <w:p>
      <w:pPr>
        <w:spacing w:after="0" w:line="85" w:lineRule="exact"/>
        <w:rPr>
          <w:sz w:val="20"/>
          <w:szCs w:val="20"/>
          <w:color w:val="auto"/>
        </w:rPr>
      </w:pPr>
    </w:p>
    <w:p>
      <w:pPr>
        <w:ind w:left="260" w:right="120"/>
        <w:spacing w:after="0" w:line="287" w:lineRule="auto"/>
        <w:rPr>
          <w:sz w:val="20"/>
          <w:szCs w:val="20"/>
          <w:color w:val="auto"/>
        </w:rPr>
      </w:pPr>
      <w:r>
        <w:rPr>
          <w:rFonts w:ascii="Times New Roman" w:cs="Times New Roman" w:eastAsia="Times New Roman" w:hAnsi="Times New Roman"/>
          <w:sz w:val="14"/>
          <w:szCs w:val="14"/>
          <w:color w:val="auto"/>
        </w:rPr>
        <w:t>The following lease expense is recorded within cost of sales for the Asia sourcing office and within selling, general, and administrative expenses for all other leases, including retail store leases, in the Company's Consolidated Statements of Operations for the fiscal years ended February 1, 2025, February 3, 2024, and January 28, 2023 (in thousands):</w:t>
      </w:r>
    </w:p>
    <w:p>
      <w:pPr>
        <w:spacing w:after="0" w:line="45"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Fifty-Two Weeks Ended</w:t>
            </w:r>
          </w:p>
        </w:tc>
        <w:tc>
          <w:tcPr>
            <w:tcW w:w="2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Fifty-Three Weeks Ended</w:t>
            </w:r>
          </w:p>
        </w:tc>
        <w:tc>
          <w:tcPr>
            <w:tcW w:w="2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Fifty-Two Weeks Ended</w:t>
            </w:r>
          </w:p>
        </w:tc>
        <w:tc>
          <w:tcPr>
            <w:tcW w:w="0" w:type="dxa"/>
            <w:vAlign w:val="bottom"/>
          </w:tcPr>
          <w:p>
            <w:pPr>
              <w:spacing w:after="0"/>
              <w:rPr>
                <w:sz w:val="1"/>
                <w:szCs w:val="1"/>
                <w:color w:val="auto"/>
              </w:rPr>
            </w:pPr>
          </w:p>
        </w:tc>
      </w:tr>
      <w:tr>
        <w:trPr>
          <w:trHeight w:val="154"/>
        </w:trPr>
        <w:tc>
          <w:tcPr>
            <w:tcW w:w="4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February 1, 2025</w:t>
            </w:r>
          </w:p>
        </w:tc>
        <w:tc>
          <w:tcPr>
            <w:tcW w:w="240" w:type="dxa"/>
            <w:vAlign w:val="bottom"/>
          </w:tcPr>
          <w:p>
            <w:pPr>
              <w:spacing w:after="0"/>
              <w:rPr>
                <w:sz w:val="13"/>
                <w:szCs w:val="13"/>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February 3, 2024</w:t>
            </w:r>
          </w:p>
        </w:tc>
        <w:tc>
          <w:tcPr>
            <w:tcW w:w="260" w:type="dxa"/>
            <w:vAlign w:val="bottom"/>
          </w:tcPr>
          <w:p>
            <w:pPr>
              <w:spacing w:after="0"/>
              <w:rPr>
                <w:sz w:val="13"/>
                <w:szCs w:val="13"/>
                <w:color w:val="auto"/>
              </w:rPr>
            </w:pPr>
          </w:p>
        </w:tc>
        <w:tc>
          <w:tcPr>
            <w:tcW w:w="180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January 28, 2023</w:t>
            </w:r>
          </w:p>
        </w:tc>
        <w:tc>
          <w:tcPr>
            <w:tcW w:w="0" w:type="dxa"/>
            <w:vAlign w:val="bottom"/>
          </w:tcPr>
          <w:p>
            <w:pPr>
              <w:spacing w:after="0"/>
              <w:rPr>
                <w:sz w:val="1"/>
                <w:szCs w:val="1"/>
                <w:color w:val="auto"/>
              </w:rPr>
            </w:pPr>
          </w:p>
        </w:tc>
      </w:tr>
      <w:tr>
        <w:trPr>
          <w:trHeight w:val="17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26,658</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25,826</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25,118</w:t>
            </w:r>
          </w:p>
        </w:tc>
        <w:tc>
          <w:tcPr>
            <w:tcW w:w="0" w:type="dxa"/>
            <w:vAlign w:val="bottom"/>
          </w:tcPr>
          <w:p>
            <w:pPr>
              <w:spacing w:after="0"/>
              <w:rPr>
                <w:sz w:val="1"/>
                <w:szCs w:val="1"/>
                <w:color w:val="auto"/>
              </w:rPr>
            </w:pP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5,975</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Less: Sublease income </w:t>
            </w:r>
            <w:r>
              <w:rPr>
                <w:rFonts w:ascii="Times New Roman" w:cs="Times New Roman" w:eastAsia="Times New Roman" w:hAnsi="Times New Roman"/>
                <w:sz w:val="18"/>
                <w:szCs w:val="18"/>
                <w:color w:val="auto"/>
                <w:vertAlign w:val="superscript"/>
              </w:rPr>
              <w:t>(1)</w:t>
            </w: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 Related to the sublease of a former Company location.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3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weighted-average remaining lease term as of February 1, 2025 and February 3, 2024 was 4.8 years and 5.3 years, respectively.</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Supplemental operating cash flow information was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Fifty-Two Weeks Ended</w:t>
            </w:r>
          </w:p>
        </w:tc>
        <w:tc>
          <w:tcPr>
            <w:tcW w:w="2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Fifty-Three Weeks Ended</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Fifty-Two Weeks Ended</w:t>
            </w:r>
          </w:p>
        </w:tc>
        <w:tc>
          <w:tcPr>
            <w:tcW w:w="0" w:type="dxa"/>
            <w:vAlign w:val="bottom"/>
          </w:tcPr>
          <w:p>
            <w:pPr>
              <w:spacing w:after="0"/>
              <w:rPr>
                <w:sz w:val="1"/>
                <w:szCs w:val="1"/>
                <w:color w:val="auto"/>
              </w:rPr>
            </w:pPr>
          </w:p>
        </w:tc>
      </w:tr>
      <w:tr>
        <w:trPr>
          <w:trHeight w:val="154"/>
        </w:trPr>
        <w:tc>
          <w:tcPr>
            <w:tcW w:w="2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February 1, 2025</w:t>
            </w:r>
          </w:p>
        </w:tc>
        <w:tc>
          <w:tcPr>
            <w:tcW w:w="280" w:type="dxa"/>
            <w:vAlign w:val="bottom"/>
          </w:tcPr>
          <w:p>
            <w:pPr>
              <w:spacing w:after="0"/>
              <w:rPr>
                <w:sz w:val="13"/>
                <w:szCs w:val="13"/>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February 3, 2024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January 28, 2023</w:t>
            </w: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444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Cash paid for amounts included in the measurement of operating lease</w:t>
            </w:r>
          </w:p>
        </w:tc>
        <w:tc>
          <w:tcPr>
            <w:tcW w:w="300" w:type="dxa"/>
            <w:vAlign w:val="bottom"/>
            <w:tcBorders>
              <w:top w:val="single" w:sz="8" w:color="auto"/>
            </w:tcBorders>
            <w:shd w:val="clear" w:color="auto" w:fill="CCEEFF"/>
          </w:tcPr>
          <w:p>
            <w:pPr>
              <w:spacing w:after="0"/>
              <w:rPr>
                <w:sz w:val="10"/>
                <w:szCs w:val="10"/>
                <w:color w:val="auto"/>
              </w:rPr>
            </w:pPr>
          </w:p>
        </w:tc>
        <w:tc>
          <w:tcPr>
            <w:tcW w:w="1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8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30,014</w:t>
            </w:r>
          </w:p>
        </w:tc>
        <w:tc>
          <w:tcPr>
            <w:tcW w:w="0" w:type="dxa"/>
            <w:vAlign w:val="bottom"/>
          </w:tcPr>
          <w:p>
            <w:pPr>
              <w:spacing w:after="0"/>
              <w:rPr>
                <w:sz w:val="1"/>
                <w:szCs w:val="1"/>
                <w:color w:val="auto"/>
              </w:rPr>
            </w:pPr>
          </w:p>
        </w:tc>
      </w:tr>
      <w:tr>
        <w:trPr>
          <w:trHeight w:val="138"/>
        </w:trPr>
        <w:tc>
          <w:tcPr>
            <w:tcW w:w="260" w:type="dxa"/>
            <w:vAlign w:val="bottom"/>
          </w:tcPr>
          <w:p>
            <w:pPr>
              <w:spacing w:after="0"/>
              <w:rPr>
                <w:sz w:val="11"/>
                <w:szCs w:val="11"/>
                <w:color w:val="auto"/>
              </w:rPr>
            </w:pPr>
          </w:p>
        </w:tc>
        <w:tc>
          <w:tcPr>
            <w:tcW w:w="4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Right-of-use assets increase as a result of new and modified operating lease</w:t>
            </w:r>
          </w:p>
        </w:tc>
        <w:tc>
          <w:tcPr>
            <w:tcW w:w="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net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32,510</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9,859</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20,379</w:t>
            </w:r>
          </w:p>
        </w:tc>
        <w:tc>
          <w:tcPr>
            <w:tcW w:w="0" w:type="dxa"/>
            <w:vAlign w:val="bottom"/>
          </w:tcPr>
          <w:p>
            <w:pPr>
              <w:spacing w:after="0"/>
              <w:rPr>
                <w:sz w:val="1"/>
                <w:szCs w:val="1"/>
                <w:color w:val="auto"/>
              </w:rPr>
            </w:pPr>
          </w:p>
        </w:tc>
      </w:tr>
      <w:tr>
        <w:trPr>
          <w:trHeight w:val="361"/>
        </w:trPr>
        <w:tc>
          <w:tcPr>
            <w:tcW w:w="2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Maturity Analysis of Operating Lease Liabilities</w:t>
            </w: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88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Maturities of the Company's operating lease liabilities (undiscounted) reconciled to its lease liability as of February 1, 2025 were as follows (in thousands):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60" w:type="dxa"/>
            <w:vAlign w:val="bottom"/>
          </w:tcPr>
          <w:p>
            <w:pPr>
              <w:spacing w:after="0"/>
              <w:rPr>
                <w:sz w:val="21"/>
                <w:szCs w:val="21"/>
                <w:color w:val="auto"/>
              </w:rPr>
            </w:pPr>
          </w:p>
        </w:tc>
        <w:tc>
          <w:tcPr>
            <w:tcW w:w="44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8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8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2026</w:t>
            </w:r>
          </w:p>
        </w:tc>
        <w:tc>
          <w:tcPr>
            <w:tcW w:w="3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23,923</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2027</w:t>
            </w:r>
          </w:p>
        </w:tc>
        <w:tc>
          <w:tcPr>
            <w:tcW w:w="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22,457</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2028</w:t>
            </w:r>
          </w:p>
        </w:tc>
        <w:tc>
          <w:tcPr>
            <w:tcW w:w="3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18,746</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2029</w:t>
            </w:r>
          </w:p>
        </w:tc>
        <w:tc>
          <w:tcPr>
            <w:tcW w:w="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15,673</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2030</w:t>
            </w:r>
          </w:p>
        </w:tc>
        <w:tc>
          <w:tcPr>
            <w:tcW w:w="3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9,170</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0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11,094</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remaining obligations</w:t>
            </w:r>
          </w:p>
        </w:tc>
        <w:tc>
          <w:tcPr>
            <w:tcW w:w="3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101,063</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30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(11,419)</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3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89,644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ind w:right="1055"/>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6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4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5.</w:t>
      </w:r>
      <w:r>
        <w:rPr>
          <w:sz w:val="20"/>
          <w:szCs w:val="20"/>
          <w:color w:val="auto"/>
        </w:rPr>
        <w:tab/>
      </w:r>
      <w:r>
        <w:rPr>
          <w:rFonts w:ascii="Times New Roman" w:cs="Times New Roman" w:eastAsia="Times New Roman" w:hAnsi="Times New Roman"/>
          <w:sz w:val="13"/>
          <w:szCs w:val="13"/>
          <w:b w:val="1"/>
          <w:bCs w:val="1"/>
          <w:color w:val="auto"/>
        </w:rPr>
        <w:t>Property, Plant, and Equipment</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Property, plant, and equipment consisted of the following (in thousands):</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8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February 1,</w:t>
            </w:r>
          </w:p>
        </w:tc>
        <w:tc>
          <w:tcPr>
            <w:tcW w:w="260" w:type="dxa"/>
            <w:vAlign w:val="bottom"/>
          </w:tcPr>
          <w:p>
            <w:pPr>
              <w:spacing w:after="0"/>
              <w:rPr>
                <w:sz w:val="11"/>
                <w:szCs w:val="11"/>
                <w:color w:val="auto"/>
              </w:rPr>
            </w:pP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February 3,</w:t>
            </w:r>
          </w:p>
        </w:tc>
        <w:tc>
          <w:tcPr>
            <w:tcW w:w="0" w:type="dxa"/>
            <w:vAlign w:val="bottom"/>
          </w:tcPr>
          <w:p>
            <w:pPr>
              <w:spacing w:after="0"/>
              <w:rPr>
                <w:sz w:val="1"/>
                <w:szCs w:val="1"/>
                <w:color w:val="auto"/>
              </w:rPr>
            </w:pPr>
          </w:p>
        </w:tc>
      </w:tr>
      <w:tr>
        <w:trPr>
          <w:trHeight w:val="154"/>
        </w:trPr>
        <w:tc>
          <w:tcPr>
            <w:tcW w:w="8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and land improvements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0" w:type="dxa"/>
            <w:vAlign w:val="bottom"/>
          </w:tcPr>
          <w:p>
            <w:pPr>
              <w:spacing w:after="0"/>
              <w:rPr>
                <w:sz w:val="1"/>
                <w:szCs w:val="1"/>
                <w:color w:val="auto"/>
              </w:rPr>
            </w:pPr>
          </w:p>
        </w:tc>
      </w:tr>
      <w:tr>
        <w:trPr>
          <w:trHeight w:val="18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and building improvements</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46,203</w:t>
            </w:r>
          </w:p>
        </w:tc>
        <w:tc>
          <w:tcPr>
            <w:tcW w:w="0" w:type="dxa"/>
            <w:vAlign w:val="bottom"/>
          </w:tcPr>
          <w:p>
            <w:pPr>
              <w:spacing w:after="0"/>
              <w:rPr>
                <w:sz w:val="1"/>
                <w:szCs w:val="1"/>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fixtures, leasehold improvements, computer equipment and software</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86,776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86,584</w:t>
            </w:r>
          </w:p>
        </w:tc>
        <w:tc>
          <w:tcPr>
            <w:tcW w:w="0" w:type="dxa"/>
            <w:vAlign w:val="bottom"/>
          </w:tcPr>
          <w:p>
            <w:pPr>
              <w:spacing w:after="0"/>
              <w:rPr>
                <w:sz w:val="1"/>
                <w:szCs w:val="1"/>
                <w:color w:val="auto"/>
              </w:rPr>
            </w:pPr>
          </w:p>
        </w:tc>
      </w:tr>
      <w:tr>
        <w:trPr>
          <w:trHeight w:val="18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and vehicles</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28,493</w:t>
            </w:r>
          </w:p>
        </w:tc>
        <w:tc>
          <w:tcPr>
            <w:tcW w:w="0" w:type="dxa"/>
            <w:vAlign w:val="bottom"/>
          </w:tcPr>
          <w:p>
            <w:pPr>
              <w:spacing w:after="0"/>
              <w:rPr>
                <w:sz w:val="1"/>
                <w:szCs w:val="1"/>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71"/>
        </w:trPr>
        <w:tc>
          <w:tcPr>
            <w:tcW w:w="8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167,563</w:t>
            </w:r>
          </w:p>
        </w:tc>
        <w:tc>
          <w:tcPr>
            <w:tcW w:w="0" w:type="dxa"/>
            <w:vAlign w:val="bottom"/>
          </w:tcPr>
          <w:p>
            <w:pPr>
              <w:spacing w:after="0"/>
              <w:rPr>
                <w:sz w:val="1"/>
                <w:szCs w:val="1"/>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(114,604)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(113,307)</w:t>
            </w:r>
          </w:p>
        </w:tc>
        <w:tc>
          <w:tcPr>
            <w:tcW w:w="0" w:type="dxa"/>
            <w:vAlign w:val="bottom"/>
          </w:tcPr>
          <w:p>
            <w:pPr>
              <w:spacing w:after="0"/>
              <w:rPr>
                <w:sz w:val="1"/>
                <w:szCs w:val="1"/>
                <w:color w:val="auto"/>
              </w:rPr>
            </w:pPr>
          </w:p>
        </w:tc>
      </w:tr>
      <w:tr>
        <w:trPr>
          <w:trHeight w:val="171"/>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54,183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54,256</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Depreciation and amortization expense associated with property, plant, and equipment, excluding impairment charges (in thousands):</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8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ended February 1, 2025</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w:t>
            </w:r>
          </w:p>
        </w:tc>
        <w:tc>
          <w:tcPr>
            <w:tcW w:w="0" w:type="dxa"/>
            <w:vAlign w:val="bottom"/>
          </w:tcPr>
          <w:p>
            <w:pPr>
              <w:spacing w:after="0"/>
              <w:rPr>
                <w:sz w:val="1"/>
                <w:szCs w:val="1"/>
                <w:color w:val="auto"/>
              </w:rPr>
            </w:pPr>
          </w:p>
        </w:tc>
      </w:tr>
      <w:tr>
        <w:trPr>
          <w:trHeight w:val="18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ended February 3, 2024</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7,968</w:t>
            </w:r>
          </w:p>
        </w:tc>
        <w:tc>
          <w:tcPr>
            <w:tcW w:w="0" w:type="dxa"/>
            <w:vAlign w:val="bottom"/>
          </w:tcPr>
          <w:p>
            <w:pPr>
              <w:spacing w:after="0"/>
              <w:rPr>
                <w:sz w:val="1"/>
                <w:szCs w:val="1"/>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ended January 28, 2023</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Debt</w:t>
      </w:r>
    </w:p>
    <w:p>
      <w:pPr>
        <w:spacing w:after="0" w:line="74"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of February 1, 2025 and February 3, 2024, the Company had no borrowings outstanding and availability of $75.0 million under its Credit Agreement.</w:t>
      </w:r>
    </w:p>
    <w:p>
      <w:pPr>
        <w:spacing w:after="0" w:line="208"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Credit Agreement</w:t>
      </w:r>
    </w:p>
    <w:p>
      <w:pPr>
        <w:spacing w:after="0" w:line="85" w:lineRule="exact"/>
        <w:rPr>
          <w:rFonts w:ascii="Times New Roman" w:cs="Times New Roman" w:eastAsia="Times New Roman" w:hAnsi="Times New Roman"/>
          <w:sz w:val="14"/>
          <w:szCs w:val="14"/>
          <w:b w:val="1"/>
          <w:bCs w:val="1"/>
          <w:color w:val="auto"/>
        </w:rPr>
      </w:pPr>
    </w:p>
    <w:p>
      <w:pPr>
        <w:ind w:left="260" w:right="200"/>
        <w:spacing w:after="0" w:line="26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August 3, 2023, certain subsidiaries of the Company, JP Morgan Chase Bank, N.A., as the administrative agent, and lenders from time to time party thereto, entered into a Third Amendment (the “Third Amendment”) to the Credit Agreement dated September 7, 2018.</w:t>
      </w:r>
    </w:p>
    <w:p>
      <w:pPr>
        <w:spacing w:after="0" w:line="34" w:lineRule="exact"/>
        <w:rPr>
          <w:rFonts w:ascii="Times New Roman" w:cs="Times New Roman" w:eastAsia="Times New Roman" w:hAnsi="Times New Roman"/>
          <w:sz w:val="14"/>
          <w:szCs w:val="14"/>
          <w:b w:val="1"/>
          <w:bCs w:val="1"/>
          <w:color w:val="auto"/>
        </w:rPr>
      </w:pPr>
    </w:p>
    <w:p>
      <w:pPr>
        <w:ind w:left="260" w:right="120"/>
        <w:spacing w:after="0" w:line="26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w:t>
      </w:r>
    </w:p>
    <w:p>
      <w:pPr>
        <w:spacing w:after="0" w:line="44" w:lineRule="exact"/>
        <w:rPr>
          <w:rFonts w:ascii="Times New Roman" w:cs="Times New Roman" w:eastAsia="Times New Roman" w:hAnsi="Times New Roman"/>
          <w:sz w:val="14"/>
          <w:szCs w:val="14"/>
          <w:b w:val="1"/>
          <w:bCs w:val="1"/>
          <w:color w:val="auto"/>
        </w:rPr>
      </w:pPr>
    </w:p>
    <w:p>
      <w:pPr>
        <w:ind w:left="260" w:right="20"/>
        <w:spacing w:after="0" w:line="25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Amounts outstanding under the Credit Agreement bear interest at a per annum rate equal to (i) for CBFR borrowings (including swingline loans), the CB Floating Rate, where the CB Floating Rate is the greater of the prime rate or 2.5%, plus the Applicable Rate, where the Applicable Rate is a percentage spread ranging from -1.25% to -1.50%, (ii) for each Term Benchmark Borrowing, the Adjusted Term SOFR Rate, where the Adjusted Term SOFR Rate is the Term SOFR rate for such interest period plus 0.10% for the interest period in effect for such borrowing, plus the Applicable Rate, where the Applicable Rate is a percentage ranging from 1.25% to 1.50%, or (iii) for RFR Loans, the Adjusted Daily Simple SOFR Rate, where the adjusted Daily Simple SOFR Rate is equal to the Daily Simple SOFR plus 0.10%, plus the Applicable Rate, where the Applicable Rate is a percentage ranging from 1.25% to 1.50% The applicable CB Floating Rate, Adjusted Term SOFR Rate, Term SOFR Rate, Daily Simple SOFR, and Adjusted Daily Simple SOFR shall be determined by the administrative agent. The Credit Agreement also requires VBD to pay a commitment fee for the unused portion of the revolving facility of up to 0.30% per annum.</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3" w:lineRule="exact"/>
        <w:rPr>
          <w:sz w:val="20"/>
          <w:szCs w:val="20"/>
          <w:color w:val="auto"/>
        </w:rPr>
      </w:pPr>
    </w:p>
    <w:p>
      <w:pPr>
        <w:ind w:left="260" w:right="60"/>
        <w:spacing w:after="0" w:line="287" w:lineRule="auto"/>
        <w:rPr>
          <w:sz w:val="20"/>
          <w:szCs w:val="20"/>
          <w:color w:val="auto"/>
        </w:rPr>
      </w:pPr>
      <w:r>
        <w:rPr>
          <w:rFonts w:ascii="Times New Roman" w:cs="Times New Roman" w:eastAsia="Times New Roman" w:hAnsi="Times New Roman"/>
          <w:sz w:val="14"/>
          <w:szCs w:val="14"/>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18" w:lineRule="exact"/>
        <w:rPr>
          <w:sz w:val="20"/>
          <w:szCs w:val="20"/>
          <w:color w:val="auto"/>
        </w:rPr>
      </w:pPr>
    </w:p>
    <w:p>
      <w:pPr>
        <w:ind w:left="260" w:right="160"/>
        <w:spacing w:after="0" w:line="264" w:lineRule="auto"/>
        <w:rPr>
          <w:sz w:val="20"/>
          <w:szCs w:val="20"/>
          <w:color w:val="auto"/>
        </w:rPr>
      </w:pPr>
      <w:r>
        <w:rPr>
          <w:rFonts w:ascii="Times New Roman" w:cs="Times New Roman" w:eastAsia="Times New Roman" w:hAnsi="Times New Roman"/>
          <w:sz w:val="14"/>
          <w:szCs w:val="14"/>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45" w:lineRule="exact"/>
        <w:rPr>
          <w:sz w:val="20"/>
          <w:szCs w:val="20"/>
          <w:color w:val="auto"/>
        </w:rPr>
      </w:pPr>
    </w:p>
    <w:p>
      <w:pPr>
        <w:jc w:val="both"/>
        <w:ind w:left="260" w:right="380"/>
        <w:spacing w:after="0" w:line="270" w:lineRule="auto"/>
        <w:rPr>
          <w:sz w:val="20"/>
          <w:szCs w:val="20"/>
          <w:color w:val="auto"/>
        </w:rPr>
      </w:pPr>
      <w:r>
        <w:rPr>
          <w:rFonts w:ascii="Times New Roman" w:cs="Times New Roman" w:eastAsia="Times New Roman" w:hAnsi="Times New Roman"/>
          <w:sz w:val="14"/>
          <w:szCs w:val="14"/>
          <w:color w:val="auto"/>
        </w:rPr>
        <w:t>The Credit Agreement also requires the loan parties, as defined in the Credit Agreement, to maintain a minimum fixed charge coverage ratio of 1.00 to 1.00 during periods when borrowing availability is less than the greater of (A) $9.4 million, and (B) 12.5% of the lesser of (i) the aggregate revolving commitment, and (ii) the borrowing base. The fixed charge coverage ratio, availability, aggregate revolving commitment, and the borrowing base are further defined in the Credit Agreement.</w:t>
      </w:r>
    </w:p>
    <w:p>
      <w:pPr>
        <w:spacing w:after="0" w:line="40" w:lineRule="exact"/>
        <w:rPr>
          <w:sz w:val="20"/>
          <w:szCs w:val="20"/>
          <w:color w:val="auto"/>
        </w:rPr>
      </w:pPr>
    </w:p>
    <w:p>
      <w:pPr>
        <w:ind w:left="260" w:right="100"/>
        <w:spacing w:after="0" w:line="264" w:lineRule="auto"/>
        <w:rPr>
          <w:sz w:val="20"/>
          <w:szCs w:val="20"/>
          <w:color w:val="auto"/>
        </w:rPr>
      </w:pPr>
      <w:r>
        <w:rPr>
          <w:rFonts w:ascii="Times New Roman" w:cs="Times New Roman" w:eastAsia="Times New Roman" w:hAnsi="Times New Roman"/>
          <w:sz w:val="14"/>
          <w:szCs w:val="14"/>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Credit Agreement matures in May 2028.</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Refer to Note 18 herein for information related to the Fourth Amendment to the Credit Agreement, occurring subsequent to the Company's fiscal year 2025.</w:t>
      </w:r>
    </w:p>
    <w:p>
      <w:pPr>
        <w:spacing w:after="0" w:line="27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the income tax expense (benefit) were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February 1,</w:t>
            </w:r>
          </w:p>
        </w:tc>
        <w:tc>
          <w:tcPr>
            <w:tcW w:w="260" w:type="dxa"/>
            <w:vAlign w:val="bottom"/>
          </w:tcPr>
          <w:p>
            <w:pPr>
              <w:spacing w:after="0"/>
              <w:rPr>
                <w:sz w:val="11"/>
                <w:szCs w:val="11"/>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February 3,</w:t>
            </w:r>
          </w:p>
        </w:tc>
        <w:tc>
          <w:tcPr>
            <w:tcW w:w="260" w:type="dxa"/>
            <w:vAlign w:val="bottom"/>
          </w:tcPr>
          <w:p>
            <w:pPr>
              <w:spacing w:after="0"/>
              <w:rPr>
                <w:sz w:val="11"/>
                <w:szCs w:val="11"/>
                <w:color w:val="auto"/>
              </w:rPr>
            </w:pPr>
          </w:p>
        </w:tc>
        <w:tc>
          <w:tcPr>
            <w:tcW w:w="1140" w:type="dxa"/>
            <w:vAlign w:val="bottom"/>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rPr>
              <w:t>January 28,</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5"/>
        </w:trPr>
        <w:tc>
          <w:tcPr>
            <w:tcW w:w="260" w:type="dxa"/>
            <w:vAlign w:val="bottom"/>
          </w:tcPr>
          <w:p>
            <w:pPr>
              <w:spacing w:after="0"/>
              <w:rPr>
                <w:sz w:val="14"/>
                <w:szCs w:val="14"/>
                <w:color w:val="auto"/>
              </w:rPr>
            </w:pPr>
          </w:p>
        </w:tc>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6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(15,517)</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66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(17,685)</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income tax expense (benefit)</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20,950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 breakdown of the Company’s (loss) income before income taxes is as follows (in thousands):</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60" w:type="dxa"/>
            <w:vAlign w:val="bottom"/>
          </w:tcPr>
          <w:p>
            <w:pPr>
              <w:spacing w:after="0"/>
              <w:rPr>
                <w:sz w:val="24"/>
                <w:szCs w:val="24"/>
                <w:color w:val="auto"/>
              </w:rPr>
            </w:pPr>
          </w:p>
        </w:tc>
        <w:tc>
          <w:tcPr>
            <w:tcW w:w="6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February 1,</w:t>
            </w:r>
          </w:p>
        </w:tc>
        <w:tc>
          <w:tcPr>
            <w:tcW w:w="26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February 3,</w:t>
            </w:r>
          </w:p>
        </w:tc>
        <w:tc>
          <w:tcPr>
            <w:tcW w:w="260" w:type="dxa"/>
            <w:vAlign w:val="bottom"/>
          </w:tcPr>
          <w:p>
            <w:pPr>
              <w:spacing w:after="0"/>
              <w:rPr>
                <w:sz w:val="24"/>
                <w:szCs w:val="24"/>
                <w:color w:val="auto"/>
              </w:rPr>
            </w:pPr>
          </w:p>
        </w:tc>
        <w:tc>
          <w:tcPr>
            <w:tcW w:w="1140" w:type="dxa"/>
            <w:vAlign w:val="bottom"/>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rPr>
              <w:t>January 28,</w:t>
            </w:r>
          </w:p>
        </w:tc>
        <w:tc>
          <w:tcPr>
            <w:tcW w:w="0" w:type="dxa"/>
            <w:vAlign w:val="bottom"/>
          </w:tcPr>
          <w:p>
            <w:pPr>
              <w:spacing w:after="0"/>
              <w:rPr>
                <w:sz w:val="1"/>
                <w:szCs w:val="1"/>
                <w:color w:val="auto"/>
              </w:rPr>
            </w:pPr>
          </w:p>
        </w:tc>
      </w:tr>
      <w:tr>
        <w:trPr>
          <w:trHeight w:val="154"/>
        </w:trPr>
        <w:tc>
          <w:tcPr>
            <w:tcW w:w="260" w:type="dxa"/>
            <w:vAlign w:val="bottom"/>
          </w:tcPr>
          <w:p>
            <w:pPr>
              <w:spacing w:after="0"/>
              <w:rPr>
                <w:sz w:val="13"/>
                <w:szCs w:val="13"/>
                <w:color w:val="auto"/>
              </w:rPr>
            </w:pPr>
          </w:p>
        </w:tc>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(98,539)</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6"/>
                <w:szCs w:val="16"/>
                <w:color w:val="auto"/>
              </w:rPr>
            </w:pPr>
          </w:p>
        </w:tc>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 income before income taxes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(41,238)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(95,024)</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6640" w:type="dxa"/>
            <w:vAlign w:val="bottom"/>
            <w:tcBorders>
              <w:top w:val="single" w:sz="8" w:color="CCEEFF"/>
              <w:bottom w:val="single" w:sz="8" w:color="CCEEFF"/>
            </w:tcBorders>
            <w:vMerge w:val="restart"/>
          </w:tcPr>
          <w:p>
            <w:pPr>
              <w:ind w:left="5320"/>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260" w:type="dxa"/>
            <w:vAlign w:val="bottom"/>
            <w:vMerge w:val="continue"/>
          </w:tcPr>
          <w:p>
            <w:pPr>
              <w:spacing w:after="0"/>
              <w:rPr>
                <w:sz w:val="24"/>
                <w:szCs w:val="24"/>
                <w:color w:val="auto"/>
              </w:rPr>
            </w:pPr>
          </w:p>
        </w:tc>
        <w:tc>
          <w:tcPr>
            <w:tcW w:w="6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60" w:type="dxa"/>
            <w:vAlign w:val="bottom"/>
            <w:tcBorders>
              <w:bottom w:val="single" w:sz="8" w:color="9A9A9A"/>
            </w:tcBorders>
          </w:tcPr>
          <w:p>
            <w:pPr>
              <w:spacing w:after="0"/>
              <w:rPr>
                <w:sz w:val="7"/>
                <w:szCs w:val="7"/>
                <w:color w:val="auto"/>
              </w:rPr>
            </w:pPr>
          </w:p>
        </w:tc>
        <w:tc>
          <w:tcPr>
            <w:tcW w:w="66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reconciliation of the income tax expense (benefit) to the amount computed at the federal statutory rate is as follows (in thousands):</w:t>
      </w:r>
    </w:p>
    <w:p>
      <w:pPr>
        <w:spacing w:after="0" w:line="290"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3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gridSpan w:val="3"/>
          </w:tcPr>
          <w:p>
            <w:pPr>
              <w:jc w:val="center"/>
              <w:ind w:left="252"/>
              <w:spacing w:after="0"/>
              <w:rPr>
                <w:sz w:val="20"/>
                <w:szCs w:val="20"/>
                <w:color w:val="auto"/>
              </w:rPr>
            </w:pPr>
            <w:r>
              <w:rPr>
                <w:rFonts w:ascii="Times New Roman" w:cs="Times New Roman" w:eastAsia="Times New Roman" w:hAnsi="Times New Roman"/>
                <w:sz w:val="11"/>
                <w:szCs w:val="11"/>
                <w:b w:val="1"/>
                <w:bCs w:val="1"/>
                <w:color w:val="auto"/>
              </w:rPr>
              <w:t>February 1,</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gridSpan w:val="3"/>
          </w:tcPr>
          <w:p>
            <w:pPr>
              <w:jc w:val="center"/>
              <w:ind w:left="192"/>
              <w:spacing w:after="0"/>
              <w:rPr>
                <w:sz w:val="20"/>
                <w:szCs w:val="20"/>
                <w:color w:val="auto"/>
              </w:rPr>
            </w:pPr>
            <w:r>
              <w:rPr>
                <w:rFonts w:ascii="Times New Roman" w:cs="Times New Roman" w:eastAsia="Times New Roman" w:hAnsi="Times New Roman"/>
                <w:sz w:val="11"/>
                <w:szCs w:val="11"/>
                <w:b w:val="1"/>
                <w:bCs w:val="1"/>
                <w:color w:val="auto"/>
              </w:rPr>
              <w:t>February 3,</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gridSpan w:val="3"/>
          </w:tcPr>
          <w:p>
            <w:pPr>
              <w:jc w:val="center"/>
              <w:ind w:left="252"/>
              <w:spacing w:after="0"/>
              <w:rPr>
                <w:sz w:val="20"/>
                <w:szCs w:val="20"/>
                <w:color w:val="auto"/>
              </w:rPr>
            </w:pPr>
            <w:r>
              <w:rPr>
                <w:rFonts w:ascii="Times New Roman" w:cs="Times New Roman" w:eastAsia="Times New Roman" w:hAnsi="Times New Roman"/>
                <w:sz w:val="11"/>
                <w:szCs w:val="11"/>
                <w:b w:val="1"/>
                <w:bCs w:val="1"/>
                <w:color w:val="auto"/>
              </w:rPr>
              <w:t>January 28,</w:t>
            </w:r>
          </w:p>
        </w:tc>
        <w:tc>
          <w:tcPr>
            <w:tcW w:w="680" w:type="dxa"/>
            <w:vAlign w:val="bottom"/>
          </w:tcPr>
          <w:p>
            <w:pPr>
              <w:spacing w:after="0"/>
              <w:rPr>
                <w:sz w:val="11"/>
                <w:szCs w:val="11"/>
                <w:color w:val="auto"/>
              </w:rPr>
            </w:pPr>
          </w:p>
        </w:tc>
      </w:tr>
      <w:tr>
        <w:trPr>
          <w:trHeight w:val="154"/>
        </w:trPr>
        <w:tc>
          <w:tcPr>
            <w:tcW w:w="33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80" w:type="dxa"/>
            <w:vAlign w:val="bottom"/>
            <w:tcBorders>
              <w:bottom w:val="single" w:sz="8" w:color="auto"/>
            </w:tcBorders>
          </w:tcPr>
          <w:p>
            <w:pPr>
              <w:spacing w:after="0"/>
              <w:rPr>
                <w:sz w:val="13"/>
                <w:szCs w:val="13"/>
                <w:color w:val="auto"/>
              </w:rPr>
            </w:pPr>
          </w:p>
        </w:tc>
      </w:tr>
      <w:tr>
        <w:trPr>
          <w:trHeight w:val="17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taxes at statutory rate</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local income taxes, net of federal benefit</w:t>
            </w: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related to redeemable noncontrolling interest</w:t>
            </w:r>
          </w:p>
        </w:tc>
        <w:tc>
          <w:tcPr>
            <w:tcW w:w="38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44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(Windfall) shortfall from stock-based compensation</w:t>
            </w: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foreign rate differential</w:t>
            </w: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0.2</w:t>
            </w:r>
          </w:p>
        </w:tc>
      </w:tr>
      <w:tr>
        <w:trPr>
          <w:trHeight w:val="18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uncertain tax positions</w:t>
            </w: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executive compensation</w:t>
            </w: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income tax expense (benefit)</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20,950</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30.8 %</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(15,640)</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16.5 %</w:t>
            </w:r>
          </w:p>
        </w:tc>
      </w:tr>
      <w:tr>
        <w:trPr>
          <w:trHeight w:val="20"/>
        </w:trPr>
        <w:tc>
          <w:tcPr>
            <w:tcW w:w="3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60" w:right="300"/>
        <w:spacing w:after="0" w:line="287"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the book and tax bases of assets and liabilities. Significant components of deferred tax assets and liabilities were as follows (in thousands):</w:t>
      </w:r>
    </w:p>
    <w:p>
      <w:pPr>
        <w:spacing w:after="0" w:line="237"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8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February 1,</w:t>
            </w:r>
          </w:p>
        </w:tc>
        <w:tc>
          <w:tcPr>
            <w:tcW w:w="260" w:type="dxa"/>
            <w:vAlign w:val="bottom"/>
          </w:tcPr>
          <w:p>
            <w:pPr>
              <w:spacing w:after="0"/>
              <w:rPr>
                <w:sz w:val="11"/>
                <w:szCs w:val="11"/>
                <w:color w:val="auto"/>
              </w:rPr>
            </w:pP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February 3,</w:t>
            </w:r>
          </w:p>
        </w:tc>
      </w:tr>
      <w:tr>
        <w:trPr>
          <w:trHeight w:val="153"/>
        </w:trPr>
        <w:tc>
          <w:tcPr>
            <w:tcW w:w="8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0"/>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22,511</w:t>
            </w:r>
          </w:p>
        </w:tc>
      </w:tr>
      <w:tr>
        <w:trPr>
          <w:trHeight w:val="18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w:t>
            </w:r>
          </w:p>
        </w:tc>
      </w:tr>
      <w:tr>
        <w:trPr>
          <w:trHeight w:val="180"/>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4,122</w:t>
            </w:r>
          </w:p>
        </w:tc>
      </w:tr>
      <w:tr>
        <w:trPr>
          <w:trHeight w:val="18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subsidiary</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12,904</w:t>
            </w:r>
          </w:p>
        </w:tc>
      </w:tr>
      <w:tr>
        <w:trPr>
          <w:trHeight w:val="180"/>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18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r>
      <w:tr>
        <w:trPr>
          <w:trHeight w:val="17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 deferred tax assets</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44,006</w:t>
            </w:r>
          </w:p>
        </w:tc>
      </w:tr>
      <w:tr>
        <w:trPr>
          <w:trHeight w:val="18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valuation allowance</w:t>
            </w: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43,958</w:t>
            </w:r>
          </w:p>
        </w:tc>
      </w:tr>
      <w:tr>
        <w:trPr>
          <w:trHeight w:val="18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assets</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(17,863)</w:t>
            </w:r>
          </w:p>
        </w:tc>
      </w:tr>
      <w:tr>
        <w:trPr>
          <w:trHeight w:val="18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w:t>
            </w:r>
          </w:p>
        </w:tc>
      </w:tr>
      <w:tr>
        <w:trPr>
          <w:trHeight w:val="180"/>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(2,810)</w:t>
            </w:r>
          </w:p>
        </w:tc>
      </w:tr>
      <w:tr>
        <w:trPr>
          <w:trHeight w:val="17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(23,603)</w:t>
            </w:r>
          </w:p>
        </w:tc>
      </w:tr>
      <w:tr>
        <w:trPr>
          <w:trHeight w:val="171"/>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20,355</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considered both positive and negative evidence to determine whether it was more likely than not that some, or all, of the deferred tax assets would not be realized in its valuation</w:t>
      </w:r>
    </w:p>
    <w:p>
      <w:pPr>
        <w:spacing w:after="0" w:line="23" w:lineRule="exact"/>
        <w:rPr>
          <w:sz w:val="20"/>
          <w:szCs w:val="20"/>
          <w:color w:val="auto"/>
        </w:rPr>
      </w:pPr>
    </w:p>
    <w:p>
      <w:pPr>
        <w:jc w:val="both"/>
        <w:ind w:left="260"/>
        <w:spacing w:after="0" w:line="279" w:lineRule="auto"/>
        <w:rPr>
          <w:sz w:val="20"/>
          <w:szCs w:val="20"/>
          <w:color w:val="auto"/>
        </w:rPr>
      </w:pPr>
      <w:r>
        <w:rPr>
          <w:rFonts w:ascii="Times New Roman" w:cs="Times New Roman" w:eastAsia="Times New Roman" w:hAnsi="Times New Roman"/>
          <w:sz w:val="14"/>
          <w:szCs w:val="14"/>
          <w:color w:val="auto"/>
        </w:rPr>
        <w:t xml:space="preserve">allowance assessment. Based on this assessment, </w:t>
      </w:r>
      <w:r>
        <w:rPr>
          <w:rFonts w:ascii="Times New Roman" w:cs="Times New Roman" w:eastAsia="Times New Roman" w:hAnsi="Times New Roman"/>
          <w:sz w:val="16"/>
          <w:szCs w:val="16"/>
          <w:color w:val="auto"/>
        </w:rPr>
        <w:t>t</w:t>
      </w:r>
      <w:r>
        <w:rPr>
          <w:rFonts w:ascii="Times New Roman" w:cs="Times New Roman" w:eastAsia="Times New Roman" w:hAnsi="Times New Roman"/>
          <w:sz w:val="14"/>
          <w:szCs w:val="14"/>
          <w:color w:val="auto"/>
        </w:rPr>
        <w:t>he Company recorded a full valuation allowance against its net deferred tax assets as of February 1, 2025. As of February 3, 2024, there were an immaterial amount of valuation allowances recorded.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Uncertain Tax Positions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reconciliation of the beginning and ending gross amount of unrecognized tax benefits (excluding interest and penalties) is as follows (in thousands):</w:t>
      </w:r>
    </w:p>
    <w:p>
      <w:pPr>
        <w:spacing w:after="0" w:line="90"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6380" w:type="dxa"/>
            <w:vAlign w:val="bottom"/>
          </w:tcPr>
          <w:p>
            <w:pPr>
              <w:spacing w:after="0"/>
              <w:rPr>
                <w:sz w:val="11"/>
                <w:szCs w:val="11"/>
                <w:color w:val="auto"/>
              </w:rPr>
            </w:pPr>
          </w:p>
        </w:tc>
        <w:tc>
          <w:tcPr>
            <w:tcW w:w="116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February 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February 3,</w:t>
            </w:r>
          </w:p>
        </w:tc>
        <w:tc>
          <w:tcPr>
            <w:tcW w:w="260" w:type="dxa"/>
            <w:vAlign w:val="bottom"/>
          </w:tcPr>
          <w:p>
            <w:pPr>
              <w:spacing w:after="0"/>
              <w:rPr>
                <w:sz w:val="11"/>
                <w:szCs w:val="11"/>
                <w:color w:val="auto"/>
              </w:rPr>
            </w:pPr>
          </w:p>
        </w:tc>
        <w:tc>
          <w:tcPr>
            <w:tcW w:w="1220" w:type="dxa"/>
            <w:vAlign w:val="bottom"/>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January 28,</w:t>
            </w:r>
          </w:p>
        </w:tc>
      </w:tr>
      <w:tr>
        <w:trPr>
          <w:trHeight w:val="153"/>
        </w:trPr>
        <w:tc>
          <w:tcPr>
            <w:tcW w:w="63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center"/>
              <w:ind w:left="894"/>
              <w:spacing w:after="0"/>
              <w:rPr>
                <w:sz w:val="20"/>
                <w:szCs w:val="20"/>
                <w:color w:val="auto"/>
              </w:rPr>
            </w:pPr>
            <w:r>
              <w:rPr>
                <w:rFonts w:ascii="Times New Roman" w:cs="Times New Roman" w:eastAsia="Times New Roman" w:hAnsi="Times New Roman"/>
                <w:sz w:val="14"/>
                <w:szCs w:val="14"/>
                <w:color w:val="auto"/>
                <w:w w:val="99"/>
              </w:rPr>
              <w:t>73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0"/>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increases in unrecognized tax benefits as a result of current year activity</w:t>
            </w:r>
          </w:p>
        </w:tc>
        <w:tc>
          <w:tcPr>
            <w:tcW w:w="116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20" w:type="dxa"/>
            <w:vAlign w:val="bottom"/>
            <w:gridSpan w:val="2"/>
          </w:tcPr>
          <w:p>
            <w:pPr>
              <w:jc w:val="center"/>
              <w:ind w:left="794"/>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11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center"/>
              <w:ind w:left="874"/>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1"/>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16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center"/>
              <w:ind w:left="894"/>
              <w:spacing w:after="0"/>
              <w:rPr>
                <w:sz w:val="20"/>
                <w:szCs w:val="20"/>
                <w:color w:val="auto"/>
              </w:rPr>
            </w:pPr>
            <w:r>
              <w:rPr>
                <w:rFonts w:ascii="Times New Roman" w:cs="Times New Roman" w:eastAsia="Times New Roman" w:hAnsi="Times New Roman"/>
                <w:sz w:val="14"/>
                <w:szCs w:val="14"/>
                <w:color w:val="auto"/>
                <w:w w:val="99"/>
              </w:rPr>
              <w:t>39</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0"/>
        </w:trPr>
        <w:tc>
          <w:tcPr>
            <w:tcW w:w="6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60" w:right="20"/>
        <w:spacing w:after="0" w:line="264" w:lineRule="auto"/>
        <w:rPr>
          <w:sz w:val="20"/>
          <w:szCs w:val="20"/>
          <w:color w:val="auto"/>
        </w:rPr>
      </w:pPr>
      <w:r>
        <w:rPr>
          <w:rFonts w:ascii="Times New Roman" w:cs="Times New Roman" w:eastAsia="Times New Roman" w:hAnsi="Times New Roman"/>
          <w:sz w:val="14"/>
          <w:szCs w:val="14"/>
          <w:color w:val="auto"/>
        </w:rPr>
        <w:t>As of February 1, 2025, the Company had an immaterial amount of total unrecognized tax benefits, net of federal benefit, that would, if recognized, favorably affect the effective tax rate in future periods. Total unrecognized tax benefits are currently expected to decrease by approximately $37.0 thousand in the next twelve months. The Company recognized an immaterial amount of interest only, no penalties, related to unrecognized tax benefits in the fiscal years ended January 28, 2023 and January 29, 2022. Unrecognized tax benefits are included within other long-term liabilities in the Company's Consolidated Balance Sheets.</w:t>
      </w:r>
    </w:p>
    <w:p>
      <w:pPr>
        <w:spacing w:after="0" w:line="98" w:lineRule="exact"/>
        <w:rPr>
          <w:sz w:val="20"/>
          <w:szCs w:val="20"/>
          <w:color w:val="auto"/>
        </w:rPr>
      </w:pPr>
    </w:p>
    <w:p>
      <w:pPr>
        <w:ind w:left="260" w:right="120"/>
        <w:spacing w:after="0" w:line="287" w:lineRule="auto"/>
        <w:rPr>
          <w:sz w:val="20"/>
          <w:szCs w:val="20"/>
          <w:color w:val="auto"/>
        </w:rPr>
      </w:pPr>
      <w:r>
        <w:rPr>
          <w:rFonts w:ascii="Times New Roman" w:cs="Times New Roman" w:eastAsia="Times New Roman" w:hAnsi="Times New Roman"/>
          <w:sz w:val="14"/>
          <w:szCs w:val="14"/>
          <w:color w:val="auto"/>
        </w:rPr>
        <w:t>The Company files income tax returns in the U.S. federal jurisdiction and various U.S. state and foreign jurisdictions. The Company is subject to U.S. federal income tax examinations for fiscal years 2022 and forward. With a few exceptions, the Company is subject to audit by various state and foreign taxing authorities for fiscal 2021 through the current fiscal year.</w:t>
      </w:r>
    </w:p>
    <w:p>
      <w:pPr>
        <w:spacing w:after="0" w:line="143" w:lineRule="exact"/>
        <w:rPr>
          <w:sz w:val="20"/>
          <w:szCs w:val="20"/>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Stock-Based Compensation</w:t>
      </w:r>
    </w:p>
    <w:p>
      <w:pPr>
        <w:spacing w:after="0" w:line="85" w:lineRule="exact"/>
        <w:rPr>
          <w:rFonts w:ascii="Times New Roman" w:cs="Times New Roman" w:eastAsia="Times New Roman" w:hAnsi="Times New Roman"/>
          <w:sz w:val="14"/>
          <w:szCs w:val="14"/>
          <w:b w:val="1"/>
          <w:bCs w:val="1"/>
          <w:color w:val="auto"/>
        </w:rPr>
      </w:pPr>
    </w:p>
    <w:p>
      <w:pPr>
        <w:ind w:left="260" w:right="280"/>
        <w:spacing w:after="0" w:line="28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stock-based compensation consists of awards of restricted stock and restricted stock units. The Company recognized stock-based compensation expense of $3.7 million, $2.9 million, and $3.2 million in the fiscal years ended February 1, 2025, February 3, 2024, and January 28, 2023, respectively.</w:t>
      </w:r>
    </w:p>
    <w:p>
      <w:pPr>
        <w:spacing w:after="0" w:line="154"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Awards of Restricted-Stock Units</w:t>
      </w:r>
    </w:p>
    <w:p>
      <w:pPr>
        <w:spacing w:after="0" w:line="74" w:lineRule="exact"/>
        <w:rPr>
          <w:rFonts w:ascii="Times New Roman" w:cs="Times New Roman" w:eastAsia="Times New Roman" w:hAnsi="Times New Roman"/>
          <w:sz w:val="14"/>
          <w:szCs w:val="14"/>
          <w:b w:val="1"/>
          <w:bCs w:val="1"/>
          <w:color w:val="auto"/>
        </w:rPr>
      </w:pPr>
    </w:p>
    <w:p>
      <w:pPr>
        <w:ind w:left="260" w:right="260"/>
        <w:spacing w:after="0" w:line="28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reserved 6,000,000 shares of common stock for issuance or transfer under the 2020 Equity and Incentive Plan, which allows for grants of restricted stock units, as well as other equity awards.</w:t>
      </w:r>
    </w:p>
    <w:p>
      <w:pPr>
        <w:spacing w:after="0" w:line="28" w:lineRule="exact"/>
        <w:rPr>
          <w:rFonts w:ascii="Times New Roman" w:cs="Times New Roman" w:eastAsia="Times New Roman" w:hAnsi="Times New Roman"/>
          <w:sz w:val="14"/>
          <w:szCs w:val="14"/>
          <w:b w:val="1"/>
          <w:bCs w:val="1"/>
          <w:color w:val="auto"/>
        </w:rPr>
      </w:pPr>
    </w:p>
    <w:p>
      <w:pPr>
        <w:ind w:left="260" w:right="60"/>
        <w:spacing w:after="0" w:line="27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fiscal year ended February 1, 2025, the Company granted a total of 755,647 time-based and performance-based restricted stock units to certain employees and non-employee directors under the 2020 Equity and Incentive Plan with an aggregate fair value of $5.1 million. The Company determined the fair value of the units based on the closing price of the Company’s common stock on the grant date.</w:t>
      </w:r>
    </w:p>
    <w:p>
      <w:pPr>
        <w:spacing w:after="0" w:line="40" w:lineRule="exact"/>
        <w:rPr>
          <w:rFonts w:ascii="Times New Roman" w:cs="Times New Roman" w:eastAsia="Times New Roman" w:hAnsi="Times New Roman"/>
          <w:sz w:val="14"/>
          <w:szCs w:val="14"/>
          <w:b w:val="1"/>
          <w:bCs w:val="1"/>
          <w:color w:val="auto"/>
        </w:rPr>
      </w:pPr>
    </w:p>
    <w:p>
      <w:pPr>
        <w:ind w:left="260" w:right="80"/>
        <w:spacing w:after="0" w:line="27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majority of time-based restricted stock units vest and settle in shares of the Company’s common stock, on a one-for-one basis, in equal installments on each of the first three anniversaries of the grant date. Restricted stock unit awards issued to non-employee directors vest after a one-year period from the grant date. The Company recognizes the expense relating to these awards, net of estimated forfeitures, on a straight-line basis over the vesting period.</w:t>
      </w:r>
    </w:p>
    <w:p>
      <w:pPr>
        <w:spacing w:after="0" w:line="29" w:lineRule="exact"/>
        <w:rPr>
          <w:rFonts w:ascii="Times New Roman" w:cs="Times New Roman" w:eastAsia="Times New Roman" w:hAnsi="Times New Roman"/>
          <w:sz w:val="14"/>
          <w:szCs w:val="14"/>
          <w:b w:val="1"/>
          <w:bCs w:val="1"/>
          <w:color w:val="auto"/>
        </w:rPr>
      </w:pPr>
    </w:p>
    <w:p>
      <w:pPr>
        <w:ind w:left="260" w:right="100"/>
        <w:spacing w:after="0" w:line="26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majority of performance-based restricted stock units vest upon the completion of a three-year period of time (cliff vesting), subject to the employee’s continuing employment throughout the three-year performance period and the Company’s achievement of annual earnings per share targets, or other Company performance targets, during the three-year performance period. The Company recognizes the expense relating to these units, net of estimated forfeitures and based on the probable outcome of achievement of the financial targets, on a straight-line basis over the vesting period.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information about restricted-stock units as of and for the year ended February 1, 2025 (units in thousands):</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5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00" w:type="dxa"/>
            <w:vAlign w:val="bottom"/>
            <w:gridSpan w:val="3"/>
          </w:tcPr>
          <w:p>
            <w:pPr>
              <w:jc w:val="right"/>
              <w:ind w:right="741"/>
              <w:spacing w:after="0"/>
              <w:rPr>
                <w:sz w:val="20"/>
                <w:szCs w:val="20"/>
                <w:color w:val="auto"/>
              </w:rPr>
            </w:pPr>
            <w:r>
              <w:rPr>
                <w:rFonts w:ascii="Times New Roman" w:cs="Times New Roman" w:eastAsia="Times New Roman" w:hAnsi="Times New Roman"/>
                <w:sz w:val="11"/>
                <w:szCs w:val="11"/>
                <w:b w:val="1"/>
                <w:bCs w:val="1"/>
                <w:color w:val="auto"/>
              </w:rPr>
              <w:t>Time-based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Performance-based</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518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481"/>
              <w:spacing w:after="0"/>
              <w:rPr>
                <w:sz w:val="20"/>
                <w:szCs w:val="20"/>
                <w:color w:val="auto"/>
              </w:rPr>
            </w:pPr>
            <w:r>
              <w:rPr>
                <w:rFonts w:ascii="Times New Roman" w:cs="Times New Roman" w:eastAsia="Times New Roman" w:hAnsi="Times New Roman"/>
                <w:sz w:val="11"/>
                <w:szCs w:val="11"/>
                <w:b w:val="1"/>
                <w:bCs w:val="1"/>
                <w:color w:val="auto"/>
              </w:rPr>
              <w:t>Restricted Stock Units</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60" w:type="dxa"/>
            <w:vAlign w:val="bottom"/>
            <w:tcBorders>
              <w:bottom w:val="single" w:sz="8" w:color="auto"/>
            </w:tcBorders>
            <w:gridSpan w:val="4"/>
          </w:tcPr>
          <w:p>
            <w:pPr>
              <w:jc w:val="right"/>
              <w:ind w:right="816"/>
              <w:spacing w:after="0"/>
              <w:rPr>
                <w:sz w:val="20"/>
                <w:szCs w:val="20"/>
                <w:color w:val="auto"/>
              </w:rPr>
            </w:pPr>
            <w:r>
              <w:rPr>
                <w:rFonts w:ascii="Times New Roman" w:cs="Times New Roman" w:eastAsia="Times New Roman" w:hAnsi="Times New Roman"/>
                <w:sz w:val="11"/>
                <w:szCs w:val="11"/>
                <w:b w:val="1"/>
                <w:bCs w:val="1"/>
                <w:color w:val="auto"/>
              </w:rPr>
              <w:t>Restricted Stock Units</w:t>
            </w:r>
          </w:p>
        </w:tc>
        <w:tc>
          <w:tcPr>
            <w:tcW w:w="0" w:type="dxa"/>
            <w:vAlign w:val="bottom"/>
          </w:tcPr>
          <w:p>
            <w:pPr>
              <w:spacing w:after="0"/>
              <w:rPr>
                <w:sz w:val="1"/>
                <w:szCs w:val="1"/>
                <w:color w:val="auto"/>
              </w:rPr>
            </w:pPr>
          </w:p>
        </w:tc>
      </w:tr>
      <w:tr>
        <w:trPr>
          <w:trHeight w:val="102"/>
        </w:trPr>
        <w:tc>
          <w:tcPr>
            <w:tcW w:w="5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jc w:val="center"/>
              <w:ind w:left="301"/>
              <w:spacing w:after="0" w:line="102"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jc w:val="center"/>
              <w:ind w:right="336"/>
              <w:spacing w:after="0" w:line="102"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08"/>
        </w:trPr>
        <w:tc>
          <w:tcPr>
            <w:tcW w:w="5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jc w:val="center"/>
              <w:ind w:left="321"/>
              <w:spacing w:after="0" w:line="108" w:lineRule="exact"/>
              <w:rPr>
                <w:sz w:val="20"/>
                <w:szCs w:val="20"/>
                <w:color w:val="auto"/>
              </w:rPr>
            </w:pPr>
            <w:r>
              <w:rPr>
                <w:rFonts w:ascii="Times New Roman" w:cs="Times New Roman" w:eastAsia="Times New Roman" w:hAnsi="Times New Roman"/>
                <w:sz w:val="11"/>
                <w:szCs w:val="11"/>
                <w:b w:val="1"/>
                <w:bCs w:val="1"/>
                <w:color w:val="auto"/>
              </w:rPr>
              <w:t>Average</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jc w:val="center"/>
              <w:ind w:right="356"/>
              <w:spacing w:after="0" w:line="108"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left="301"/>
              <w:spacing w:after="0" w:line="117" w:lineRule="exact"/>
              <w:rPr>
                <w:sz w:val="20"/>
                <w:szCs w:val="20"/>
                <w:color w:val="auto"/>
              </w:rPr>
            </w:pPr>
            <w:r>
              <w:rPr>
                <w:rFonts w:ascii="Times New Roman" w:cs="Times New Roman" w:eastAsia="Times New Roman" w:hAnsi="Times New Roman"/>
                <w:sz w:val="11"/>
                <w:szCs w:val="11"/>
                <w:b w:val="1"/>
                <w:bCs w:val="1"/>
                <w:color w:val="auto"/>
              </w:rPr>
              <w:t>Grant</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jc w:val="center"/>
              <w:ind w:right="336"/>
              <w:spacing w:after="0" w:line="117" w:lineRule="exact"/>
              <w:rPr>
                <w:sz w:val="20"/>
                <w:szCs w:val="20"/>
                <w:color w:val="auto"/>
              </w:rPr>
            </w:pPr>
            <w:r>
              <w:rPr>
                <w:rFonts w:ascii="Times New Roman" w:cs="Times New Roman" w:eastAsia="Times New Roman" w:hAnsi="Times New Roman"/>
                <w:sz w:val="11"/>
                <w:szCs w:val="11"/>
                <w:b w:val="1"/>
                <w:bCs w:val="1"/>
                <w:color w:val="auto"/>
              </w:rPr>
              <w:t>Grant</w:t>
            </w:r>
          </w:p>
        </w:tc>
        <w:tc>
          <w:tcPr>
            <w:tcW w:w="0" w:type="dxa"/>
            <w:vAlign w:val="bottom"/>
          </w:tcPr>
          <w:p>
            <w:pPr>
              <w:spacing w:after="0"/>
              <w:rPr>
                <w:sz w:val="1"/>
                <w:szCs w:val="1"/>
                <w:color w:val="auto"/>
              </w:rPr>
            </w:pPr>
          </w:p>
        </w:tc>
      </w:tr>
      <w:tr>
        <w:trPr>
          <w:trHeight w:val="115"/>
        </w:trPr>
        <w:tc>
          <w:tcPr>
            <w:tcW w:w="5180" w:type="dxa"/>
            <w:vAlign w:val="bottom"/>
          </w:tcPr>
          <w:p>
            <w:pPr>
              <w:spacing w:after="0"/>
              <w:rPr>
                <w:sz w:val="9"/>
                <w:szCs w:val="9"/>
                <w:color w:val="auto"/>
              </w:rPr>
            </w:pPr>
          </w:p>
        </w:tc>
        <w:tc>
          <w:tcPr>
            <w:tcW w:w="1020" w:type="dxa"/>
            <w:vAlign w:val="bottom"/>
            <w:vMerge w:val="restart"/>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jc w:val="center"/>
              <w:ind w:left="301"/>
              <w:spacing w:after="0" w:line="115" w:lineRule="exact"/>
              <w:rPr>
                <w:sz w:val="20"/>
                <w:szCs w:val="20"/>
                <w:color w:val="auto"/>
              </w:rPr>
            </w:pPr>
            <w:r>
              <w:rPr>
                <w:rFonts w:ascii="Times New Roman" w:cs="Times New Roman" w:eastAsia="Times New Roman" w:hAnsi="Times New Roman"/>
                <w:sz w:val="11"/>
                <w:szCs w:val="11"/>
                <w:b w:val="1"/>
                <w:bCs w:val="1"/>
                <w:color w:val="auto"/>
              </w:rPr>
              <w:t>Date Fair</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restart"/>
          </w:tcPr>
          <w:p>
            <w:pPr>
              <w:jc w:val="right"/>
              <w:ind w:right="355"/>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jc w:val="center"/>
              <w:ind w:right="336"/>
              <w:spacing w:after="0" w:line="115" w:lineRule="exact"/>
              <w:rPr>
                <w:sz w:val="20"/>
                <w:szCs w:val="20"/>
                <w:color w:val="auto"/>
              </w:rPr>
            </w:pPr>
            <w:r>
              <w:rPr>
                <w:rFonts w:ascii="Times New Roman" w:cs="Times New Roman" w:eastAsia="Times New Roman" w:hAnsi="Times New Roman"/>
                <w:sz w:val="11"/>
                <w:szCs w:val="11"/>
                <w:b w:val="1"/>
                <w:bCs w:val="1"/>
                <w:color w:val="auto"/>
              </w:rPr>
              <w:t>Date Fair</w:t>
            </w: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left="301"/>
              <w:spacing w:after="0" w:line="117" w:lineRule="exact"/>
              <w:rPr>
                <w:sz w:val="20"/>
                <w:szCs w:val="20"/>
                <w:color w:val="auto"/>
              </w:rPr>
            </w:pPr>
            <w:r>
              <w:rPr>
                <w:rFonts w:ascii="Times New Roman" w:cs="Times New Roman" w:eastAsia="Times New Roman" w:hAnsi="Times New Roman"/>
                <w:sz w:val="11"/>
                <w:szCs w:val="11"/>
                <w:b w:val="1"/>
                <w:bCs w:val="1"/>
                <w:color w:val="auto"/>
                <w:w w:val="94"/>
              </w:rPr>
              <w:t>Value</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jc w:val="center"/>
              <w:ind w:right="356"/>
              <w:spacing w:after="0" w:line="117"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54"/>
        </w:trPr>
        <w:tc>
          <w:tcPr>
            <w:tcW w:w="51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Units</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ind w:left="301"/>
              <w:spacing w:after="0"/>
              <w:rPr>
                <w:sz w:val="20"/>
                <w:szCs w:val="20"/>
                <w:color w:val="auto"/>
              </w:rPr>
            </w:pPr>
            <w:r>
              <w:rPr>
                <w:rFonts w:ascii="Times New Roman" w:cs="Times New Roman" w:eastAsia="Times New Roman" w:hAnsi="Times New Roman"/>
                <w:sz w:val="11"/>
                <w:szCs w:val="11"/>
                <w:b w:val="1"/>
                <w:bCs w:val="1"/>
                <w:color w:val="auto"/>
              </w:rPr>
              <w:t>(per unit)</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1"/>
                <w:szCs w:val="11"/>
                <w:b w:val="1"/>
                <w:bCs w:val="1"/>
                <w:color w:val="auto"/>
              </w:rPr>
              <w:t>(per unit)</w:t>
            </w: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units outstanding at February 3, 2024</w:t>
            </w: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8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0" w:type="dxa"/>
            <w:vAlign w:val="bottom"/>
          </w:tcPr>
          <w:p>
            <w:pPr>
              <w:spacing w:after="0"/>
              <w:rPr>
                <w:sz w:val="1"/>
                <w:szCs w:val="1"/>
                <w:color w:val="auto"/>
              </w:rPr>
            </w:pPr>
          </w:p>
        </w:tc>
      </w:tr>
      <w:tr>
        <w:trPr>
          <w:trHeight w:val="18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due to performance condition achievement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18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0" w:type="dxa"/>
            <w:vAlign w:val="bottom"/>
          </w:tcPr>
          <w:p>
            <w:pPr>
              <w:spacing w:after="0"/>
              <w:rPr>
                <w:sz w:val="1"/>
                <w:szCs w:val="1"/>
                <w:color w:val="auto"/>
              </w:rPr>
            </w:pPr>
          </w:p>
        </w:tc>
      </w:tr>
      <w:tr>
        <w:trPr>
          <w:trHeight w:val="18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units outstanding at February 1, 2025</w:t>
            </w:r>
          </w:p>
        </w:tc>
        <w:tc>
          <w:tcPr>
            <w:tcW w:w="10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120" w:type="dxa"/>
            <w:vAlign w:val="bottom"/>
            <w:gridSpan w:val="2"/>
          </w:tcPr>
          <w:p>
            <w:pPr>
              <w:jc w:val="right"/>
              <w:ind w:right="88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52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260" w:right="20"/>
        <w:spacing w:after="0" w:line="270" w:lineRule="auto"/>
        <w:rPr>
          <w:sz w:val="20"/>
          <w:szCs w:val="20"/>
          <w:color w:val="auto"/>
        </w:rPr>
      </w:pPr>
      <w:r>
        <w:rPr>
          <w:rFonts w:ascii="Times New Roman" w:cs="Times New Roman" w:eastAsia="Times New Roman" w:hAnsi="Times New Roman"/>
          <w:sz w:val="14"/>
          <w:szCs w:val="14"/>
          <w:color w:val="auto"/>
        </w:rPr>
        <w:t>As of February 1, 2025, there was $4.7 million of total unrecognized compensation cost, net of estimated forfeitures, related to nonvested restricted stock units. That cost is expected to be recognized over a weighted average period of 1.4 years, subject to meeting performance conditions. The total fair value of restricted stock units for which restrictions lapsed (vested) during fiscal 2025 was $2.6 million.</w:t>
      </w:r>
    </w:p>
    <w:p>
      <w:pPr>
        <w:spacing w:after="0" w:line="134" w:lineRule="exact"/>
        <w:rPr>
          <w:sz w:val="20"/>
          <w:szCs w:val="20"/>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74" w:lineRule="exact"/>
        <w:rPr>
          <w:rFonts w:ascii="Times New Roman" w:cs="Times New Roman" w:eastAsia="Times New Roman" w:hAnsi="Times New Roman"/>
          <w:sz w:val="14"/>
          <w:szCs w:val="14"/>
          <w:b w:val="1"/>
          <w:bCs w:val="1"/>
          <w:color w:val="auto"/>
        </w:rPr>
      </w:pPr>
    </w:p>
    <w:p>
      <w:pPr>
        <w:ind w:left="260" w:right="80"/>
        <w:spacing w:after="0" w:line="26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the aggregate, to have a material adverse effect on the Company’s financial condition, results of operations, or cash flows of a particular reporting period.</w:t>
      </w:r>
    </w:p>
    <w:p>
      <w:pPr>
        <w:spacing w:after="0" w:line="44" w:lineRule="exact"/>
        <w:rPr>
          <w:rFonts w:ascii="Times New Roman" w:cs="Times New Roman" w:eastAsia="Times New Roman" w:hAnsi="Times New Roman"/>
          <w:sz w:val="14"/>
          <w:szCs w:val="14"/>
          <w:b w:val="1"/>
          <w:bCs w:val="1"/>
          <w:color w:val="auto"/>
        </w:rPr>
      </w:pPr>
    </w:p>
    <w:p>
      <w:pPr>
        <w:ind w:left="260" w:right="40"/>
        <w:spacing w:after="0" w:line="28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is subject to other legal proceedings from time to time in the ordinary course of business but does not believe any of these such claims would have a material adverse impact on the Company at this time.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401(k) Profit Sharing Plan and Trust</w:t>
      </w:r>
    </w:p>
    <w:p>
      <w:pPr>
        <w:spacing w:after="0" w:line="85" w:lineRule="exact"/>
        <w:rPr>
          <w:sz w:val="20"/>
          <w:szCs w:val="20"/>
          <w:color w:val="auto"/>
        </w:rPr>
      </w:pPr>
    </w:p>
    <w:p>
      <w:pPr>
        <w:ind w:left="260" w:right="60"/>
        <w:spacing w:after="0" w:line="261" w:lineRule="auto"/>
        <w:rPr>
          <w:sz w:val="20"/>
          <w:szCs w:val="20"/>
          <w:color w:val="auto"/>
        </w:rPr>
      </w:pPr>
      <w:r>
        <w:rPr>
          <w:rFonts w:ascii="Times New Roman" w:cs="Times New Roman" w:eastAsia="Times New Roman" w:hAnsi="Times New Roman"/>
          <w:sz w:val="14"/>
          <w:szCs w:val="14"/>
          <w:color w:val="auto"/>
        </w:rPr>
        <w:t>The Company has a 401(k) profit sharing plan and trust for all qualified employees and provides a 100% match for the first 3% of employee contributions and a 50% match for the next 2% of employee contributions, for a maximum Company match of 4% of employee contributions, limited to the annual legal allowable limit. Additionally, the Company has the option of making discretionary profit sharing payments to the plan as approved by the board of directors. As of February 1, 2025, February 3, 2024, and January 28, 2023, no discretionary profit sharing payments had been approved. The Company recognizes 401(k) Company contributions within cost of sales for employees related to distribution center, sourcing, and other related functions and selling, general, and administrative expenses for all other employees. Total Company contributions to the plan were as follows (in thousands):</w:t>
      </w:r>
    </w:p>
    <w:p>
      <w:pPr>
        <w:spacing w:after="0" w:line="232"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ended February 1, 2025</w:t>
            </w:r>
          </w:p>
        </w:tc>
        <w:tc>
          <w:tcPr>
            <w:tcW w:w="43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ended February 3, 2024</w:t>
            </w:r>
          </w:p>
        </w:tc>
        <w:tc>
          <w:tcPr>
            <w:tcW w:w="4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ended January 28, 2023</w:t>
            </w:r>
          </w:p>
        </w:tc>
        <w:tc>
          <w:tcPr>
            <w:tcW w:w="4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r>
    </w:tbl>
    <w:p>
      <w:pPr>
        <w:spacing w:after="0" w:line="2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Related-Party Transactions</w:t>
      </w:r>
    </w:p>
    <w:p>
      <w:pPr>
        <w:spacing w:after="0" w:line="83" w:lineRule="exact"/>
        <w:rPr>
          <w:sz w:val="20"/>
          <w:szCs w:val="20"/>
          <w:color w:val="auto"/>
        </w:rPr>
      </w:pPr>
    </w:p>
    <w:p>
      <w:pPr>
        <w:ind w:left="260" w:right="120"/>
        <w:spacing w:after="0" w:line="271" w:lineRule="auto"/>
        <w:rPr>
          <w:sz w:val="20"/>
          <w:szCs w:val="20"/>
          <w:color w:val="auto"/>
        </w:rPr>
      </w:pPr>
      <w:r>
        <w:rPr>
          <w:rFonts w:ascii="Times New Roman" w:cs="Times New Roman" w:eastAsia="Times New Roman" w:hAnsi="Times New Roman"/>
          <w:sz w:val="14"/>
          <w:szCs w:val="14"/>
          <w:i w:val="1"/>
          <w:iCs w:val="1"/>
          <w:color w:val="auto"/>
        </w:rPr>
        <w:t>Charitable Contributions</w:t>
      </w:r>
      <w:r>
        <w:rPr>
          <w:rFonts w:ascii="Times New Roman" w:cs="Times New Roman" w:eastAsia="Times New Roman" w:hAnsi="Times New Roman"/>
          <w:sz w:val="14"/>
          <w:szCs w:val="14"/>
          <w:color w:val="auto"/>
        </w:rPr>
        <w:t>. The Vera Bradley Foundation for Breast Cancer (the “Foundation”) was founded by one of the Company’s directors, who is also on the board of directors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Foundation. The liability associated with commitments to the Foundation was approximately $0.2 million as of February 1, 2025 and $0.1 million as of February 3, 2024. The liability consisted of pass-through donations from customers and is included in other accrued liabilities in the Consolidated Balance Sheets.</w:t>
      </w:r>
    </w:p>
    <w:p>
      <w:pPr>
        <w:spacing w:after="0" w:line="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associated expense for contributions to the Foundation, which is included in selling, general, and administrative expenses, was as follows (in thousands):</w:t>
      </w:r>
    </w:p>
    <w:p>
      <w:pPr>
        <w:spacing w:after="0" w:line="267"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ended February 1, 2025</w:t>
            </w:r>
          </w:p>
        </w:tc>
        <w:tc>
          <w:tcPr>
            <w:tcW w:w="44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ended February 3, 2024</w:t>
            </w:r>
          </w:p>
        </w:tc>
        <w:tc>
          <w:tcPr>
            <w:tcW w:w="4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ended January 28, 2023</w:t>
            </w:r>
          </w:p>
        </w:tc>
        <w:tc>
          <w:tcPr>
            <w:tcW w:w="4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Earnings Per Share</w:t>
      </w:r>
    </w:p>
    <w:p>
      <w:pPr>
        <w:spacing w:after="0" w:line="74" w:lineRule="exact"/>
        <w:rPr>
          <w:sz w:val="20"/>
          <w:szCs w:val="20"/>
          <w:color w:val="auto"/>
        </w:rPr>
      </w:pPr>
    </w:p>
    <w:p>
      <w:pPr>
        <w:ind w:left="260" w:right="100"/>
        <w:spacing w:after="0" w:line="264" w:lineRule="auto"/>
        <w:rPr>
          <w:sz w:val="20"/>
          <w:szCs w:val="20"/>
          <w:color w:val="auto"/>
        </w:rPr>
      </w:pPr>
      <w:r>
        <w:rPr>
          <w:rFonts w:ascii="Times New Roman" w:cs="Times New Roman" w:eastAsia="Times New Roman" w:hAnsi="Times New Roman"/>
          <w:sz w:val="14"/>
          <w:szCs w:val="14"/>
          <w:color w:val="auto"/>
        </w:rPr>
        <w:t>Basic net (loss) income per share is computed based on the weighted-average number of shares of common stock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(loss) income per share are as follows (in thousands, except per share data):</w:t>
      </w:r>
    </w:p>
    <w:p>
      <w:pPr>
        <w:spacing w:after="0" w:line="221"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08"/>
        </w:trPr>
        <w:tc>
          <w:tcPr>
            <w:tcW w:w="6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February 1,</w:t>
            </w:r>
          </w:p>
        </w:tc>
        <w:tc>
          <w:tcPr>
            <w:tcW w:w="180" w:type="dxa"/>
            <w:vAlign w:val="bottom"/>
          </w:tcPr>
          <w:p>
            <w:pPr>
              <w:spacing w:after="0"/>
              <w:rPr>
                <w:sz w:val="9"/>
                <w:szCs w:val="9"/>
                <w:color w:val="auto"/>
              </w:rPr>
            </w:pPr>
          </w:p>
        </w:tc>
        <w:tc>
          <w:tcPr>
            <w:tcW w:w="132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1"/>
                <w:szCs w:val="11"/>
                <w:b w:val="1"/>
                <w:bCs w:val="1"/>
                <w:color w:val="auto"/>
              </w:rPr>
              <w:t>February 3,</w:t>
            </w:r>
          </w:p>
        </w:tc>
        <w:tc>
          <w:tcPr>
            <w:tcW w:w="260" w:type="dxa"/>
            <w:vAlign w:val="bottom"/>
          </w:tcPr>
          <w:p>
            <w:pPr>
              <w:spacing w:after="0"/>
              <w:rPr>
                <w:sz w:val="9"/>
                <w:szCs w:val="9"/>
                <w:color w:val="auto"/>
              </w:rPr>
            </w:pPr>
          </w:p>
        </w:tc>
        <w:tc>
          <w:tcPr>
            <w:tcW w:w="1140" w:type="dxa"/>
            <w:vAlign w:val="bottom"/>
          </w:tcPr>
          <w:p>
            <w:pPr>
              <w:jc w:val="right"/>
              <w:ind w:right="352"/>
              <w:spacing w:after="0" w:line="108" w:lineRule="exact"/>
              <w:rPr>
                <w:sz w:val="20"/>
                <w:szCs w:val="20"/>
                <w:color w:val="auto"/>
              </w:rPr>
            </w:pPr>
            <w:r>
              <w:rPr>
                <w:rFonts w:ascii="Times New Roman" w:cs="Times New Roman" w:eastAsia="Times New Roman" w:hAnsi="Times New Roman"/>
                <w:sz w:val="11"/>
                <w:szCs w:val="11"/>
                <w:b w:val="1"/>
                <w:bCs w:val="1"/>
                <w:color w:val="auto"/>
              </w:rPr>
              <w:t>January 28,</w:t>
            </w:r>
          </w:p>
        </w:tc>
      </w:tr>
      <w:tr>
        <w:trPr>
          <w:trHeight w:val="153"/>
        </w:trPr>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Numerator:</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(62,188)</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7,838</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(79,384)</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redeemable noncontrolling interest</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(19,649)</w:t>
            </w:r>
          </w:p>
        </w:tc>
      </w:tr>
      <w:tr>
        <w:trPr>
          <w:trHeight w:val="171"/>
        </w:trPr>
        <w:tc>
          <w:tcPr>
            <w:tcW w:w="6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 income attributable to Vera Bradley, Inc.</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(62,188)</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7,838</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(59,735)</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6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Denominator:</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(basic)</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31,503</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Dilutive effect of stock-based awards</w:t>
            </w:r>
          </w:p>
        </w:tc>
        <w:tc>
          <w:tcPr>
            <w:tcW w:w="2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(diluted)</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Net (loss) income per share attributable to Vera Bradley, Inc.:</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r>
    </w:tbl>
    <w:p>
      <w:pPr>
        <w:spacing w:after="0" w:line="3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February 1, 2025 and January 28, 2023, all potential common shares were excluded from the diluted share calculation because they were anti-dilutive due to the net loss in the period.</w:t>
      </w:r>
    </w:p>
    <w:p>
      <w:pPr>
        <w:spacing w:after="0" w:line="72" w:lineRule="exact"/>
        <w:rPr>
          <w:sz w:val="20"/>
          <w:szCs w:val="20"/>
          <w:color w:val="auto"/>
        </w:rPr>
      </w:pPr>
    </w:p>
    <w:p>
      <w:pPr>
        <w:ind w:left="260" w:right="220"/>
        <w:spacing w:after="0" w:line="287" w:lineRule="auto"/>
        <w:rPr>
          <w:sz w:val="20"/>
          <w:szCs w:val="20"/>
          <w:color w:val="auto"/>
        </w:rPr>
      </w:pPr>
      <w:r>
        <w:rPr>
          <w:rFonts w:ascii="Times New Roman" w:cs="Times New Roman" w:eastAsia="Times New Roman" w:hAnsi="Times New Roman"/>
          <w:sz w:val="14"/>
          <w:szCs w:val="14"/>
          <w:color w:val="auto"/>
        </w:rPr>
        <w:t>As of February 3, 2024, there were an immaterial number of additional shares issuable upon the vesting of restricted stock units that were excluded from the diluted share calculations because they were anti-dilutive. The diluted share calculations include performance-based restricted stock units for completed performance periods.</w:t>
      </w:r>
    </w:p>
    <w:p>
      <w:pPr>
        <w:spacing w:after="0" w:line="19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Common Stock</w:t>
      </w:r>
    </w:p>
    <w:p>
      <w:pPr>
        <w:spacing w:after="0" w:line="85" w:lineRule="exact"/>
        <w:rPr>
          <w:sz w:val="20"/>
          <w:szCs w:val="20"/>
          <w:color w:val="auto"/>
        </w:rPr>
      </w:pPr>
    </w:p>
    <w:p>
      <w:pPr>
        <w:ind w:left="260" w:right="140"/>
        <w:spacing w:after="0" w:line="287" w:lineRule="auto"/>
        <w:rPr>
          <w:sz w:val="20"/>
          <w:szCs w:val="20"/>
          <w:color w:val="auto"/>
        </w:rPr>
      </w:pPr>
      <w:r>
        <w:rPr>
          <w:rFonts w:ascii="Times New Roman" w:cs="Times New Roman" w:eastAsia="Times New Roman" w:hAnsi="Times New Roman"/>
          <w:sz w:val="14"/>
          <w:szCs w:val="14"/>
          <w:color w:val="auto"/>
        </w:rPr>
        <w:t>On November 29, 2018, the Company's board of directors approved a share repurchase plan (the “2018 Share Repurchase Program”) authorizing up to $50.0 million of repurchases of shares of the Company's common stock. On December 3, 2020, the 2018 Share Repurchase Program was extended through December 11, 2021.</w:t>
      </w:r>
    </w:p>
    <w:p>
      <w:pPr>
        <w:spacing w:after="0" w:line="18" w:lineRule="exact"/>
        <w:rPr>
          <w:sz w:val="20"/>
          <w:szCs w:val="20"/>
          <w:color w:val="auto"/>
        </w:rPr>
      </w:pPr>
    </w:p>
    <w:p>
      <w:pPr>
        <w:jc w:val="both"/>
        <w:ind w:left="260" w:right="240"/>
        <w:spacing w:after="0" w:line="270" w:lineRule="auto"/>
        <w:rPr>
          <w:sz w:val="20"/>
          <w:szCs w:val="20"/>
          <w:color w:val="auto"/>
        </w:rPr>
      </w:pPr>
      <w:r>
        <w:rPr>
          <w:rFonts w:ascii="Times New Roman" w:cs="Times New Roman" w:eastAsia="Times New Roman" w:hAnsi="Times New Roman"/>
          <w:sz w:val="14"/>
          <w:szCs w:val="14"/>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expired in December 2024.</w:t>
      </w:r>
    </w:p>
    <w:p>
      <w:pPr>
        <w:spacing w:after="0" w:line="40" w:lineRule="exact"/>
        <w:rPr>
          <w:sz w:val="20"/>
          <w:szCs w:val="20"/>
          <w:color w:val="auto"/>
        </w:rPr>
      </w:pPr>
    </w:p>
    <w:p>
      <w:pPr>
        <w:ind w:left="260" w:right="300"/>
        <w:spacing w:after="0" w:line="287" w:lineRule="auto"/>
        <w:rPr>
          <w:sz w:val="20"/>
          <w:szCs w:val="20"/>
          <w:color w:val="auto"/>
        </w:rPr>
      </w:pPr>
      <w:r>
        <w:rPr>
          <w:rFonts w:ascii="Times New Roman" w:cs="Times New Roman" w:eastAsia="Times New Roman" w:hAnsi="Times New Roman"/>
          <w:sz w:val="14"/>
          <w:szCs w:val="14"/>
          <w:color w:val="auto"/>
        </w:rPr>
        <w:t>During the fiscal year ended February 1, 2025, the Company purchased and held 3,395,335 shares at an average price of $6.41 per share, excluding commissions, for an aggregate amount of $21.8 million, under the 2021 Share Repurchase Program.</w:t>
      </w:r>
    </w:p>
    <w:p>
      <w:pPr>
        <w:spacing w:after="0" w:line="29" w:lineRule="exact"/>
        <w:rPr>
          <w:sz w:val="20"/>
          <w:szCs w:val="20"/>
          <w:color w:val="auto"/>
        </w:rPr>
      </w:pPr>
    </w:p>
    <w:p>
      <w:pPr>
        <w:ind w:left="260" w:right="140"/>
        <w:spacing w:after="0" w:line="287" w:lineRule="auto"/>
        <w:rPr>
          <w:sz w:val="20"/>
          <w:szCs w:val="20"/>
          <w:color w:val="auto"/>
        </w:rPr>
      </w:pPr>
      <w:r>
        <w:rPr>
          <w:rFonts w:ascii="Times New Roman" w:cs="Times New Roman" w:eastAsia="Times New Roman" w:hAnsi="Times New Roman"/>
          <w:sz w:val="14"/>
          <w:szCs w:val="14"/>
          <w:color w:val="auto"/>
        </w:rPr>
        <w:t>During the fiscal year ended February 3, 2024, the Company purchased and held 359,554 shares at an average price of $6.10 per share, excluding commissions, for an aggregate amount of $2.2 million, under the 2021 Share Repurchase Program.</w:t>
      </w:r>
    </w:p>
    <w:p>
      <w:pPr>
        <w:spacing w:after="0" w:line="18" w:lineRule="exact"/>
        <w:rPr>
          <w:sz w:val="20"/>
          <w:szCs w:val="20"/>
          <w:color w:val="auto"/>
        </w:rPr>
      </w:pPr>
    </w:p>
    <w:p>
      <w:pPr>
        <w:ind w:left="260" w:right="300"/>
        <w:spacing w:after="0" w:line="287" w:lineRule="auto"/>
        <w:rPr>
          <w:sz w:val="20"/>
          <w:szCs w:val="20"/>
          <w:color w:val="auto"/>
        </w:rPr>
      </w:pPr>
      <w:r>
        <w:rPr>
          <w:rFonts w:ascii="Times New Roman" w:cs="Times New Roman" w:eastAsia="Times New Roman" w:hAnsi="Times New Roman"/>
          <w:sz w:val="14"/>
          <w:szCs w:val="14"/>
          <w:color w:val="auto"/>
        </w:rPr>
        <w:t>During the fiscal year ended January 28, 2023, the Company purchased and held 2,820,949 shares at an average price of $6.40 per share, excluding commissions, for an aggregate amount of $18.1 million, under the 2018 and 2021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13" w:lineRule="exact"/>
        <w:rPr>
          <w:sz w:val="20"/>
          <w:szCs w:val="20"/>
          <w:color w:val="auto"/>
        </w:rPr>
      </w:pPr>
    </w:p>
    <w:p>
      <w:pPr>
        <w:ind w:left="260"/>
        <w:spacing w:after="0" w:line="243" w:lineRule="auto"/>
        <w:rPr>
          <w:sz w:val="20"/>
          <w:szCs w:val="20"/>
          <w:color w:val="auto"/>
        </w:rPr>
      </w:pPr>
      <w:r>
        <w:rPr>
          <w:rFonts w:ascii="Times New Roman" w:cs="Times New Roman" w:eastAsia="Times New Roman" w:hAnsi="Times New Roman"/>
          <w:sz w:val="14"/>
          <w:szCs w:val="14"/>
          <w:color w:val="auto"/>
        </w:rPr>
        <w:t>During the fourth quarter of fiscal 2025, the Company's board of directors approved a new share repurchase plan (the “2024 Share Repurchase Program”) which authorized Company management to utilize up to $30.0 million of available cash for repurchases of shares of the Company's common stock. The 2024 Share Repurchase Program went into effect beginning December 14, 2024 and expires in December 2027. The Company does not currently plan to purchase under the 2024 Share Repurchase Program, but anticipates utilizing it in the future depending on the Company's cash position.</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February 1, 2025, there was $30.0 million remaining available to repurchase shares of the Company's common stock under the 2024 Share Repurchase Program.</w:t>
      </w:r>
    </w:p>
    <w:p>
      <w:pPr>
        <w:spacing w:after="0" w:line="147" w:lineRule="exact"/>
        <w:rPr>
          <w:sz w:val="20"/>
          <w:szCs w:val="20"/>
          <w:color w:val="auto"/>
        </w:rPr>
      </w:pPr>
    </w:p>
    <w:p>
      <w:pPr>
        <w:ind w:left="260" w:right="260"/>
        <w:spacing w:after="0" w:line="287" w:lineRule="auto"/>
        <w:rPr>
          <w:sz w:val="20"/>
          <w:szCs w:val="20"/>
          <w:color w:val="auto"/>
        </w:rPr>
      </w:pPr>
      <w:r>
        <w:rPr>
          <w:rFonts w:ascii="Times New Roman" w:cs="Times New Roman" w:eastAsia="Times New Roman" w:hAnsi="Times New Roman"/>
          <w:sz w:val="14"/>
          <w:szCs w:val="14"/>
          <w:color w:val="auto"/>
        </w:rPr>
        <w:t>As of February 1, 2025, the Company held as treasury shares 15,834,579 shares of its common stock at an average price of $9.90 per share, excluding commissions, for an aggregate carrying amount of $156.8 million. The Company’s treasury shares may be issued under the 2020 Equity and Incentive Plan, or for other corporate purposes.</w:t>
      </w:r>
    </w:p>
    <w:p>
      <w:pPr>
        <w:spacing w:after="0" w:line="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Redeemable Noncontrolling Interest</w:t>
      </w:r>
    </w:p>
    <w:p>
      <w:pPr>
        <w:spacing w:after="0" w:line="85" w:lineRule="exact"/>
        <w:rPr>
          <w:sz w:val="20"/>
          <w:szCs w:val="20"/>
          <w:color w:val="auto"/>
        </w:rPr>
      </w:pPr>
    </w:p>
    <w:p>
      <w:pPr>
        <w:ind w:left="260" w:right="260"/>
        <w:spacing w:after="0" w:line="287" w:lineRule="auto"/>
        <w:rPr>
          <w:sz w:val="20"/>
          <w:szCs w:val="20"/>
          <w:color w:val="auto"/>
        </w:rPr>
      </w:pPr>
      <w:r>
        <w:rPr>
          <w:rFonts w:ascii="Times New Roman" w:cs="Times New Roman" w:eastAsia="Times New Roman" w:hAnsi="Times New Roman"/>
          <w:sz w:val="14"/>
          <w:szCs w:val="14"/>
          <w:color w:val="auto"/>
        </w:rPr>
        <w:t>Redeemable noncontrolling interest represents the remaining twenty-five percent (25%) interest in Pura Vida not acquired by the Company. On January 30, 2023, the Company purchased the remaining 25% interest in Pura Vida. Refer to Note 2 herein for additional information.</w:t>
      </w:r>
    </w:p>
    <w:p>
      <w:pPr>
        <w:spacing w:after="0" w:line="29" w:lineRule="exact"/>
        <w:rPr>
          <w:sz w:val="20"/>
          <w:szCs w:val="20"/>
          <w:color w:val="auto"/>
        </w:rPr>
      </w:pPr>
    </w:p>
    <w:p>
      <w:pPr>
        <w:ind w:left="260" w:right="240"/>
        <w:spacing w:after="0" w:line="287" w:lineRule="auto"/>
        <w:rPr>
          <w:sz w:val="20"/>
          <w:szCs w:val="20"/>
          <w:color w:val="auto"/>
        </w:rPr>
      </w:pPr>
      <w:r>
        <w:rPr>
          <w:rFonts w:ascii="Times New Roman" w:cs="Times New Roman" w:eastAsia="Times New Roman" w:hAnsi="Times New Roman"/>
          <w:sz w:val="14"/>
          <w:szCs w:val="14"/>
          <w:color w:val="auto"/>
        </w:rPr>
        <w:t>Changes in redeemable noncontrolling interest for the fifty-two weeks ended February 1, 2025, fifty-three weeks ended February 3, 2024,and fifty-two weeks ended January 28, 2023 were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0" w:type="dxa"/>
            <w:vAlign w:val="bottom"/>
          </w:tcPr>
          <w:p>
            <w:pPr>
              <w:spacing w:after="0"/>
              <w:rPr>
                <w:sz w:val="15"/>
                <w:szCs w:val="15"/>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29, 2022</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30,974</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redeemable noncontrolling interest</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(19,649)</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redeemable noncontrolling interest</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28, 2023</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10,712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0" w:type="dxa"/>
            <w:vAlign w:val="bottom"/>
          </w:tcPr>
          <w:p>
            <w:pPr>
              <w:spacing w:after="0"/>
              <w:rPr>
                <w:sz w:val="14"/>
                <w:szCs w:val="14"/>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for purchase of noncontrolling interest</w:t>
            </w: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(10,712)</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3, 2024 and February 1, 2025</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15.  Intangible Assets</w:t>
            </w: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62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94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tables detail the carrying value of the Company’s intangible assets related to the acquisition of a majority interest in Pura Vida.</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6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February 1, 2025</w:t>
            </w: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Gross Basis</w:t>
            </w:r>
          </w:p>
        </w:tc>
        <w:tc>
          <w:tcPr>
            <w:tcW w:w="10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 Amortization</w:t>
            </w:r>
            <w:r>
              <w:rPr>
                <w:rFonts w:ascii="Times New Roman" w:cs="Times New Roman" w:eastAsia="Times New Roman" w:hAnsi="Times New Roman"/>
                <w:sz w:val="14"/>
                <w:szCs w:val="14"/>
                <w:b w:val="1"/>
                <w:bCs w:val="1"/>
                <w:color w:val="auto"/>
                <w:vertAlign w:val="superscript"/>
              </w:rPr>
              <w:t>(1)</w:t>
            </w:r>
          </w:p>
        </w:tc>
        <w:tc>
          <w:tcPr>
            <w:tcW w:w="300" w:type="dxa"/>
            <w:vAlign w:val="bottom"/>
          </w:tcPr>
          <w:p>
            <w:pPr>
              <w:spacing w:after="0"/>
              <w:rPr>
                <w:sz w:val="14"/>
                <w:szCs w:val="14"/>
                <w:color w:val="auto"/>
              </w:rPr>
            </w:pPr>
          </w:p>
        </w:tc>
        <w:tc>
          <w:tcPr>
            <w:tcW w:w="1300" w:type="dxa"/>
            <w:vAlign w:val="bottom"/>
            <w:gridSpan w:val="2"/>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Definite-lived intangible asset</w:t>
            </w:r>
          </w:p>
        </w:tc>
        <w:tc>
          <w:tcPr>
            <w:tcW w:w="3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6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Indefinite-lived intangible asset</w:t>
            </w: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60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Pura Vida Brand </w:t>
            </w:r>
            <w:r>
              <w:rPr>
                <w:rFonts w:ascii="Times New Roman" w:cs="Times New Roman" w:eastAsia="Times New Roman" w:hAnsi="Times New Roman"/>
                <w:sz w:val="18"/>
                <w:szCs w:val="18"/>
                <w:color w:val="auto"/>
                <w:vertAlign w:val="superscript"/>
              </w:rPr>
              <w:t>(2)</w:t>
            </w:r>
          </w:p>
        </w:tc>
        <w:tc>
          <w:tcPr>
            <w:tcW w:w="3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6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6"/>
                <w:szCs w:val="16"/>
                <w:color w:val="auto"/>
              </w:rPr>
            </w:pPr>
          </w:p>
        </w:tc>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480" w:hanging="206"/>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is recorded within the Pura Vida segment.</w:t>
      </w:r>
    </w:p>
    <w:p>
      <w:pPr>
        <w:spacing w:after="0" w:line="23"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impairment charge of $6.2 million was recorded within the Pura Vida segment during fourth quarter of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76"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60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February 3, 2024</w:t>
            </w: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70"/>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Gross Basis</w:t>
            </w:r>
          </w:p>
        </w:tc>
        <w:tc>
          <w:tcPr>
            <w:tcW w:w="10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 Amortization</w:t>
            </w:r>
            <w:r>
              <w:rPr>
                <w:rFonts w:ascii="Times New Roman" w:cs="Times New Roman" w:eastAsia="Times New Roman" w:hAnsi="Times New Roman"/>
                <w:sz w:val="14"/>
                <w:szCs w:val="14"/>
                <w:b w:val="1"/>
                <w:bCs w:val="1"/>
                <w:color w:val="auto"/>
                <w:vertAlign w:val="superscript"/>
              </w:rPr>
              <w:t>(1)</w:t>
            </w:r>
          </w:p>
        </w:tc>
        <w:tc>
          <w:tcPr>
            <w:tcW w:w="220" w:type="dxa"/>
            <w:vAlign w:val="bottom"/>
          </w:tcPr>
          <w:p>
            <w:pPr>
              <w:spacing w:after="0"/>
              <w:rPr>
                <w:sz w:val="14"/>
                <w:szCs w:val="14"/>
                <w:color w:val="auto"/>
              </w:rPr>
            </w:pPr>
          </w:p>
        </w:tc>
        <w:tc>
          <w:tcPr>
            <w:tcW w:w="1380" w:type="dxa"/>
            <w:vAlign w:val="bottom"/>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Carrying Amount</w:t>
            </w:r>
          </w:p>
        </w:tc>
      </w:tr>
      <w:tr>
        <w:trPr>
          <w:trHeight w:val="160"/>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Definite-lived intangible assets</w:t>
            </w:r>
          </w:p>
        </w:tc>
        <w:tc>
          <w:tcPr>
            <w:tcW w:w="3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8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(22,872)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1,336</w:t>
            </w:r>
          </w:p>
        </w:tc>
      </w:tr>
      <w:tr>
        <w:trPr>
          <w:trHeight w:val="192"/>
        </w:trPr>
        <w:tc>
          <w:tcPr>
            <w:tcW w:w="6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Indefinite-lived intangible asset</w:t>
            </w: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71"/>
        </w:trPr>
        <w:tc>
          <w:tcPr>
            <w:tcW w:w="60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Pura Vida Brand </w:t>
            </w:r>
            <w:r>
              <w:rPr>
                <w:rFonts w:ascii="Times New Roman" w:cs="Times New Roman" w:eastAsia="Times New Roman" w:hAnsi="Times New Roman"/>
                <w:sz w:val="18"/>
                <w:szCs w:val="18"/>
                <w:color w:val="auto"/>
                <w:vertAlign w:val="superscript"/>
              </w:rPr>
              <w:t>(2)</w:t>
            </w:r>
          </w:p>
        </w:tc>
        <w:tc>
          <w:tcPr>
            <w:tcW w:w="3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6,237</w:t>
            </w:r>
          </w:p>
        </w:tc>
      </w:tr>
      <w:tr>
        <w:trPr>
          <w:trHeight w:val="192"/>
        </w:trPr>
        <w:tc>
          <w:tcPr>
            <w:tcW w:w="6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96"/>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480" w:hanging="206"/>
        <w:spacing w:after="0"/>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is recorded within the Pura Vida segment.</w:t>
      </w:r>
    </w:p>
    <w:p>
      <w:pPr>
        <w:spacing w:after="0" w:line="23"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charges of $5.4 million were recorded within the Pura Vida segment during the fourth quarter of fiscal 2024.</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Fiscal 2025 Impairment</w:t>
      </w:r>
    </w:p>
    <w:p>
      <w:pPr>
        <w:spacing w:after="0" w:line="74" w:lineRule="exact"/>
        <w:rPr>
          <w:sz w:val="20"/>
          <w:szCs w:val="20"/>
          <w:color w:val="auto"/>
        </w:rPr>
      </w:pPr>
    </w:p>
    <w:p>
      <w:pPr>
        <w:jc w:val="both"/>
        <w:ind w:left="260" w:right="120"/>
        <w:spacing w:after="0" w:line="260" w:lineRule="auto"/>
        <w:rPr>
          <w:sz w:val="20"/>
          <w:szCs w:val="20"/>
          <w:color w:val="auto"/>
        </w:rPr>
      </w:pPr>
      <w:r>
        <w:rPr>
          <w:rFonts w:ascii="Times New Roman" w:cs="Times New Roman" w:eastAsia="Times New Roman" w:hAnsi="Times New Roman"/>
          <w:sz w:val="14"/>
          <w:szCs w:val="14"/>
          <w:color w:val="auto"/>
        </w:rPr>
        <w:t>The Company performed its fiscal 2025 annual impairment test over the indefinite-lived Pura Vida brand during the second quarter of fiscal 2025 and no impairment was recorded. In the fourth quarter of fiscal 2025, the Company identified triggering events and determined that the fair value of the Pura Vida brand was less than its carrying value, recording a full impairment charge of $6.2 million. In consideration of offers received for the sale of Pura Vida (see Note 18 herein for further information), the Company performed a quantitative analysis of the Pura Vida brand.</w:t>
      </w:r>
    </w:p>
    <w:p>
      <w:pPr>
        <w:ind w:left="260" w:right="440"/>
        <w:spacing w:after="0" w:line="353" w:lineRule="auto"/>
        <w:rPr>
          <w:sz w:val="20"/>
          <w:szCs w:val="20"/>
          <w:color w:val="auto"/>
        </w:rPr>
      </w:pPr>
      <w:r>
        <w:rPr>
          <w:rFonts w:ascii="Times New Roman" w:cs="Times New Roman" w:eastAsia="Times New Roman" w:hAnsi="Times New Roman"/>
          <w:sz w:val="14"/>
          <w:szCs w:val="14"/>
          <w:color w:val="auto"/>
        </w:rPr>
        <w:t xml:space="preserve">Based on this quantitative assessment, the Company determined that the relative fair value of the Pura Vida brand indicated no fair value and that the Pura Vida brand was not recoverable. </w:t>
      </w:r>
      <w:r>
        <w:rPr>
          <w:rFonts w:ascii="Times New Roman" w:cs="Times New Roman" w:eastAsia="Times New Roman" w:hAnsi="Times New Roman"/>
          <w:sz w:val="14"/>
          <w:szCs w:val="14"/>
          <w:b w:val="1"/>
          <w:bCs w:val="1"/>
          <w:color w:val="auto"/>
        </w:rPr>
        <w:t>Fiscal 2024 Impairment</w:t>
      </w:r>
    </w:p>
    <w:p>
      <w:pPr>
        <w:ind w:left="260"/>
        <w:spacing w:after="0"/>
        <w:rPr>
          <w:sz w:val="20"/>
          <w:szCs w:val="20"/>
          <w:color w:val="auto"/>
        </w:rPr>
      </w:pPr>
      <w:r>
        <w:rPr>
          <w:rFonts w:ascii="Times New Roman" w:cs="Times New Roman" w:eastAsia="Times New Roman" w:hAnsi="Times New Roman"/>
          <w:sz w:val="14"/>
          <w:szCs w:val="14"/>
          <w:color w:val="auto"/>
        </w:rPr>
        <w:t>The Company performed its fiscal 2024 annual impairment test over the indefinite-lived Pura Vida brand during the second quarter of fiscal 2024 and no impairment was recorded. In the fourth</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quarter of fiscal 2024, the Company identified triggering events and determined that the fair value of the Pura Vida brand was less than its carrying value, recording an impairment charge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$5.4 million. The Company continued to experience lower sales from its Pura Vida e-commerce channel due to a continued decline in social and digital media effectiveness, as well as continued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lower sales from the wholesale channel. These lower sales volumes had a negative impact on the fair value determination of the aforementioned assets. The fair value of the Pura Vida brand was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estimated using a relief-from-royalty method. The estimates and assumptions used in the determination of the fair value of the Pura Vida brand included the projected revenue growth, long-term</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growth rate, the royalty rate, and discount rate.</w:t>
      </w:r>
    </w:p>
    <w:p>
      <w:pPr>
        <w:spacing w:after="0" w:line="58" w:lineRule="exact"/>
        <w:rPr>
          <w:sz w:val="20"/>
          <w:szCs w:val="20"/>
          <w:color w:val="auto"/>
        </w:rPr>
      </w:pPr>
    </w:p>
    <w:p>
      <w:pPr>
        <w:ind w:left="260" w:right="40"/>
        <w:spacing w:after="0" w:line="264" w:lineRule="auto"/>
        <w:rPr>
          <w:sz w:val="20"/>
          <w:szCs w:val="20"/>
          <w:color w:val="auto"/>
        </w:rPr>
      </w:pPr>
      <w:r>
        <w:rPr>
          <w:rFonts w:ascii="Times New Roman" w:cs="Times New Roman" w:eastAsia="Times New Roman" w:hAnsi="Times New Roman"/>
          <w:sz w:val="14"/>
          <w:szCs w:val="14"/>
          <w:color w:val="auto"/>
        </w:rPr>
        <w:t>While we consider our assumptions in the determination of the fair value of these assets to be reasonable, they are complex and highly subjective. Our key assumptions (as described above in the valuation methodologies used in the determination of fair value) may be impacted by macroeconomic conditions, including inflationary pressures and the impact on consumer discretionary spending, supply chain challenges, as well as a sustained decline in stock price and potential changes in business strategy. Refer to Note 2 herein for additional information regarding fair value measurement.</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Fiscal 2023 Impairments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performed its fiscal 2023 annual impairment test over goodwill and the indefinite-lived Pura Vida brand during the second quarter of fiscal 2023.</w:t>
      </w:r>
    </w:p>
    <w:p>
      <w:pPr>
        <w:spacing w:after="0" w:line="72" w:lineRule="exact"/>
        <w:rPr>
          <w:sz w:val="20"/>
          <w:szCs w:val="20"/>
          <w:color w:val="auto"/>
        </w:rPr>
      </w:pPr>
    </w:p>
    <w:p>
      <w:pPr>
        <w:ind w:left="260" w:right="180"/>
        <w:spacing w:after="0" w:line="270" w:lineRule="auto"/>
        <w:rPr>
          <w:sz w:val="20"/>
          <w:szCs w:val="20"/>
          <w:color w:val="auto"/>
        </w:rPr>
      </w:pPr>
      <w:r>
        <w:rPr>
          <w:rFonts w:ascii="Times New Roman" w:cs="Times New Roman" w:eastAsia="Times New Roman" w:hAnsi="Times New Roman"/>
          <w:sz w:val="14"/>
          <w:szCs w:val="14"/>
          <w:color w:val="auto"/>
        </w:rPr>
        <w:t>The fair value of the Pura Vida reporting unit was determined using a combination of an income-based approach (discounted cash flows) and a market-based approach (guideline transaction method). The discounted cash flow method involved subjective estimates and assumptions such as projected revenue growth, operating profit, and the discount rate. The guideline transaction method involved transaction multiples derived from the acquisition of controlling interests in stocks of companies that are engaged in the same or similar lines of business as the reporting unit.</w:t>
      </w:r>
    </w:p>
    <w:p>
      <w:pPr>
        <w:spacing w:after="0" w:line="40" w:lineRule="exact"/>
        <w:rPr>
          <w:sz w:val="20"/>
          <w:szCs w:val="20"/>
          <w:color w:val="auto"/>
        </w:rPr>
      </w:pPr>
    </w:p>
    <w:p>
      <w:pPr>
        <w:ind w:left="260" w:right="60"/>
        <w:spacing w:after="0" w:line="270" w:lineRule="auto"/>
        <w:rPr>
          <w:sz w:val="20"/>
          <w:szCs w:val="20"/>
          <w:color w:val="auto"/>
        </w:rPr>
      </w:pPr>
      <w:r>
        <w:rPr>
          <w:rFonts w:ascii="Times New Roman" w:cs="Times New Roman" w:eastAsia="Times New Roman" w:hAnsi="Times New Roman"/>
          <w:sz w:val="14"/>
          <w:szCs w:val="14"/>
          <w:color w:val="auto"/>
        </w:rPr>
        <w:t>During the assessment for the fiscal 2023 annual test, it was determined that the fair values of the Pura Vida reporting unit and the Pura Vida brand were less than their carrying values. As a result, the Company recorded an impairment charge of $9.9 million and $19.4 million for the Pura Vida brand and goodwill, respectively, during the second quarter of fiscal 2023 within the Pura Vida segment.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3" w:lineRule="exact"/>
        <w:rPr>
          <w:sz w:val="20"/>
          <w:szCs w:val="20"/>
          <w:color w:val="auto"/>
        </w:rPr>
      </w:pPr>
    </w:p>
    <w:p>
      <w:pPr>
        <w:ind w:left="260"/>
        <w:spacing w:after="0" w:line="264" w:lineRule="auto"/>
        <w:rPr>
          <w:sz w:val="20"/>
          <w:szCs w:val="20"/>
          <w:color w:val="auto"/>
        </w:rPr>
      </w:pPr>
      <w:r>
        <w:rPr>
          <w:rFonts w:ascii="Times New Roman" w:cs="Times New Roman" w:eastAsia="Times New Roman" w:hAnsi="Times New Roman"/>
          <w:sz w:val="14"/>
          <w:szCs w:val="14"/>
          <w:color w:val="auto"/>
        </w:rPr>
        <w:t>We identified triggering events during the subsequent quarters of fiscal 2023, due to lower operating profit compared to previous forecasts, as well as changes in the long-range plan such as a pause on the opening of new Pura Vida retail stores. We performed further testing on the Pura Vida reporting unit and Pura Vida brand as a result. These analyses caused additional impairment charges to be recorded in the fourth quarter of fiscal 2023 of $15.1 million and $24.9 million for the Pura Vida brand and goodwill, respectively, which reflects a full goodwill impairment. Collectively, impairment charges for the Pura Vida brand and goodwill during fiscal 2023 totaled $69.3 million.</w:t>
      </w:r>
    </w:p>
    <w:p>
      <w:pPr>
        <w:spacing w:after="0" w:line="298" w:lineRule="exact"/>
        <w:rPr>
          <w:sz w:val="20"/>
          <w:szCs w:val="20"/>
          <w:color w:val="auto"/>
        </w:rPr>
      </w:pPr>
    </w:p>
    <w:p>
      <w:pPr>
        <w:jc w:val="right"/>
        <w:ind w:right="8160"/>
        <w:spacing w:after="0"/>
        <w:tabs>
          <w:tab w:leader="none" w:pos="10760" w:val="left"/>
        </w:tabs>
        <w:rPr>
          <w:sz w:val="20"/>
          <w:szCs w:val="20"/>
          <w:color w:val="auto"/>
        </w:rPr>
      </w:pPr>
      <w:r>
        <w:rPr>
          <w:rFonts w:ascii="Times New Roman" w:cs="Times New Roman" w:eastAsia="Times New Roman" w:hAnsi="Times New Roman"/>
          <w:sz w:val="14"/>
          <w:szCs w:val="14"/>
          <w:b w:val="1"/>
          <w:bCs w:val="1"/>
          <w:color w:val="auto"/>
        </w:rPr>
        <w:t>16.</w:t>
        <w:tab/>
        <w:t>Cost Savings Initiatives and Other Charges</w:t>
      </w:r>
    </w:p>
    <w:p>
      <w:pPr>
        <w:spacing w:after="0" w:line="83"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14"/>
          <w:szCs w:val="14"/>
          <w:i w:val="1"/>
          <w:iCs w:val="1"/>
          <w:color w:val="auto"/>
        </w:rPr>
        <w:t>Cost Savings Initiatives and Severance Charges</w:t>
      </w:r>
    </w:p>
    <w:p>
      <w:pPr>
        <w:spacing w:after="0" w:line="74" w:lineRule="exact"/>
        <w:rPr>
          <w:sz w:val="20"/>
          <w:szCs w:val="20"/>
          <w:color w:val="auto"/>
        </w:rPr>
      </w:pPr>
    </w:p>
    <w:p>
      <w:pPr>
        <w:ind w:left="260" w:right="240"/>
        <w:spacing w:after="0" w:line="270" w:lineRule="auto"/>
        <w:rPr>
          <w:sz w:val="20"/>
          <w:szCs w:val="20"/>
          <w:color w:val="auto"/>
        </w:rPr>
      </w:pPr>
      <w:r>
        <w:rPr>
          <w:rFonts w:ascii="Times New Roman" w:cs="Times New Roman" w:eastAsia="Times New Roman" w:hAnsi="Times New Roman"/>
          <w:sz w:val="14"/>
          <w:szCs w:val="14"/>
          <w:color w:val="auto"/>
        </w:rPr>
        <w:t>During fiscal 2023, the Company began implementation of its targeted cost reductions, which were expected to be fully realized in fiscal 2025. In late fiscal 2025, additional cost reduction initiatives were identified and are expected to be fully realized in fiscal 2026. Expense savings are being derived across various areas of the Company, including retail store efficiencies, marketing expenses, information technology contracts, professional services, logistics and operational costs, and corporate payroll.</w:t>
      </w:r>
    </w:p>
    <w:p>
      <w:pPr>
        <w:spacing w:after="0" w:line="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incurred the following charges during the fifty-two weeks ended February 1, 2025 (in thousands):</w:t>
      </w:r>
    </w:p>
    <w:p>
      <w:pPr>
        <w:spacing w:after="0" w:line="227"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25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Reportable Segment</w:t>
            </w: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VB Direct</w:t>
            </w:r>
          </w:p>
        </w:tc>
        <w:tc>
          <w:tcPr>
            <w:tcW w:w="180" w:type="dxa"/>
            <w:vAlign w:val="bottom"/>
          </w:tcPr>
          <w:p>
            <w:pPr>
              <w:spacing w:after="0"/>
              <w:rPr>
                <w:sz w:val="8"/>
                <w:szCs w:val="8"/>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VB Indirect</w:t>
            </w:r>
          </w:p>
        </w:tc>
        <w:tc>
          <w:tcPr>
            <w:tcW w:w="300" w:type="dxa"/>
            <w:vAlign w:val="bottom"/>
          </w:tcPr>
          <w:p>
            <w:pPr>
              <w:spacing w:after="0"/>
              <w:rPr>
                <w:sz w:val="8"/>
                <w:szCs w:val="8"/>
                <w:color w:val="auto"/>
              </w:rPr>
            </w:pP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Pura Vida</w:t>
            </w:r>
          </w:p>
        </w:tc>
        <w:tc>
          <w:tcPr>
            <w:tcW w:w="160" w:type="dxa"/>
            <w:vAlign w:val="bottom"/>
          </w:tcPr>
          <w:p>
            <w:pPr>
              <w:spacing w:after="0"/>
              <w:rPr>
                <w:sz w:val="8"/>
                <w:szCs w:val="8"/>
                <w:color w:val="auto"/>
              </w:rPr>
            </w:pPr>
          </w:p>
        </w:tc>
        <w:tc>
          <w:tcPr>
            <w:tcW w:w="1500" w:type="dxa"/>
            <w:vAlign w:val="bottom"/>
            <w:gridSpan w:val="3"/>
          </w:tcPr>
          <w:p>
            <w:pPr>
              <w:jc w:val="center"/>
              <w:ind w:right="240"/>
              <w:spacing w:after="0" w:line="97" w:lineRule="exact"/>
              <w:rPr>
                <w:sz w:val="20"/>
                <w:szCs w:val="20"/>
                <w:color w:val="auto"/>
              </w:rPr>
            </w:pPr>
            <w:r>
              <w:rPr>
                <w:rFonts w:ascii="Times New Roman" w:cs="Times New Roman" w:eastAsia="Times New Roman" w:hAnsi="Times New Roman"/>
                <w:sz w:val="11"/>
                <w:szCs w:val="11"/>
                <w:b w:val="1"/>
                <w:bCs w:val="1"/>
                <w:color w:val="auto"/>
              </w:rPr>
              <w:t>Unallocated Corporate</w:t>
            </w:r>
          </w:p>
        </w:tc>
        <w:tc>
          <w:tcPr>
            <w:tcW w:w="1120" w:type="dxa"/>
            <w:vAlign w:val="bottom"/>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w w:val="98"/>
              </w:rPr>
              <w:t>Total Expense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11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00" w:type="dxa"/>
            <w:vAlign w:val="bottom"/>
            <w:tcBorders>
              <w:top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Severance charges</w:t>
            </w:r>
            <w:r>
              <w:rPr>
                <w:rFonts w:ascii="Times New Roman" w:cs="Times New Roman" w:eastAsia="Times New Roman" w:hAnsi="Times New Roman"/>
                <w:sz w:val="18"/>
                <w:szCs w:val="18"/>
                <w:color w:val="auto"/>
                <w:vertAlign w:val="superscript"/>
              </w:rPr>
              <w:t>(1)</w:t>
            </w: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2,171</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3,871</w:t>
            </w:r>
          </w:p>
        </w:tc>
        <w:tc>
          <w:tcPr>
            <w:tcW w:w="0" w:type="dxa"/>
            <w:vAlign w:val="bottom"/>
          </w:tcPr>
          <w:p>
            <w:pPr>
              <w:spacing w:after="0"/>
              <w:rPr>
                <w:sz w:val="1"/>
                <w:szCs w:val="1"/>
                <w:color w:val="auto"/>
              </w:rPr>
            </w:pPr>
          </w:p>
        </w:tc>
      </w:tr>
      <w:tr>
        <w:trPr>
          <w:trHeight w:val="171"/>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4"/>
                <w:szCs w:val="14"/>
                <w:color w:val="auto"/>
              </w:rPr>
              <w:t>2,171</w:t>
            </w: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20" w:type="dxa"/>
            <w:vAlign w:val="bottom"/>
            <w:gridSpan w:val="10"/>
          </w:tcPr>
          <w:p>
            <w:pPr>
              <w:ind w:left="20"/>
              <w:spacing w:after="0"/>
              <w:rPr>
                <w:sz w:val="20"/>
                <w:szCs w:val="20"/>
                <w:color w:val="auto"/>
              </w:rPr>
            </w:pPr>
            <w:r>
              <w:rPr>
                <w:rFonts w:ascii="Times New Roman" w:cs="Times New Roman" w:eastAsia="Times New Roman" w:hAnsi="Times New Roman"/>
                <w:sz w:val="14"/>
                <w:szCs w:val="14"/>
                <w:color w:val="auto"/>
              </w:rPr>
              <w:t>(1) $3.1 million recorded in selling, general, and administrative expenses and $0.8 million recorded in cost of goods sold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90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A summary of charges and related liabilities associated with the cost savings initiatives and severance charges are as follows (in thousands):</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5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 xml:space="preserve">Severance Charges </w:t>
            </w:r>
            <w:r>
              <w:rPr>
                <w:rFonts w:ascii="Times New Roman" w:cs="Times New Roman" w:eastAsia="Times New Roman" w:hAnsi="Times New Roman"/>
                <w:sz w:val="14"/>
                <w:szCs w:val="14"/>
                <w:b w:val="1"/>
                <w:bCs w:val="1"/>
                <w:color w:val="auto"/>
                <w:vertAlign w:val="superscript"/>
              </w:rPr>
              <w:t>(1)</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as of February 3, 2024</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180"/>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2025 charges</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3,871</w:t>
            </w: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(1,887)</w:t>
            </w:r>
          </w:p>
        </w:tc>
        <w:tc>
          <w:tcPr>
            <w:tcW w:w="0" w:type="dxa"/>
            <w:vAlign w:val="bottom"/>
          </w:tcPr>
          <w:p>
            <w:pPr>
              <w:spacing w:after="0"/>
              <w:rPr>
                <w:sz w:val="1"/>
                <w:szCs w:val="1"/>
                <w:color w:val="auto"/>
              </w:rPr>
            </w:pPr>
          </w:p>
        </w:tc>
      </w:tr>
      <w:tr>
        <w:trPr>
          <w:trHeight w:val="171"/>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 as of February 1, 2025</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0" w:type="dxa"/>
            <w:vAlign w:val="bottom"/>
          </w:tcPr>
          <w:p>
            <w:pPr>
              <w:spacing w:after="0"/>
              <w:rPr>
                <w:sz w:val="1"/>
                <w:szCs w:val="1"/>
                <w:color w:val="auto"/>
              </w:rPr>
            </w:pPr>
          </w:p>
        </w:tc>
      </w:tr>
      <w:tr>
        <w:trPr>
          <w:trHeight w:val="20"/>
        </w:trPr>
        <w:tc>
          <w:tcPr>
            <w:tcW w:w="41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(1) Remaining liability is recorded within accrued employment costs</w:t>
            </w: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6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incurred the following charges during the fifty-three weeks ended February 3, 2024:</w:t>
      </w:r>
    </w:p>
    <w:p>
      <w:pPr>
        <w:spacing w:after="0" w:line="216"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254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Reportable Segment</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1180" w:type="dxa"/>
            <w:vAlign w:val="bottom"/>
            <w:vMerge w:val="restart"/>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VB Direct</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VB Indirect</w:t>
            </w:r>
          </w:p>
        </w:tc>
        <w:tc>
          <w:tcPr>
            <w:tcW w:w="320" w:type="dxa"/>
            <w:vAlign w:val="bottom"/>
          </w:tcPr>
          <w:p>
            <w:pPr>
              <w:spacing w:after="0"/>
              <w:rPr>
                <w:sz w:val="8"/>
                <w:szCs w:val="8"/>
                <w:color w:val="auto"/>
              </w:rPr>
            </w:pPr>
          </w:p>
        </w:tc>
        <w:tc>
          <w:tcPr>
            <w:tcW w:w="1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Pura Vida</w:t>
            </w:r>
          </w:p>
        </w:tc>
        <w:tc>
          <w:tcPr>
            <w:tcW w:w="160" w:type="dxa"/>
            <w:vAlign w:val="bottom"/>
          </w:tcPr>
          <w:p>
            <w:pPr>
              <w:spacing w:after="0"/>
              <w:rPr>
                <w:sz w:val="8"/>
                <w:szCs w:val="8"/>
                <w:color w:val="auto"/>
              </w:rPr>
            </w:pPr>
          </w:p>
        </w:tc>
        <w:tc>
          <w:tcPr>
            <w:tcW w:w="150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1"/>
                <w:szCs w:val="11"/>
                <w:b w:val="1"/>
                <w:bCs w:val="1"/>
                <w:color w:val="auto"/>
              </w:rPr>
              <w:t>Unallocated Corporate</w:t>
            </w:r>
          </w:p>
        </w:tc>
        <w:tc>
          <w:tcPr>
            <w:tcW w:w="280" w:type="dxa"/>
            <w:vAlign w:val="bottom"/>
          </w:tcPr>
          <w:p>
            <w:pPr>
              <w:spacing w:after="0"/>
              <w:rPr>
                <w:sz w:val="8"/>
                <w:szCs w:val="8"/>
                <w:color w:val="auto"/>
              </w:rPr>
            </w:pPr>
          </w:p>
        </w:tc>
        <w:tc>
          <w:tcPr>
            <w:tcW w:w="1320" w:type="dxa"/>
            <w:vAlign w:val="bottom"/>
            <w:vMerge w:val="restart"/>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Total Expense</w:t>
            </w:r>
          </w:p>
        </w:tc>
        <w:tc>
          <w:tcPr>
            <w:tcW w:w="0" w:type="dxa"/>
            <w:vAlign w:val="bottom"/>
          </w:tcPr>
          <w:p>
            <w:pPr>
              <w:spacing w:after="0"/>
              <w:rPr>
                <w:sz w:val="1"/>
                <w:szCs w:val="1"/>
                <w:color w:val="auto"/>
              </w:rPr>
            </w:pPr>
          </w:p>
        </w:tc>
      </w:tr>
      <w:tr>
        <w:trPr>
          <w:trHeight w:val="154"/>
        </w:trPr>
        <w:tc>
          <w:tcPr>
            <w:tcW w:w="25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2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40" w:type="dxa"/>
            <w:vAlign w:val="bottom"/>
            <w:tcBorders>
              <w:top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Severance charges</w:t>
            </w:r>
            <w:r>
              <w:rPr>
                <w:rFonts w:ascii="Times New Roman" w:cs="Times New Roman" w:eastAsia="Times New Roman" w:hAnsi="Times New Roman"/>
                <w:sz w:val="18"/>
                <w:szCs w:val="18"/>
                <w:color w:val="auto"/>
                <w:vertAlign w:val="superscript"/>
              </w:rPr>
              <w:t>(1)</w:t>
            </w:r>
          </w:p>
        </w:tc>
        <w:tc>
          <w:tcPr>
            <w:tcW w:w="1180" w:type="dxa"/>
            <w:vAlign w:val="bottom"/>
            <w:tcBorders>
              <w:top w:val="single" w:sz="8" w:color="auto"/>
            </w:tcBorders>
            <w:shd w:val="clear" w:color="auto" w:fill="CCEEFF"/>
          </w:tcPr>
          <w:p>
            <w:pPr>
              <w:jc w:val="right"/>
              <w:ind w:right="103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180"/>
        </w:trPr>
        <w:tc>
          <w:tcPr>
            <w:tcW w:w="25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Consulting fees and other costs</w:t>
            </w:r>
            <w:r>
              <w:rPr>
                <w:rFonts w:ascii="Times New Roman" w:cs="Times New Roman" w:eastAsia="Times New Roman" w:hAnsi="Times New Roman"/>
                <w:sz w:val="18"/>
                <w:szCs w:val="18"/>
                <w:color w:val="auto"/>
                <w:vertAlign w:val="superscript"/>
              </w:rPr>
              <w:t>(2)</w:t>
            </w:r>
          </w:p>
        </w:tc>
        <w:tc>
          <w:tcPr>
            <w:tcW w:w="11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6"/>
        </w:trPr>
        <w:tc>
          <w:tcPr>
            <w:tcW w:w="2540" w:type="dxa"/>
            <w:vAlign w:val="bottom"/>
            <w:tcBorders>
              <w:top w:val="single" w:sz="8" w:color="CCEEFF"/>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8"/>
                <w:szCs w:val="18"/>
                <w:color w:val="auto"/>
                <w:vertAlign w:val="superscript"/>
              </w:rPr>
              <w:t>(3)</w:t>
            </w:r>
          </w:p>
        </w:tc>
        <w:tc>
          <w:tcPr>
            <w:tcW w:w="1180" w:type="dxa"/>
            <w:vAlign w:val="bottom"/>
            <w:tcBorders>
              <w:top w:val="single" w:sz="8" w:color="auto"/>
              <w:bottom w:val="single" w:sz="8" w:color="auto"/>
            </w:tcBorders>
            <w:shd w:val="clear" w:color="auto" w:fill="CCEEFF"/>
          </w:tcPr>
          <w:p>
            <w:pPr>
              <w:jc w:val="right"/>
              <w:ind w:right="103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420" w:hanging="210"/>
        <w:spacing w:after="0"/>
        <w:tabs>
          <w:tab w:leader="none" w:pos="4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former CFO severance</w:t>
      </w:r>
    </w:p>
    <w:p>
      <w:pPr>
        <w:spacing w:after="0" w:line="23" w:lineRule="exact"/>
        <w:rPr>
          <w:rFonts w:ascii="Times New Roman" w:cs="Times New Roman" w:eastAsia="Times New Roman" w:hAnsi="Times New Roman"/>
          <w:sz w:val="14"/>
          <w:szCs w:val="14"/>
          <w:color w:val="auto"/>
        </w:rPr>
      </w:pPr>
    </w:p>
    <w:p>
      <w:pPr>
        <w:ind w:left="420" w:hanging="210"/>
        <w:spacing w:after="0"/>
        <w:tabs>
          <w:tab w:leader="none" w:pos="4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professional fees</w:t>
      </w:r>
    </w:p>
    <w:p>
      <w:pPr>
        <w:spacing w:after="0" w:line="19" w:lineRule="exact"/>
        <w:rPr>
          <w:rFonts w:ascii="Times New Roman" w:cs="Times New Roman" w:eastAsia="Times New Roman" w:hAnsi="Times New Roman"/>
          <w:sz w:val="14"/>
          <w:szCs w:val="14"/>
          <w:color w:val="auto"/>
        </w:rPr>
      </w:pPr>
    </w:p>
    <w:p>
      <w:pPr>
        <w:ind w:left="420" w:hanging="210"/>
        <w:spacing w:after="0"/>
        <w:tabs>
          <w:tab w:leader="none" w:pos="4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Charges are recorded within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314"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Severance Charges </w:t>
            </w:r>
            <w:r>
              <w:rPr>
                <w:rFonts w:ascii="Times New Roman" w:cs="Times New Roman" w:eastAsia="Times New Roman" w:hAnsi="Times New Roman"/>
                <w:sz w:val="14"/>
                <w:szCs w:val="14"/>
                <w:b w:val="1"/>
                <w:bCs w:val="1"/>
                <w:color w:val="auto"/>
                <w:vertAlign w:val="superscript"/>
              </w:rPr>
              <w:t>(1)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Consulting Fees and Other Costs</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as of January 28, 2023</w:t>
            </w:r>
          </w:p>
        </w:tc>
        <w:tc>
          <w:tcPr>
            <w:tcW w:w="3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2024 charges</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953"/>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Pr>
          <w:p>
            <w:pPr>
              <w:spacing w:after="0"/>
              <w:rPr>
                <w:sz w:val="15"/>
                <w:szCs w:val="15"/>
                <w:color w:val="auto"/>
              </w:rPr>
            </w:pPr>
          </w:p>
        </w:tc>
        <w:tc>
          <w:tcPr>
            <w:tcW w:w="70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(5,455)</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 as of February 3, 2024</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(1) Remaining liability is recorded within accrued employment costs</w:t>
            </w: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 w:type="dxa"/>
            <w:vAlign w:val="bottom"/>
          </w:tcPr>
          <w:p>
            <w:pPr>
              <w:spacing w:after="0"/>
              <w:rPr>
                <w:sz w:val="15"/>
                <w:szCs w:val="15"/>
                <w:color w:val="auto"/>
              </w:rPr>
            </w:pPr>
          </w:p>
        </w:tc>
        <w:tc>
          <w:tcPr>
            <w:tcW w:w="416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60" w:type="dxa"/>
            <w:vAlign w:val="bottom"/>
          </w:tcPr>
          <w:p>
            <w:pPr>
              <w:spacing w:after="0"/>
              <w:rPr>
                <w:sz w:val="24"/>
                <w:szCs w:val="24"/>
                <w:color w:val="auto"/>
              </w:rPr>
            </w:pPr>
          </w:p>
        </w:tc>
        <w:tc>
          <w:tcPr>
            <w:tcW w:w="5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Company incurred the following charges during the fifty-two weeks ended January 28, 2023:</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Reportable Segment</w:t>
            </w: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VB Direct</w:t>
            </w:r>
          </w:p>
        </w:tc>
        <w:tc>
          <w:tcPr>
            <w:tcW w:w="200" w:type="dxa"/>
            <w:vAlign w:val="bottom"/>
          </w:tcPr>
          <w:p>
            <w:pPr>
              <w:spacing w:after="0"/>
              <w:rPr>
                <w:sz w:val="8"/>
                <w:szCs w:val="8"/>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VB Indirect</w:t>
            </w:r>
          </w:p>
        </w:tc>
        <w:tc>
          <w:tcPr>
            <w:tcW w:w="4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Pura Vida</w:t>
            </w:r>
          </w:p>
        </w:tc>
        <w:tc>
          <w:tcPr>
            <w:tcW w:w="1660" w:type="dxa"/>
            <w:vAlign w:val="bottom"/>
            <w:gridSpan w:val="5"/>
          </w:tcPr>
          <w:p>
            <w:pPr>
              <w:jc w:val="center"/>
              <w:ind w:right="80"/>
              <w:spacing w:after="0" w:line="97" w:lineRule="exact"/>
              <w:rPr>
                <w:sz w:val="20"/>
                <w:szCs w:val="20"/>
                <w:color w:val="auto"/>
              </w:rPr>
            </w:pPr>
            <w:r>
              <w:rPr>
                <w:rFonts w:ascii="Times New Roman" w:cs="Times New Roman" w:eastAsia="Times New Roman" w:hAnsi="Times New Roman"/>
                <w:sz w:val="11"/>
                <w:szCs w:val="11"/>
                <w:b w:val="1"/>
                <w:bCs w:val="1"/>
                <w:color w:val="auto"/>
              </w:rPr>
              <w:t>Unallocated Corporate</w:t>
            </w:r>
          </w:p>
        </w:tc>
        <w:tc>
          <w:tcPr>
            <w:tcW w:w="280" w:type="dxa"/>
            <w:vAlign w:val="bottom"/>
          </w:tcPr>
          <w:p>
            <w:pPr>
              <w:spacing w:after="0"/>
              <w:rPr>
                <w:sz w:val="8"/>
                <w:szCs w:val="8"/>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Total Expense</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4"/>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2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40" w:type="dxa"/>
            <w:vAlign w:val="bottom"/>
            <w:tcBorders>
              <w:top w:val="single" w:sz="8" w:color="CCEEFF"/>
            </w:tcBorders>
            <w:gridSpan w:val="2"/>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Severance charges and cash retention</w:t>
            </w:r>
          </w:p>
        </w:tc>
        <w:tc>
          <w:tcPr>
            <w:tcW w:w="32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54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4"/>
                <w:szCs w:val="14"/>
                <w:color w:val="auto"/>
              </w:rPr>
              <w:t xml:space="preserve">payment acceleration charges </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9,182</w:t>
            </w:r>
          </w:p>
        </w:tc>
        <w:tc>
          <w:tcPr>
            <w:tcW w:w="0" w:type="dxa"/>
            <w:vAlign w:val="bottom"/>
          </w:tcPr>
          <w:p>
            <w:pPr>
              <w:spacing w:after="0"/>
              <w:rPr>
                <w:sz w:val="1"/>
                <w:szCs w:val="1"/>
                <w:color w:val="auto"/>
              </w:rPr>
            </w:pPr>
          </w:p>
        </w:tc>
      </w:tr>
      <w:tr>
        <w:trPr>
          <w:trHeight w:val="180"/>
        </w:trPr>
        <w:tc>
          <w:tcPr>
            <w:tcW w:w="25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Consulting fees and other costs </w:t>
            </w:r>
            <w:r>
              <w:rPr>
                <w:rFonts w:ascii="Times New Roman" w:cs="Times New Roman" w:eastAsia="Times New Roman" w:hAnsi="Times New Roman"/>
                <w:sz w:val="18"/>
                <w:szCs w:val="18"/>
                <w:color w:val="auto"/>
                <w:vertAlign w:val="superscript"/>
              </w:rPr>
              <w:t>(2)</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4,457</w:t>
            </w:r>
          </w:p>
        </w:tc>
        <w:tc>
          <w:tcPr>
            <w:tcW w:w="0" w:type="dxa"/>
            <w:vAlign w:val="bottom"/>
          </w:tcPr>
          <w:p>
            <w:pPr>
              <w:spacing w:after="0"/>
              <w:rPr>
                <w:sz w:val="1"/>
                <w:szCs w:val="1"/>
                <w:color w:val="auto"/>
              </w:rPr>
            </w:pPr>
          </w:p>
        </w:tc>
      </w:tr>
      <w:tr>
        <w:trPr>
          <w:trHeight w:val="196"/>
        </w:trPr>
        <w:tc>
          <w:tcPr>
            <w:tcW w:w="2540" w:type="dxa"/>
            <w:vAlign w:val="bottom"/>
            <w:tcBorders>
              <w:top w:val="single" w:sz="8" w:color="CCEEFF"/>
              <w:bottom w:val="single" w:sz="8" w:color="CCEE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8"/>
                <w:szCs w:val="18"/>
                <w:color w:val="auto"/>
                <w:vertAlign w:val="superscript"/>
              </w:rPr>
              <w:t>(3)</w:t>
            </w: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13,639</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420" w:hanging="210"/>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CEO retirement severance and Vera Bradley brand executive officer severance</w:t>
      </w:r>
    </w:p>
    <w:p>
      <w:pPr>
        <w:spacing w:after="0" w:line="23" w:lineRule="exact"/>
        <w:rPr>
          <w:rFonts w:ascii="Times New Roman" w:cs="Times New Roman" w:eastAsia="Times New Roman" w:hAnsi="Times New Roman"/>
          <w:sz w:val="14"/>
          <w:szCs w:val="14"/>
          <w:color w:val="auto"/>
        </w:rPr>
      </w:pPr>
    </w:p>
    <w:p>
      <w:pPr>
        <w:ind w:left="420" w:hanging="210"/>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$3.9 million for fees related to cost savings initiatives and CEO search; $0.3 million for concept brand exit costs; and $0.3 million for certain professional fees</w:t>
      </w:r>
    </w:p>
    <w:p>
      <w:pPr>
        <w:spacing w:after="0" w:line="19" w:lineRule="exact"/>
        <w:rPr>
          <w:rFonts w:ascii="Times New Roman" w:cs="Times New Roman" w:eastAsia="Times New Roman" w:hAnsi="Times New Roman"/>
          <w:sz w:val="14"/>
          <w:szCs w:val="14"/>
          <w:color w:val="auto"/>
        </w:rPr>
      </w:pPr>
    </w:p>
    <w:p>
      <w:pPr>
        <w:ind w:left="420" w:hanging="210"/>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$13.4 million of the charges are recorded within selling, general, and administrative expenses and $0.2 million are recorded within cost of sales</w:t>
      </w:r>
    </w:p>
    <w:p>
      <w:pPr>
        <w:spacing w:after="0" w:line="200" w:lineRule="exact"/>
        <w:rPr>
          <w:sz w:val="20"/>
          <w:szCs w:val="20"/>
          <w:color w:val="auto"/>
        </w:rPr>
      </w:pPr>
    </w:p>
    <w:p>
      <w:pPr>
        <w:spacing w:after="0" w:line="277"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6320" w:type="dxa"/>
            <w:vAlign w:val="bottom"/>
          </w:tcPr>
          <w:p>
            <w:pPr>
              <w:spacing w:after="0"/>
              <w:rPr>
                <w:sz w:val="11"/>
                <w:szCs w:val="11"/>
                <w:color w:val="auto"/>
              </w:rPr>
            </w:pPr>
          </w:p>
        </w:tc>
        <w:tc>
          <w:tcPr>
            <w:tcW w:w="20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Severance Charges and Cash Retention</w:t>
            </w:r>
          </w:p>
        </w:tc>
        <w:tc>
          <w:tcPr>
            <w:tcW w:w="100" w:type="dxa"/>
            <w:vAlign w:val="bottom"/>
          </w:tcPr>
          <w:p>
            <w:pPr>
              <w:spacing w:after="0"/>
              <w:rPr>
                <w:sz w:val="11"/>
                <w:szCs w:val="11"/>
                <w:color w:val="auto"/>
              </w:rPr>
            </w:pPr>
          </w:p>
        </w:tc>
        <w:tc>
          <w:tcPr>
            <w:tcW w:w="1880" w:type="dxa"/>
            <w:vAlign w:val="bottom"/>
            <w:vMerge w:val="restart"/>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 xml:space="preserve">Consulting Fees and Other Costs </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159"/>
        </w:trPr>
        <w:tc>
          <w:tcPr>
            <w:tcW w:w="6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 xml:space="preserve">Payment Acceleration Charges </w:t>
            </w:r>
            <w:r>
              <w:rPr>
                <w:rFonts w:ascii="Times New Roman" w:cs="Times New Roman" w:eastAsia="Times New Roman" w:hAnsi="Times New Roman"/>
                <w:sz w:val="7"/>
                <w:szCs w:val="7"/>
                <w:b w:val="1"/>
                <w:bCs w:val="1"/>
                <w:color w:val="auto"/>
              </w:rPr>
              <w:t>(1)</w:t>
            </w:r>
          </w:p>
        </w:tc>
        <w:tc>
          <w:tcPr>
            <w:tcW w:w="10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2023 charges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0" w:type="dxa"/>
            <w:vAlign w:val="bottom"/>
          </w:tcPr>
          <w:p>
            <w:pPr>
              <w:spacing w:after="0"/>
              <w:rPr>
                <w:sz w:val="1"/>
                <w:szCs w:val="1"/>
                <w:color w:val="auto"/>
              </w:rPr>
            </w:pP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1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w:t>
            </w:r>
          </w:p>
        </w:tc>
        <w:tc>
          <w:tcPr>
            <w:tcW w:w="0" w:type="dxa"/>
            <w:vAlign w:val="bottom"/>
          </w:tcPr>
          <w:p>
            <w:pPr>
              <w:spacing w:after="0"/>
              <w:rPr>
                <w:sz w:val="1"/>
                <w:szCs w:val="1"/>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charges and adjustments</w:t>
            </w:r>
          </w:p>
        </w:tc>
        <w:tc>
          <w:tcPr>
            <w:tcW w:w="14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7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 as of January 28,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480" w:hanging="206"/>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Remaining liability is recorded within accrued employment costs</w:t>
      </w:r>
    </w:p>
    <w:p>
      <w:pPr>
        <w:spacing w:after="0" w:line="23" w:lineRule="exact"/>
        <w:rPr>
          <w:rFonts w:ascii="Times New Roman" w:cs="Times New Roman" w:eastAsia="Times New Roman" w:hAnsi="Times New Roman"/>
          <w:sz w:val="14"/>
          <w:szCs w:val="14"/>
          <w:color w:val="auto"/>
        </w:rPr>
      </w:pPr>
    </w:p>
    <w:p>
      <w:pPr>
        <w:ind w:left="480" w:hanging="206"/>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Remaining liability is recorded within accounts payable</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Other Charges</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Fiscal 2025. </w:t>
      </w:r>
      <w:r>
        <w:rPr>
          <w:rFonts w:ascii="Times New Roman" w:cs="Times New Roman" w:eastAsia="Times New Roman" w:hAnsi="Times New Roman"/>
          <w:sz w:val="14"/>
          <w:szCs w:val="14"/>
          <w:color w:val="auto"/>
        </w:rPr>
        <w:t>There were no additional charges recorded during the fifty-two weeks ended February 1, 2025 associated with strategic initiatives and other costs.</w:t>
      </w:r>
    </w:p>
    <w:p>
      <w:pPr>
        <w:spacing w:after="0" w:line="62" w:lineRule="exact"/>
        <w:rPr>
          <w:sz w:val="20"/>
          <w:szCs w:val="20"/>
          <w:color w:val="auto"/>
        </w:rPr>
      </w:pPr>
    </w:p>
    <w:p>
      <w:pPr>
        <w:ind w:left="260" w:right="18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Fiscal 2024. </w:t>
      </w:r>
      <w:r>
        <w:rPr>
          <w:rFonts w:ascii="Times New Roman" w:cs="Times New Roman" w:eastAsia="Times New Roman" w:hAnsi="Times New Roman"/>
          <w:sz w:val="14"/>
          <w:szCs w:val="14"/>
          <w:color w:val="auto"/>
        </w:rPr>
        <w:t>During the fifty-three weeks ended February 3, 2024, the Company recorded within selling, general, and administrative expenses $0.8 million of professional fees associated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strategic initiatives and other costs.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Collectively, $0.2 million was recorded within the Pura Vida segment and $0.6 million was recorded within corporate unallocated expenses.</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Fiscal 2023</w:t>
      </w:r>
      <w:r>
        <w:rPr>
          <w:rFonts w:ascii="Times New Roman" w:cs="Times New Roman" w:eastAsia="Times New Roman" w:hAnsi="Times New Roman"/>
          <w:sz w:val="14"/>
          <w:szCs w:val="14"/>
          <w:color w:val="auto"/>
        </w:rPr>
        <w:t>. During the fifty-two weeks ended January 28, 2023, the Company recorded within cost of sales $18.1 million of inventory adjustments which consisted of: $8.9 million of excess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Pura Vida inventory recognized in the fourth quarter as a result of a change in the Company’s liquidation strategy during the quarter; $6.4 million related to the exit of certain technology products and excess mask products recognized in the second and fourth quarters; $1.2 million of valuation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13" w:lineRule="exact"/>
        <w:rPr>
          <w:sz w:val="20"/>
          <w:szCs w:val="20"/>
          <w:color w:val="auto"/>
        </w:rPr>
      </w:pPr>
    </w:p>
    <w:p>
      <w:pPr>
        <w:jc w:val="both"/>
        <w:ind w:left="260" w:right="220"/>
        <w:spacing w:after="0" w:line="233" w:lineRule="auto"/>
        <w:rPr>
          <w:sz w:val="20"/>
          <w:szCs w:val="20"/>
          <w:color w:val="auto"/>
        </w:rPr>
      </w:pPr>
      <w:r>
        <w:rPr>
          <w:rFonts w:ascii="Times New Roman" w:cs="Times New Roman" w:eastAsia="Times New Roman" w:hAnsi="Times New Roman"/>
          <w:sz w:val="14"/>
          <w:szCs w:val="14"/>
          <w:color w:val="auto"/>
        </w:rPr>
        <w:t>adjustments to write discounted inventory down to its net realizable value recognized in the fourth quarter; and $1.6 million for purchase order cancellation fees related to spring 2023 product and certain raw materials.</w:t>
      </w:r>
    </w:p>
    <w:p>
      <w:pPr>
        <w:jc w:val="both"/>
        <w:ind w:left="260" w:right="220"/>
        <w:spacing w:after="0" w:line="236" w:lineRule="auto"/>
        <w:rPr>
          <w:sz w:val="20"/>
          <w:szCs w:val="20"/>
          <w:color w:val="auto"/>
        </w:rPr>
      </w:pPr>
      <w:r>
        <w:rPr>
          <w:rFonts w:ascii="Times New Roman" w:cs="Times New Roman" w:eastAsia="Times New Roman" w:hAnsi="Times New Roman"/>
          <w:sz w:val="14"/>
          <w:szCs w:val="14"/>
          <w:color w:val="auto"/>
        </w:rPr>
        <w:t>During the fifty-two weeks ended January 28, 2023, the Company recorded within selling, general, and administrative expenses: $1.0 million for CEO sign-on bonus and relocation expenses; $0.4 million for former CEO salary retention payments and stock-based compensation associated with retirement; and $0.2 million of professional fees associated with strategic initiatives and other costs.</w:t>
      </w:r>
    </w:p>
    <w:p>
      <w:pPr>
        <w:spacing w:after="0" w:line="50" w:lineRule="exact"/>
        <w:rPr>
          <w:sz w:val="20"/>
          <w:szCs w:val="20"/>
          <w:color w:val="auto"/>
        </w:rPr>
      </w:pPr>
    </w:p>
    <w:p>
      <w:pPr>
        <w:ind w:left="260" w:right="600"/>
        <w:spacing w:after="0" w:line="287" w:lineRule="auto"/>
        <w:rPr>
          <w:sz w:val="20"/>
          <w:szCs w:val="20"/>
          <w:color w:val="auto"/>
        </w:rPr>
      </w:pPr>
      <w:r>
        <w:rPr>
          <w:rFonts w:ascii="Times New Roman" w:cs="Times New Roman" w:eastAsia="Times New Roman" w:hAnsi="Times New Roman"/>
          <w:sz w:val="14"/>
          <w:szCs w:val="14"/>
          <w:color w:val="auto"/>
        </w:rPr>
        <w:t>Collectively, $6.2 million was recorded within the Direct segment, $1.7 million was recorded within the Indirect segment,$10.2 million was recorded within the Pura Vida segment, and $1.6 million was recorded within corporate unallocated expenses.</w:t>
      </w:r>
    </w:p>
    <w:p>
      <w:pPr>
        <w:spacing w:after="0" w:line="2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17.</w:t>
        <w:tab/>
        <w:t>Segment Reporting</w:t>
      </w:r>
    </w:p>
    <w:p>
      <w:pPr>
        <w:spacing w:after="0" w:line="85" w:lineRule="exact"/>
        <w:rPr>
          <w:sz w:val="20"/>
          <w:szCs w:val="20"/>
          <w:color w:val="auto"/>
        </w:rPr>
      </w:pPr>
    </w:p>
    <w:p>
      <w:pPr>
        <w:jc w:val="both"/>
        <w:ind w:left="260" w:right="40"/>
        <w:spacing w:after="0" w:line="270" w:lineRule="auto"/>
        <w:rPr>
          <w:sz w:val="20"/>
          <w:szCs w:val="20"/>
          <w:color w:val="auto"/>
        </w:rPr>
      </w:pPr>
      <w:r>
        <w:rPr>
          <w:rFonts w:ascii="Times New Roman" w:cs="Times New Roman" w:eastAsia="Times New Roman" w:hAnsi="Times New Roman"/>
          <w:sz w:val="14"/>
          <w:szCs w:val="14"/>
          <w:color w:val="auto"/>
        </w:rPr>
        <w:t>The Company has three operating segments, which are also its reportable segments: VB Direct, VB Indirect, and Pura Vida. These operating segments are components of the Company for which separate financial information is available and for which operating results are evaluated on a regular basis by the chief operating decision maker ("CODM") in deciding how to allocate resources and in assessing the performance of the segments. The Company's CODM is our Chief Executive Officer.</w:t>
      </w:r>
    </w:p>
    <w:p>
      <w:pPr>
        <w:spacing w:after="0" w:line="30" w:lineRule="exact"/>
        <w:rPr>
          <w:sz w:val="20"/>
          <w:szCs w:val="20"/>
          <w:color w:val="auto"/>
        </w:rPr>
      </w:pPr>
    </w:p>
    <w:p>
      <w:pPr>
        <w:ind w:left="260" w:right="180"/>
        <w:spacing w:after="0" w:line="287" w:lineRule="auto"/>
        <w:rPr>
          <w:sz w:val="20"/>
          <w:szCs w:val="20"/>
          <w:color w:val="auto"/>
        </w:rPr>
      </w:pPr>
      <w:r>
        <w:rPr>
          <w:rFonts w:ascii="Times New Roman" w:cs="Times New Roman" w:eastAsia="Times New Roman" w:hAnsi="Times New Roman"/>
          <w:sz w:val="14"/>
          <w:szCs w:val="14"/>
          <w:color w:val="auto"/>
        </w:rPr>
        <w:t>The VB Direct segment includes Vera Bradley full-line and outlet stores, the Vera Bradley websites (verabradley.com, outlet.verabradley.com, and international.verabradley.com), and the Vera Bradley annual outlet sale. Revenues generated through this segment are driven through the sale of Vera Bradley-branded products from Vera Bradley to end consumers.</w:t>
      </w:r>
    </w:p>
    <w:p>
      <w:pPr>
        <w:spacing w:after="0" w:line="29" w:lineRule="exact"/>
        <w:rPr>
          <w:sz w:val="20"/>
          <w:szCs w:val="20"/>
          <w:color w:val="auto"/>
        </w:rPr>
      </w:pPr>
    </w:p>
    <w:p>
      <w:pPr>
        <w:ind w:left="260"/>
        <w:spacing w:after="0" w:line="270" w:lineRule="auto"/>
        <w:rPr>
          <w:sz w:val="20"/>
          <w:szCs w:val="20"/>
          <w:color w:val="auto"/>
        </w:rPr>
      </w:pPr>
      <w:r>
        <w:rPr>
          <w:rFonts w:ascii="Times New Roman" w:cs="Times New Roman" w:eastAsia="Times New Roman" w:hAnsi="Times New Roman"/>
          <w:sz w:val="14"/>
          <w:szCs w:val="14"/>
          <w:color w:val="auto"/>
        </w:rPr>
        <w:t>The VB Indirect segment represents revenues generated through the distribution of Company-branded products to specialty retailers representing approximately 1,200 locations, substantially all of which are located in the United States, as well as select department stores, national accounts, third-party e-commerce sites, third-party inventory liquidators, and licensing agreements related to the Vera Bradley brand.</w:t>
      </w:r>
    </w:p>
    <w:p>
      <w:pPr>
        <w:spacing w:after="0" w:line="40" w:lineRule="exact"/>
        <w:rPr>
          <w:sz w:val="20"/>
          <w:szCs w:val="20"/>
          <w:color w:val="auto"/>
        </w:rPr>
      </w:pPr>
    </w:p>
    <w:p>
      <w:pPr>
        <w:ind w:left="260" w:right="260"/>
        <w:spacing w:after="0" w:line="287" w:lineRule="auto"/>
        <w:rPr>
          <w:sz w:val="20"/>
          <w:szCs w:val="20"/>
          <w:color w:val="auto"/>
        </w:rPr>
      </w:pPr>
      <w:r>
        <w:rPr>
          <w:rFonts w:ascii="Times New Roman" w:cs="Times New Roman" w:eastAsia="Times New Roman" w:hAnsi="Times New Roman"/>
          <w:sz w:val="14"/>
          <w:szCs w:val="14"/>
          <w:color w:val="auto"/>
        </w:rPr>
        <w:t>The Pura Vida segment represents revenues generated through the Pura Vida website (www.puravidabracelets.com), Pura Vida retail stores, and through the distribution of Pura Vida-branded products to wholesale retailers, substantially all of which are located in the United States.</w:t>
      </w:r>
    </w:p>
    <w:p>
      <w:pPr>
        <w:spacing w:after="0" w:line="18" w:lineRule="exact"/>
        <w:rPr>
          <w:sz w:val="20"/>
          <w:szCs w:val="20"/>
          <w:color w:val="auto"/>
        </w:rPr>
      </w:pPr>
    </w:p>
    <w:p>
      <w:pPr>
        <w:jc w:val="both"/>
        <w:ind w:left="260" w:right="140"/>
        <w:spacing w:after="0" w:line="270" w:lineRule="auto"/>
        <w:rPr>
          <w:sz w:val="20"/>
          <w:szCs w:val="20"/>
          <w:color w:val="auto"/>
        </w:rPr>
      </w:pPr>
      <w:r>
        <w:rPr>
          <w:rFonts w:ascii="Times New Roman" w:cs="Times New Roman" w:eastAsia="Times New Roman" w:hAnsi="Times New Roman"/>
          <w:sz w:val="14"/>
          <w:szCs w:val="14"/>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40" w:lineRule="exact"/>
        <w:rPr>
          <w:sz w:val="20"/>
          <w:szCs w:val="20"/>
          <w:color w:val="auto"/>
        </w:rPr>
      </w:pPr>
    </w:p>
    <w:p>
      <w:pPr>
        <w:ind w:left="260" w:right="360"/>
        <w:spacing w:after="0" w:line="264" w:lineRule="auto"/>
        <w:rPr>
          <w:sz w:val="20"/>
          <w:szCs w:val="20"/>
          <w:color w:val="auto"/>
        </w:rPr>
      </w:pPr>
      <w:r>
        <w:rPr>
          <w:rFonts w:ascii="Times New Roman" w:cs="Times New Roman" w:eastAsia="Times New Roman" w:hAnsi="Times New Roman"/>
          <w:sz w:val="14"/>
          <w:szCs w:val="14"/>
          <w:color w:val="auto"/>
        </w:rPr>
        <w:t>The CODM’s primary or key performance indicator for evaluating segment operating results is operating income. The CODM uses operating income for each segment predominantly in the annual budget and forecasting process. The CODM considers budget-to-actual variances on a quarterly basis for this key performance operating measure when making decisions about the allocation of operating and capital resources to each segment. The CODM also uses segment operating income to assess the performance of each segment by comparing the results of each segment with one another and in determining the compensation of certain employees. The CODM reviews cost of sales and SG&amp;A expense on a consolidated basis.</w:t>
      </w:r>
    </w:p>
    <w:p>
      <w:pPr>
        <w:spacing w:after="0" w:line="45" w:lineRule="exact"/>
        <w:rPr>
          <w:sz w:val="20"/>
          <w:szCs w:val="20"/>
          <w:color w:val="auto"/>
        </w:rPr>
      </w:pPr>
    </w:p>
    <w:p>
      <w:pPr>
        <w:ind w:left="260" w:right="260"/>
        <w:spacing w:after="0" w:line="287" w:lineRule="auto"/>
        <w:rPr>
          <w:sz w:val="20"/>
          <w:szCs w:val="20"/>
          <w:color w:val="auto"/>
        </w:rPr>
      </w:pPr>
      <w:r>
        <w:rPr>
          <w:rFonts w:ascii="Times New Roman" w:cs="Times New Roman" w:eastAsia="Times New Roman" w:hAnsi="Times New Roman"/>
          <w:sz w:val="14"/>
          <w:szCs w:val="14"/>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23" w:lineRule="exact"/>
        <w:rPr>
          <w:sz w:val="20"/>
          <w:szCs w:val="20"/>
          <w:color w:val="auto"/>
        </w:rPr>
      </w:pPr>
    </w:p>
    <w:p>
      <w:pPr>
        <w:ind w:left="260" w:right="140"/>
        <w:spacing w:after="0" w:line="287" w:lineRule="auto"/>
        <w:rPr>
          <w:sz w:val="20"/>
          <w:szCs w:val="20"/>
          <w:color w:val="auto"/>
        </w:rPr>
      </w:pPr>
      <w:r>
        <w:rPr>
          <w:rFonts w:ascii="Times New Roman" w:cs="Times New Roman" w:eastAsia="Times New Roman" w:hAnsi="Times New Roman"/>
          <w:sz w:val="14"/>
          <w:szCs w:val="14"/>
          <w:color w:val="auto"/>
        </w:rPr>
        <w:t>Net revenues, cost of sales, other segment expenses, and operating income (loss) information for the Company’s reportable segments, as well as a reconciliation to (loss) income before income taxes, consisted of the following (in thousands):</w:t>
      </w:r>
    </w:p>
    <w:p>
      <w:pPr>
        <w:spacing w:after="0" w:line="45"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08"/>
        </w:trPr>
        <w:tc>
          <w:tcPr>
            <w:tcW w:w="5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b w:val="1"/>
                <w:bCs w:val="1"/>
                <w:color w:val="auto"/>
              </w:rPr>
              <w:t>February 1,</w:t>
            </w:r>
          </w:p>
        </w:tc>
        <w:tc>
          <w:tcPr>
            <w:tcW w:w="100" w:type="dxa"/>
            <w:vAlign w:val="bottom"/>
          </w:tcPr>
          <w:p>
            <w:pPr>
              <w:spacing w:after="0"/>
              <w:rPr>
                <w:sz w:val="9"/>
                <w:szCs w:val="9"/>
                <w:color w:val="auto"/>
              </w:rPr>
            </w:pPr>
          </w:p>
        </w:tc>
        <w:tc>
          <w:tcPr>
            <w:tcW w:w="10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February 3,</w:t>
            </w:r>
          </w:p>
        </w:tc>
        <w:tc>
          <w:tcPr>
            <w:tcW w:w="160" w:type="dxa"/>
            <w:vAlign w:val="bottom"/>
          </w:tcPr>
          <w:p>
            <w:pPr>
              <w:spacing w:after="0"/>
              <w:rPr>
                <w:sz w:val="9"/>
                <w:szCs w:val="9"/>
                <w:color w:val="auto"/>
              </w:rPr>
            </w:pPr>
          </w:p>
        </w:tc>
        <w:tc>
          <w:tcPr>
            <w:tcW w:w="920" w:type="dxa"/>
            <w:vAlign w:val="bottom"/>
          </w:tcPr>
          <w:p>
            <w:pPr>
              <w:jc w:val="right"/>
              <w:ind w:right="191"/>
              <w:spacing w:after="0" w:line="108" w:lineRule="exact"/>
              <w:rPr>
                <w:sz w:val="20"/>
                <w:szCs w:val="20"/>
                <w:color w:val="auto"/>
              </w:rPr>
            </w:pPr>
            <w:r>
              <w:rPr>
                <w:rFonts w:ascii="Times New Roman" w:cs="Times New Roman" w:eastAsia="Times New Roman" w:hAnsi="Times New Roman"/>
                <w:sz w:val="11"/>
                <w:szCs w:val="11"/>
                <w:b w:val="1"/>
                <w:bCs w:val="1"/>
                <w:color w:val="auto"/>
              </w:rPr>
              <w:t>January 28,</w:t>
            </w:r>
          </w:p>
        </w:tc>
      </w:tr>
      <w:tr>
        <w:trPr>
          <w:trHeight w:val="153"/>
        </w:trPr>
        <w:tc>
          <w:tcPr>
            <w:tcW w:w="5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net revenues: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5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VB Direct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257,609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309,910</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328,231</w:t>
            </w:r>
          </w:p>
        </w:tc>
      </w:tr>
      <w:tr>
        <w:trPr>
          <w:trHeight w:val="18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VB Indirect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73,803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73,316</w:t>
            </w:r>
          </w:p>
        </w:tc>
      </w:tr>
      <w:tr>
        <w:trPr>
          <w:trHeight w:val="180"/>
        </w:trPr>
        <w:tc>
          <w:tcPr>
            <w:tcW w:w="5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Pura Vida</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53,172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87,073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98,414</w:t>
            </w:r>
          </w:p>
        </w:tc>
      </w:tr>
      <w:tr>
        <w:trPr>
          <w:trHeight w:val="171"/>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371,967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470,786</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499,961</w:t>
            </w:r>
          </w:p>
        </w:tc>
      </w:tr>
      <w:tr>
        <w:trPr>
          <w:trHeight w:val="16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cost of sales:</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VB Direct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141,933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167,701</w:t>
            </w:r>
          </w:p>
        </w:tc>
      </w:tr>
      <w:tr>
        <w:trPr>
          <w:trHeight w:val="180"/>
        </w:trPr>
        <w:tc>
          <w:tcPr>
            <w:tcW w:w="5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VB Indirect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38,942</w:t>
            </w:r>
          </w:p>
        </w:tc>
      </w:tr>
      <w:tr>
        <w:trPr>
          <w:trHeight w:val="18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Pura Vida</w:t>
            </w: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34,625</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54,374</w:t>
            </w:r>
          </w:p>
        </w:tc>
      </w:tr>
      <w:tr>
        <w:trPr>
          <w:trHeight w:val="171"/>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185,128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214,373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261,017</w:t>
            </w:r>
          </w:p>
        </w:tc>
      </w:tr>
      <w:tr>
        <w:trPr>
          <w:trHeight w:val="160"/>
        </w:trPr>
        <w:tc>
          <w:tcPr>
            <w:tcW w:w="51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 xml:space="preserve">Other segment expenses, net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80"/>
        </w:trPr>
        <w:tc>
          <w:tcPr>
            <w:tcW w:w="5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VB Direct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106,902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106,104</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109,433</w:t>
            </w:r>
          </w:p>
        </w:tc>
      </w:tr>
      <w:tr>
        <w:trPr>
          <w:trHeight w:val="18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VB Indirect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11,409</w:t>
            </w:r>
          </w:p>
        </w:tc>
      </w:tr>
      <w:tr>
        <w:trPr>
          <w:trHeight w:val="180"/>
        </w:trPr>
        <w:tc>
          <w:tcPr>
            <w:tcW w:w="5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Pura Vida</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43,122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54,769</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122,631</w:t>
            </w:r>
          </w:p>
        </w:tc>
      </w:tr>
      <w:tr>
        <w:trPr>
          <w:trHeight w:val="171"/>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161,306</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172,582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243,473</w:t>
            </w:r>
          </w:p>
        </w:tc>
      </w:tr>
      <w:tr>
        <w:trPr>
          <w:trHeight w:val="16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operating income (loss):</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VB Direct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61,873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51,097</w:t>
            </w:r>
          </w:p>
        </w:tc>
      </w:tr>
      <w:tr>
        <w:trPr>
          <w:trHeight w:val="180"/>
        </w:trPr>
        <w:tc>
          <w:tcPr>
            <w:tcW w:w="5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VB Indirect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24,279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22,965</w:t>
            </w:r>
          </w:p>
        </w:tc>
      </w:tr>
      <w:tr>
        <w:trPr>
          <w:trHeight w:val="18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Pura Vida</w:t>
            </w: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(78,591)</w:t>
            </w:r>
          </w:p>
        </w:tc>
      </w:tr>
      <w:tr>
        <w:trPr>
          <w:trHeight w:val="171"/>
        </w:trPr>
        <w:tc>
          <w:tcPr>
            <w:tcW w:w="5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25,533</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83,831</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(4,529)</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2"/>
        </w:trPr>
        <w:tc>
          <w:tcPr>
            <w:tcW w:w="51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Reconciliation:</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80"/>
        </w:trPr>
        <w:tc>
          <w:tcPr>
            <w:tcW w:w="5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Segment operating income (loss):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83,831</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(4,529)</w:t>
            </w:r>
          </w:p>
        </w:tc>
      </w:tr>
      <w:tr>
        <w:trPr>
          <w:trHeight w:val="18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Unallocated corporate expenses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(73,389)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(90,342)</w:t>
            </w:r>
          </w:p>
        </w:tc>
      </w:tr>
      <w:tr>
        <w:trPr>
          <w:trHeight w:val="180"/>
        </w:trPr>
        <w:tc>
          <w:tcPr>
            <w:tcW w:w="5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Interest income (expense)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72"/>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(41,238)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(95,024)</w:t>
            </w:r>
          </w:p>
        </w:tc>
      </w:tr>
    </w:tbl>
    <w:p>
      <w:pPr>
        <w:ind w:left="280"/>
        <w:spacing w:after="0"/>
        <w:rPr>
          <w:sz w:val="20"/>
          <w:szCs w:val="20"/>
          <w:color w:val="auto"/>
        </w:rPr>
      </w:pPr>
      <w:r>
        <w:rPr>
          <w:rFonts w:ascii="Times New Roman" w:cs="Times New Roman" w:eastAsia="Times New Roman" w:hAnsi="Times New Roman"/>
          <w:sz w:val="14"/>
          <w:szCs w:val="14"/>
          <w:color w:val="auto"/>
        </w:rPr>
        <w:t>(1) Other segment expenses, net include selling, general and administrative expenses and are net of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3418840</wp:posOffset>
            </wp:positionH>
            <wp:positionV relativeFrom="paragraph">
              <wp:posOffset>-94615</wp:posOffset>
            </wp:positionV>
            <wp:extent cx="215582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5825" cy="6985"/>
                    </a:xfrm>
                    <a:prstGeom prst="rect">
                      <a:avLst/>
                    </a:prstGeom>
                    <a:noFill/>
                  </pic:spPr>
                </pic:pic>
              </a:graphicData>
            </a:graphic>
          </wp:anchor>
        </w:drawing>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Sales outside of the United States were immaterial for all periods presented.</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 customer accounted for 8% or more of the Company’s net revenues during fiscal years 2025, 2024, and 2023.</w:t>
      </w:r>
    </w:p>
    <w:p>
      <w:pPr>
        <w:spacing w:after="0" w:line="83" w:lineRule="exact"/>
        <w:rPr>
          <w:sz w:val="20"/>
          <w:szCs w:val="20"/>
          <w:color w:val="auto"/>
        </w:rPr>
      </w:pPr>
    </w:p>
    <w:p>
      <w:pPr>
        <w:ind w:left="260" w:right="260"/>
        <w:spacing w:after="0" w:line="287" w:lineRule="auto"/>
        <w:rPr>
          <w:sz w:val="20"/>
          <w:szCs w:val="20"/>
          <w:color w:val="auto"/>
        </w:rPr>
      </w:pPr>
      <w:r>
        <w:rPr>
          <w:rFonts w:ascii="Times New Roman" w:cs="Times New Roman" w:eastAsia="Times New Roman" w:hAnsi="Times New Roman"/>
          <w:sz w:val="14"/>
          <w:szCs w:val="14"/>
          <w:color w:val="auto"/>
        </w:rPr>
        <w:t>Revenues from external customers for Vera Bradley brand products are attributable to sales of bags, accessories, travel, apparel/footwear, and home items. Other revenues from Vera Bradley external customers primarily include revenues associated with our freight, stationery, licensing, merchandising, and gift card breakage.</w:t>
      </w:r>
    </w:p>
    <w:p>
      <w:pPr>
        <w:spacing w:after="0" w:line="18" w:lineRule="exact"/>
        <w:rPr>
          <w:sz w:val="20"/>
          <w:szCs w:val="20"/>
          <w:color w:val="auto"/>
        </w:rPr>
      </w:pPr>
    </w:p>
    <w:p>
      <w:pPr>
        <w:ind w:left="260"/>
        <w:spacing w:after="0" w:line="287" w:lineRule="auto"/>
        <w:rPr>
          <w:sz w:val="20"/>
          <w:szCs w:val="20"/>
          <w:color w:val="auto"/>
        </w:rPr>
      </w:pPr>
      <w:r>
        <w:rPr>
          <w:rFonts w:ascii="Times New Roman" w:cs="Times New Roman" w:eastAsia="Times New Roman" w:hAnsi="Times New Roman"/>
          <w:sz w:val="14"/>
          <w:szCs w:val="14"/>
          <w:color w:val="auto"/>
        </w:rPr>
        <w:t>Revenues from external customers for Pura Vida brand products are primarily attributable to sales of accessories and apparel. Other revenues from Pura Vida external customers include revenues associated with freight.</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Refer to Note 3 herein for disaggregation of net revenues by reportable segment.</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February 1, 2025 and February 3, 2024, substantially all of the Company’s long-lived assets were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4"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Subsequent Event</w:t>
      </w:r>
    </w:p>
    <w:p>
      <w:pPr>
        <w:spacing w:after="0" w:line="85" w:lineRule="exact"/>
        <w:rPr>
          <w:sz w:val="20"/>
          <w:szCs w:val="20"/>
          <w:color w:val="auto"/>
        </w:rPr>
      </w:pPr>
    </w:p>
    <w:p>
      <w:pPr>
        <w:ind w:left="260"/>
        <w:spacing w:after="0" w:line="261" w:lineRule="auto"/>
        <w:rPr>
          <w:sz w:val="20"/>
          <w:szCs w:val="20"/>
          <w:color w:val="auto"/>
        </w:rPr>
      </w:pPr>
      <w:r>
        <w:rPr>
          <w:rFonts w:ascii="Times New Roman" w:cs="Times New Roman" w:eastAsia="Times New Roman" w:hAnsi="Times New Roman"/>
          <w:sz w:val="14"/>
          <w:szCs w:val="14"/>
          <w:color w:val="auto"/>
        </w:rPr>
        <w:t>On March 11, 2025, Vera Bradley Holdings, LLC (“Seller”), Creative Genius, LLC (“Creative Genius”) and Project Aster Acquisition, LLC (“Buyer”) entered into an Interest Purchase Agreement (the “Agreement”) pursuant to which, among other things, Seller will sell to Buyer and Buyer will purchase from Seller one hundred percent (100%) of Creative Genius, which operates under the name Pura Vida Bracelets (the “Transaction”). The consideration paid by Buyer under the Agreement will consist of cash consideration of $1.0 million as well as contingent consideration payable over a two-year period. Total consideration is subject to customary adjustments for cash, transaction expenses and working capital. Seller has also agreed to provide certain services to Buyer for a transitional period of 12 months.</w:t>
      </w:r>
    </w:p>
    <w:p>
      <w:pPr>
        <w:spacing w:after="0" w:line="37" w:lineRule="exact"/>
        <w:rPr>
          <w:sz w:val="20"/>
          <w:szCs w:val="20"/>
          <w:color w:val="auto"/>
        </w:rPr>
      </w:pPr>
    </w:p>
    <w:p>
      <w:pPr>
        <w:ind w:left="260" w:right="20"/>
        <w:spacing w:after="0" w:line="270" w:lineRule="auto"/>
        <w:rPr>
          <w:sz w:val="20"/>
          <w:szCs w:val="20"/>
          <w:color w:val="auto"/>
        </w:rPr>
      </w:pPr>
      <w:r>
        <w:rPr>
          <w:rFonts w:ascii="Times New Roman" w:cs="Times New Roman" w:eastAsia="Times New Roman" w:hAnsi="Times New Roman"/>
          <w:sz w:val="14"/>
          <w:szCs w:val="14"/>
          <w:color w:val="auto"/>
        </w:rPr>
        <w:t>In conjunction with the Agreement, on March 11, 2025, Vera Bradley Designs, Inc., a wholly-owned subsidiary of the Seller, JP Morgan Chase Bank, N.A., as the administrative agent, and lenders from time to time party thereto, entered into a Fourth Amendment (the “Fourth Amendment”) to the asset based revolving Credit Agreement (as amended, the “Credit Agreement”) dated September 7, 2018.</w:t>
      </w:r>
    </w:p>
    <w:p>
      <w:pPr>
        <w:spacing w:after="0" w:line="40" w:lineRule="exact"/>
        <w:rPr>
          <w:sz w:val="20"/>
          <w:szCs w:val="20"/>
          <w:color w:val="auto"/>
        </w:rPr>
      </w:pPr>
    </w:p>
    <w:p>
      <w:pPr>
        <w:ind w:left="260" w:right="280"/>
        <w:spacing w:after="0" w:line="287" w:lineRule="auto"/>
        <w:rPr>
          <w:sz w:val="20"/>
          <w:szCs w:val="20"/>
          <w:color w:val="auto"/>
        </w:rPr>
      </w:pPr>
      <w:r>
        <w:rPr>
          <w:rFonts w:ascii="Times New Roman" w:cs="Times New Roman" w:eastAsia="Times New Roman" w:hAnsi="Times New Roman"/>
          <w:sz w:val="14"/>
          <w:szCs w:val="14"/>
          <w:color w:val="auto"/>
        </w:rPr>
        <w:t>The Fourth Amendment amended the Credit Agreement to, among other things: allow for the sale of Creative Genius; remove Creative Genius as a borrower; modify an additional reporting period based on certain conditions of credit availability; and change certain applications of the fixed charge coverage ratio.</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14"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5160"/>
        <w:spacing w:after="0" w:line="401" w:lineRule="auto"/>
        <w:rPr>
          <w:sz w:val="20"/>
          <w:szCs w:val="20"/>
          <w:color w:val="auto"/>
        </w:rPr>
      </w:pPr>
      <w:r>
        <w:rPr>
          <w:rFonts w:ascii="Times New Roman" w:cs="Times New Roman" w:eastAsia="Times New Roman" w:hAnsi="Times New Roman"/>
          <w:sz w:val="14"/>
          <w:szCs w:val="14"/>
          <w:b w:val="1"/>
          <w:bCs w:val="1"/>
          <w:color w:val="auto"/>
        </w:rPr>
        <w:t xml:space="preserve">Item 9. Changes in and Disagreements with Accountants on Accounting and Financial Disclosure </w:t>
      </w:r>
      <w:r>
        <w:rPr>
          <w:rFonts w:ascii="Times New Roman" w:cs="Times New Roman" w:eastAsia="Times New Roman" w:hAnsi="Times New Roman"/>
          <w:sz w:val="14"/>
          <w:szCs w:val="14"/>
          <w:color w:val="auto"/>
        </w:rPr>
        <w:t>None.</w:t>
      </w:r>
    </w:p>
    <w:p>
      <w:pPr>
        <w:spacing w:after="0" w:line="4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9A.</w:t>
        <w:tab/>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under the Exchange Act) that are designed to provide reasonable assurance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evaluated</w:t>
      </w:r>
    </w:p>
    <w:p>
      <w:pPr>
        <w:spacing w:after="0" w:line="23" w:lineRule="exact"/>
        <w:rPr>
          <w:sz w:val="20"/>
          <w:szCs w:val="20"/>
          <w:color w:val="auto"/>
        </w:rPr>
      </w:pPr>
    </w:p>
    <w:p>
      <w:pPr>
        <w:jc w:val="both"/>
        <w:ind w:right="4320"/>
        <w:spacing w:after="0" w:line="259" w:lineRule="auto"/>
        <w:rPr>
          <w:sz w:val="20"/>
          <w:szCs w:val="20"/>
          <w:color w:val="auto"/>
        </w:rPr>
      </w:pPr>
      <w:r>
        <w:rPr>
          <w:rFonts w:ascii="Times New Roman" w:cs="Times New Roman" w:eastAsia="Times New Roman" w:hAnsi="Times New Roman"/>
          <w:sz w:val="14"/>
          <w:szCs w:val="14"/>
          <w:color w:val="auto"/>
        </w:rPr>
        <w:t>the effectiveness of our disclosure controls and procedures as of the end of the period covered by this report. Based on that evaluation, our Chief Executive Officer and our Chief Financial Officer each has concluded that the Company’s disclosure controls and procedures are effective as of February 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Management, under the supervision and with the participation of the Company’s Chief Executive Officer and Chief Financial Officer, has evaluated the effectiveness of the Company’s internal control over financial reporting using the criteria set forth by the Committee of Sponsoring Organizations (COSO) of the Treadway Commission (2013 framework) in Internal Control-Integrated Framework. Based on the results of that evaluation, management has concluded that such internal control over financial reporting was effective as of February 1, 2025.</w:t>
      </w:r>
    </w:p>
    <w:p>
      <w:pPr>
        <w:spacing w:after="0" w:line="5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effectiveness of the Company’s internal control over financial reporting as of February 1, 2025, has been audited by Deloitte and Touche LLP, an independent registered public accounting firm, as stated in their report which appears in Item 8 of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8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tab/>
        <w:t>Other Information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9C.</w:t>
        <w:tab/>
        <w:t>Disclosure Regarding Foreign Jurisdictions that Prevent Inspections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5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Directors, Executive Officers and Corporate Governance</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information set forth in the Proxy Statement for the 2025 Annual Meeting of Shareholders under the headings “The Board of Directors,” “Family Relationships,” “Delinquent Section 16(a) Reports,” “Conflict of Interest and Business Ethics Policy,” “Code of Ethics for Senior Financial Officers,” and “Standing Committees and Meetings of the Board”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under the heading “Item 1: Business – Executive Officers of the Company” in this Form 10-K is incorporated herein by reference.</w:t>
      </w:r>
    </w:p>
    <w:p>
      <w:pPr>
        <w:spacing w:after="0" w:line="13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4"/>
          <w:szCs w:val="14"/>
          <w:b w:val="1"/>
          <w:bCs w:val="1"/>
          <w:color w:val="auto"/>
        </w:rPr>
        <w:t>Executive Compensation</w:t>
      </w:r>
    </w:p>
    <w:p>
      <w:pPr>
        <w:spacing w:after="0" w:line="85"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information set forth in the Proxy Statement for the 2025 Annual Meeting of Shareholders under the headings “Executive Compensation Discussion and Analysis,” “Compensation Committee Interlocks and Insider Participation,” “Compensation Tables,” and “Compensation Committee Report”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3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12.</w:t>
      </w:r>
      <w:r>
        <w:rPr>
          <w:sz w:val="20"/>
          <w:szCs w:val="20"/>
          <w:color w:val="auto"/>
        </w:rPr>
        <w:tab/>
      </w:r>
      <w:r>
        <w:rPr>
          <w:rFonts w:ascii="Times New Roman" w:cs="Times New Roman" w:eastAsia="Times New Roman" w:hAnsi="Times New Roman"/>
          <w:sz w:val="14"/>
          <w:szCs w:val="14"/>
          <w:b w:val="1"/>
          <w:bCs w:val="1"/>
          <w:color w:val="auto"/>
        </w:rPr>
        <w:t>Security Ownership of Certain Beneficial Owners and Management and Related Stockholder Matters</w:t>
      </w:r>
    </w:p>
    <w:p>
      <w:pPr>
        <w:spacing w:after="0" w:line="7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information set forth in the Proxy Statement for the 2025 Annual Meeting of Shareholders under the heading “Share Ownership of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equity securities authorized for issuance under our equity compensation plans as of February 1, 2025: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00" w:type="dxa"/>
            <w:vAlign w:val="bottom"/>
          </w:tcPr>
          <w:p>
            <w:pPr>
              <w:spacing w:after="0"/>
              <w:rPr>
                <w:sz w:val="11"/>
                <w:szCs w:val="11"/>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0" w:type="dxa"/>
            <w:vAlign w:val="bottom"/>
          </w:tcPr>
          <w:p>
            <w:pPr>
              <w:spacing w:after="0"/>
              <w:rPr>
                <w:sz w:val="1"/>
                <w:szCs w:val="1"/>
                <w:color w:val="auto"/>
              </w:rPr>
            </w:pPr>
          </w:p>
        </w:tc>
      </w:tr>
      <w:tr>
        <w:trPr>
          <w:trHeight w:val="106"/>
        </w:trPr>
        <w:tc>
          <w:tcPr>
            <w:tcW w:w="510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Remaining Available for</w:t>
            </w:r>
          </w:p>
        </w:tc>
        <w:tc>
          <w:tcPr>
            <w:tcW w:w="0" w:type="dxa"/>
            <w:vAlign w:val="bottom"/>
          </w:tcPr>
          <w:p>
            <w:pPr>
              <w:spacing w:after="0"/>
              <w:rPr>
                <w:sz w:val="1"/>
                <w:szCs w:val="1"/>
                <w:color w:val="auto"/>
              </w:rPr>
            </w:pPr>
          </w:p>
        </w:tc>
      </w:tr>
      <w:tr>
        <w:trPr>
          <w:trHeight w:val="117"/>
        </w:trPr>
        <w:tc>
          <w:tcPr>
            <w:tcW w:w="5100" w:type="dxa"/>
            <w:vAlign w:val="bottom"/>
          </w:tcPr>
          <w:p>
            <w:pPr>
              <w:spacing w:after="0"/>
              <w:rPr>
                <w:sz w:val="10"/>
                <w:szCs w:val="10"/>
                <w:color w:val="auto"/>
              </w:rPr>
            </w:pPr>
          </w:p>
        </w:tc>
        <w:tc>
          <w:tcPr>
            <w:tcW w:w="20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Securities to Be</w:t>
            </w: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Weighted-Average</w:t>
            </w:r>
          </w:p>
        </w:tc>
        <w:tc>
          <w:tcPr>
            <w:tcW w:w="19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Future Issuance Under</w:t>
            </w:r>
          </w:p>
        </w:tc>
        <w:tc>
          <w:tcPr>
            <w:tcW w:w="0" w:type="dxa"/>
            <w:vAlign w:val="bottom"/>
          </w:tcPr>
          <w:p>
            <w:pPr>
              <w:spacing w:after="0"/>
              <w:rPr>
                <w:sz w:val="1"/>
                <w:szCs w:val="1"/>
                <w:color w:val="auto"/>
              </w:rPr>
            </w:pPr>
          </w:p>
        </w:tc>
      </w:tr>
      <w:tr>
        <w:trPr>
          <w:trHeight w:val="117"/>
        </w:trPr>
        <w:tc>
          <w:tcPr>
            <w:tcW w:w="5100" w:type="dxa"/>
            <w:vAlign w:val="bottom"/>
          </w:tcPr>
          <w:p>
            <w:pPr>
              <w:spacing w:after="0"/>
              <w:rPr>
                <w:sz w:val="10"/>
                <w:szCs w:val="10"/>
                <w:color w:val="auto"/>
              </w:rPr>
            </w:pPr>
          </w:p>
        </w:tc>
        <w:tc>
          <w:tcPr>
            <w:tcW w:w="206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Issued upon</w:t>
            </w:r>
          </w:p>
        </w:tc>
        <w:tc>
          <w:tcPr>
            <w:tcW w:w="2060" w:type="dxa"/>
            <w:vAlign w:val="bottom"/>
            <w:gridSpan w:val="2"/>
            <w:vMerge w:val="continue"/>
          </w:tcPr>
          <w:p>
            <w:pPr>
              <w:spacing w:after="0"/>
              <w:rPr>
                <w:sz w:val="10"/>
                <w:szCs w:val="10"/>
                <w:color w:val="auto"/>
              </w:rPr>
            </w:pPr>
          </w:p>
        </w:tc>
        <w:tc>
          <w:tcPr>
            <w:tcW w:w="19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the Equity</w:t>
            </w:r>
          </w:p>
        </w:tc>
        <w:tc>
          <w:tcPr>
            <w:tcW w:w="0" w:type="dxa"/>
            <w:vAlign w:val="bottom"/>
          </w:tcPr>
          <w:p>
            <w:pPr>
              <w:spacing w:after="0"/>
              <w:rPr>
                <w:sz w:val="1"/>
                <w:szCs w:val="1"/>
                <w:color w:val="auto"/>
              </w:rPr>
            </w:pPr>
          </w:p>
        </w:tc>
      </w:tr>
      <w:tr>
        <w:trPr>
          <w:trHeight w:val="106"/>
        </w:trPr>
        <w:tc>
          <w:tcPr>
            <w:tcW w:w="5100" w:type="dxa"/>
            <w:vAlign w:val="bottom"/>
          </w:tcPr>
          <w:p>
            <w:pPr>
              <w:spacing w:after="0"/>
              <w:rPr>
                <w:sz w:val="9"/>
                <w:szCs w:val="9"/>
                <w:color w:val="auto"/>
              </w:rPr>
            </w:pPr>
          </w:p>
        </w:tc>
        <w:tc>
          <w:tcPr>
            <w:tcW w:w="206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Exercise of</w:t>
            </w:r>
          </w:p>
        </w:tc>
        <w:tc>
          <w:tcPr>
            <w:tcW w:w="206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Exercise Price of</w:t>
            </w:r>
          </w:p>
        </w:tc>
        <w:tc>
          <w:tcPr>
            <w:tcW w:w="198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Compensation Plans</w:t>
            </w:r>
          </w:p>
        </w:tc>
        <w:tc>
          <w:tcPr>
            <w:tcW w:w="0" w:type="dxa"/>
            <w:vAlign w:val="bottom"/>
          </w:tcPr>
          <w:p>
            <w:pPr>
              <w:spacing w:after="0"/>
              <w:rPr>
                <w:sz w:val="1"/>
                <w:szCs w:val="1"/>
                <w:color w:val="auto"/>
              </w:rPr>
            </w:pPr>
          </w:p>
        </w:tc>
      </w:tr>
      <w:tr>
        <w:trPr>
          <w:trHeight w:val="117"/>
        </w:trPr>
        <w:tc>
          <w:tcPr>
            <w:tcW w:w="5100" w:type="dxa"/>
            <w:vAlign w:val="bottom"/>
          </w:tcPr>
          <w:p>
            <w:pPr>
              <w:spacing w:after="0"/>
              <w:rPr>
                <w:sz w:val="10"/>
                <w:szCs w:val="10"/>
                <w:color w:val="auto"/>
              </w:rPr>
            </w:pPr>
          </w:p>
        </w:tc>
        <w:tc>
          <w:tcPr>
            <w:tcW w:w="20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20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19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(Excluding Securities</w:t>
            </w:r>
          </w:p>
        </w:tc>
        <w:tc>
          <w:tcPr>
            <w:tcW w:w="0" w:type="dxa"/>
            <w:vAlign w:val="bottom"/>
          </w:tcPr>
          <w:p>
            <w:pPr>
              <w:spacing w:after="0"/>
              <w:rPr>
                <w:sz w:val="1"/>
                <w:szCs w:val="1"/>
                <w:color w:val="auto"/>
              </w:rPr>
            </w:pPr>
          </w:p>
        </w:tc>
      </w:tr>
      <w:tr>
        <w:trPr>
          <w:trHeight w:val="117"/>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20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Options, Warrants</w:t>
            </w:r>
          </w:p>
        </w:tc>
        <w:tc>
          <w:tcPr>
            <w:tcW w:w="206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Options, Warrants</w:t>
            </w:r>
          </w:p>
        </w:tc>
        <w:tc>
          <w:tcPr>
            <w:tcW w:w="19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Reflected in Column</w:t>
            </w:r>
          </w:p>
        </w:tc>
        <w:tc>
          <w:tcPr>
            <w:tcW w:w="0" w:type="dxa"/>
            <w:vAlign w:val="bottom"/>
          </w:tcPr>
          <w:p>
            <w:pPr>
              <w:spacing w:after="0"/>
              <w:rPr>
                <w:sz w:val="1"/>
                <w:szCs w:val="1"/>
                <w:color w:val="auto"/>
              </w:rPr>
            </w:pPr>
          </w:p>
        </w:tc>
      </w:tr>
      <w:tr>
        <w:trPr>
          <w:trHeight w:val="154"/>
        </w:trPr>
        <w:tc>
          <w:tcPr>
            <w:tcW w:w="5100" w:type="dxa"/>
            <w:vAlign w:val="bottom"/>
            <w:vMerge w:val="continue"/>
          </w:tcPr>
          <w:p>
            <w:pPr>
              <w:spacing w:after="0"/>
              <w:rPr>
                <w:sz w:val="13"/>
                <w:szCs w:val="13"/>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and Rights (a) (1)</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and Rights (b) ($)</w:t>
            </w:r>
          </w:p>
        </w:tc>
        <w:tc>
          <w:tcPr>
            <w:tcW w:w="1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xml:space="preserve">(a)) (c) </w:t>
            </w:r>
            <w:r>
              <w:rPr>
                <w:rFonts w:ascii="Times New Roman" w:cs="Times New Roman" w:eastAsia="Times New Roman" w:hAnsi="Times New Roman"/>
                <w:sz w:val="7"/>
                <w:szCs w:val="7"/>
                <w:b w:val="1"/>
                <w:bCs w:val="1"/>
                <w:color w:val="auto"/>
              </w:rPr>
              <w:t>(2)</w:t>
            </w:r>
          </w:p>
        </w:tc>
        <w:tc>
          <w:tcPr>
            <w:tcW w:w="0" w:type="dxa"/>
            <w:vAlign w:val="bottom"/>
          </w:tcPr>
          <w:p>
            <w:pPr>
              <w:spacing w:after="0"/>
              <w:rPr>
                <w:sz w:val="1"/>
                <w:szCs w:val="1"/>
                <w:color w:val="auto"/>
              </w:rPr>
            </w:pPr>
          </w:p>
        </w:tc>
      </w:tr>
      <w:tr>
        <w:trPr>
          <w:trHeight w:val="176"/>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compensation plans approved by security holders</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1,467,662</w:t>
            </w:r>
          </w:p>
        </w:tc>
        <w:tc>
          <w:tcPr>
            <w:tcW w:w="10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3,559,019</w:t>
            </w: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compensation plans not approved by security holders</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tcPr>
          <w:p>
            <w:pPr>
              <w:ind w:left="178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1,467,662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960" w:type="dxa"/>
            <w:vAlign w:val="bottom"/>
            <w:tcBorders>
              <w:top w:val="single" w:sz="8" w:color="auto"/>
              <w:bottom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3,559,019</w:t>
            </w:r>
          </w:p>
        </w:tc>
        <w:tc>
          <w:tcPr>
            <w:tcW w:w="0" w:type="dxa"/>
            <w:vAlign w:val="bottom"/>
          </w:tcPr>
          <w:p>
            <w:pPr>
              <w:spacing w:after="0"/>
              <w:rPr>
                <w:sz w:val="1"/>
                <w:szCs w:val="1"/>
                <w:color w:val="auto"/>
              </w:rPr>
            </w:pPr>
          </w:p>
        </w:tc>
      </w:tr>
    </w:tbl>
    <w:p>
      <w:pPr>
        <w:ind w:left="200" w:hanging="181"/>
        <w:spacing w:after="0"/>
        <w:tabs>
          <w:tab w:leader="none" w:pos="20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Assumes that target performance requirements will be achieved for performance shares with incomplete performance periods. These securities represent awards to be issued under the 2020 Equity and Incentive Plan.</w:t>
      </w:r>
    </w:p>
    <w:p>
      <w:pPr>
        <w:spacing w:after="0" w:line="31" w:lineRule="exact"/>
        <w:rPr>
          <w:rFonts w:ascii="Times New Roman" w:cs="Times New Roman" w:eastAsia="Times New Roman" w:hAnsi="Times New Roman"/>
          <w:sz w:val="12"/>
          <w:szCs w:val="12"/>
          <w:color w:val="auto"/>
        </w:rPr>
      </w:pPr>
    </w:p>
    <w:p>
      <w:pPr>
        <w:ind w:left="200" w:hanging="181"/>
        <w:spacing w:after="0"/>
        <w:tabs>
          <w:tab w:leader="none" w:pos="2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securities available for issuance under the 2020 Equity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-195580</wp:posOffset>
            </wp:positionV>
            <wp:extent cx="387413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4135" cy="69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Certain Relationships and Related Transactions, and Director Independence</w:t>
      </w:r>
    </w:p>
    <w:p>
      <w:pPr>
        <w:spacing w:after="0" w:line="8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information set forth in the Proxy Statement for the 2025 Annual Meeting of Shareholders under the headings “Policy on Related Party Transactions,” “Related Party Transactions for Fiscal 2025,”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3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Principal Accounting Fees and Services</w:t>
      </w:r>
    </w:p>
    <w:p>
      <w:pPr>
        <w:spacing w:after="0" w:line="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2025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4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1140" w:type="dxa"/>
            <w:vAlign w:val="bottom"/>
          </w:tcPr>
          <w:p>
            <w:pPr>
              <w:spacing w:after="0"/>
              <w:rPr>
                <w:sz w:val="16"/>
                <w:szCs w:val="16"/>
                <w:color w:val="auto"/>
              </w:rPr>
            </w:pPr>
          </w:p>
        </w:tc>
      </w:tr>
      <w:tr>
        <w:trPr>
          <w:trHeight w:val="318"/>
        </w:trPr>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946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Exhibits, Financial Statement Schedules</w:t>
            </w:r>
          </w:p>
        </w:tc>
        <w:tc>
          <w:tcPr>
            <w:tcW w:w="1140" w:type="dxa"/>
            <w:vAlign w:val="bottom"/>
          </w:tcPr>
          <w:p>
            <w:pPr>
              <w:spacing w:after="0"/>
              <w:rPr>
                <w:sz w:val="24"/>
                <w:szCs w:val="24"/>
                <w:color w:val="auto"/>
              </w:rPr>
            </w:pPr>
          </w:p>
        </w:tc>
      </w:tr>
      <w:tr>
        <w:trPr>
          <w:trHeight w:val="361"/>
        </w:trPr>
        <w:tc>
          <w:tcPr>
            <w:tcW w:w="101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(1) Consolidated Financial Statements</w:t>
            </w:r>
          </w:p>
        </w:tc>
        <w:tc>
          <w:tcPr>
            <w:tcW w:w="1140" w:type="dxa"/>
            <w:vAlign w:val="bottom"/>
          </w:tcPr>
          <w:p>
            <w:pPr>
              <w:spacing w:after="0"/>
              <w:rPr>
                <w:sz w:val="24"/>
                <w:szCs w:val="24"/>
                <w:color w:val="auto"/>
              </w:rPr>
            </w:pPr>
          </w:p>
        </w:tc>
      </w:tr>
      <w:tr>
        <w:trPr>
          <w:trHeight w:val="244"/>
        </w:trPr>
        <w:tc>
          <w:tcPr>
            <w:tcW w:w="101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The following consolidated financial statements of Vera Bradley, Inc. are filed as part of this report under Item 8. Financial Statements and Supplementary Data:</w:t>
            </w:r>
          </w:p>
        </w:tc>
        <w:tc>
          <w:tcPr>
            <w:tcW w:w="1140" w:type="dxa"/>
            <w:vAlign w:val="bottom"/>
          </w:tcPr>
          <w:p>
            <w:pPr>
              <w:spacing w:after="0"/>
              <w:rPr>
                <w:sz w:val="21"/>
                <w:szCs w:val="21"/>
                <w:color w:val="auto"/>
              </w:rPr>
            </w:pPr>
          </w:p>
        </w:tc>
      </w:tr>
      <w:tr>
        <w:trPr>
          <w:trHeight w:val="393"/>
        </w:trPr>
        <w:tc>
          <w:tcPr>
            <w:tcW w:w="2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Reports of Independent Registered Public Accounting Firm</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Balance Sheets as of February 1, 2025, and February 3, 2024</w:t>
            </w:r>
          </w:p>
        </w:tc>
        <w:tc>
          <w:tcPr>
            <w:tcW w:w="5840" w:type="dxa"/>
            <w:vAlign w:val="bottom"/>
            <w:gridSpan w:val="5"/>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0"/>
        </w:trPr>
        <w:tc>
          <w:tcPr>
            <w:tcW w:w="20" w:type="dxa"/>
            <w:vAlign w:val="bottom"/>
          </w:tcPr>
          <w:p>
            <w:pPr>
              <w:spacing w:after="0"/>
              <w:rPr>
                <w:sz w:val="13"/>
                <w:szCs w:val="13"/>
                <w:color w:val="auto"/>
              </w:rPr>
            </w:pPr>
          </w:p>
        </w:tc>
        <w:tc>
          <w:tcPr>
            <w:tcW w:w="7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fiscal years ended February 1, 2025, February 3, 2024, and January 28, 2023</w:t>
            </w:r>
          </w:p>
        </w:tc>
        <w:tc>
          <w:tcPr>
            <w:tcW w:w="3080" w:type="dxa"/>
            <w:vAlign w:val="bottom"/>
            <w:gridSpan w:val="4"/>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0"/>
        </w:trPr>
        <w:tc>
          <w:tcPr>
            <w:tcW w:w="20" w:type="dxa"/>
            <w:vAlign w:val="bottom"/>
          </w:tcPr>
          <w:p>
            <w:pPr>
              <w:spacing w:after="0"/>
              <w:rPr>
                <w:sz w:val="13"/>
                <w:szCs w:val="13"/>
                <w:color w:val="auto"/>
              </w:rPr>
            </w:pPr>
          </w:p>
        </w:tc>
        <w:tc>
          <w:tcPr>
            <w:tcW w:w="8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(Loss) Income for the fiscal years ended February 1, 2025, February 3, 2024, and January 28, 2023</w:t>
            </w:r>
          </w:p>
        </w:tc>
        <w:tc>
          <w:tcPr>
            <w:tcW w:w="19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0"/>
        </w:trPr>
        <w:tc>
          <w:tcPr>
            <w:tcW w:w="20" w:type="dxa"/>
            <w:vAlign w:val="bottom"/>
          </w:tcPr>
          <w:p>
            <w:pPr>
              <w:spacing w:after="0"/>
              <w:rPr>
                <w:sz w:val="13"/>
                <w:szCs w:val="13"/>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Statements of Shareholders’ Equity for the fiscal years ended February 1, 2025, February 3, 2024, and January 28,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0"/>
        </w:trPr>
        <w:tc>
          <w:tcPr>
            <w:tcW w:w="20" w:type="dxa"/>
            <w:vAlign w:val="bottom"/>
          </w:tcPr>
          <w:p>
            <w:pPr>
              <w:spacing w:after="0"/>
              <w:rPr>
                <w:sz w:val="13"/>
                <w:szCs w:val="13"/>
                <w:color w:val="auto"/>
              </w:rPr>
            </w:pPr>
          </w:p>
        </w:tc>
        <w:tc>
          <w:tcPr>
            <w:tcW w:w="70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fiscal years ended February 1, 2025, February 3, 2024, and January 28, 2023</w:t>
            </w:r>
          </w:p>
        </w:tc>
        <w:tc>
          <w:tcPr>
            <w:tcW w:w="520" w:type="dxa"/>
            <w:vAlign w:val="bottom"/>
            <w:tcBorders>
              <w:top w:val="single" w:sz="8" w:color="0000FF"/>
            </w:tcBorders>
          </w:tcPr>
          <w:p>
            <w:pPr>
              <w:spacing w:after="0"/>
              <w:rPr>
                <w:sz w:val="13"/>
                <w:szCs w:val="13"/>
                <w:color w:val="auto"/>
              </w:rPr>
            </w:pPr>
          </w:p>
        </w:tc>
        <w:tc>
          <w:tcPr>
            <w:tcW w:w="2520" w:type="dxa"/>
            <w:vAlign w:val="bottom"/>
            <w:gridSpan w:val="2"/>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0"/>
        </w:trPr>
        <w:tc>
          <w:tcPr>
            <w:tcW w:w="20" w:type="dxa"/>
            <w:vAlign w:val="bottom"/>
          </w:tcPr>
          <w:p>
            <w:pPr>
              <w:spacing w:after="0"/>
              <w:rPr>
                <w:sz w:val="13"/>
                <w:szCs w:val="13"/>
                <w:color w:val="auto"/>
              </w:rPr>
            </w:pPr>
          </w:p>
        </w:tc>
        <w:tc>
          <w:tcPr>
            <w:tcW w:w="2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7600" w:type="dxa"/>
            <w:vAlign w:val="bottom"/>
            <w:gridSpan w:val="7"/>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Financial Statement Schedules</w:t>
      </w:r>
    </w:p>
    <w:p>
      <w:pPr>
        <w:spacing w:after="0" w:line="7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List of Exhibits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documents set forth below are filed herewith or incorporated by reference to the location indicated.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20" w:type="dxa"/>
            <w:vAlign w:val="bottom"/>
            <w:gridSpan w:val="22"/>
          </w:tcPr>
          <w:p>
            <w:pPr>
              <w:jc w:val="center"/>
              <w:ind w:right="44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46"/>
        </w:trPr>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6800" w:type="dxa"/>
            <w:vAlign w:val="bottom"/>
            <w:tcBorders>
              <w:bottom w:val="single" w:sz="8" w:color="auto"/>
            </w:tcBorders>
            <w:gridSpan w:val="21"/>
          </w:tcPr>
          <w:p>
            <w:pPr>
              <w:ind w:left="14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0" w:type="dxa"/>
            <w:vAlign w:val="bottom"/>
          </w:tcPr>
          <w:p>
            <w:pPr>
              <w:spacing w:after="0"/>
              <w:rPr>
                <w:sz w:val="21"/>
                <w:szCs w:val="21"/>
                <w:color w:val="auto"/>
              </w:rPr>
            </w:pPr>
          </w:p>
        </w:tc>
      </w:tr>
      <w:tr>
        <w:trPr>
          <w:trHeight w:val="265"/>
        </w:trPr>
        <w:tc>
          <w:tcPr>
            <w:tcW w:w="280" w:type="dxa"/>
            <w:vAlign w:val="bottom"/>
            <w:gridSpan w:val="4"/>
          </w:tcPr>
          <w:p>
            <w:pPr>
              <w:ind w:left="20"/>
              <w:spacing w:after="0"/>
              <w:rPr>
                <w:rFonts w:ascii="Times New Roman" w:cs="Times New Roman" w:eastAsia="Times New Roman" w:hAnsi="Times New Roman"/>
                <w:sz w:val="14"/>
                <w:szCs w:val="14"/>
                <w:color w:val="0000FF"/>
                <w:w w:val="94"/>
              </w:rPr>
            </w:pPr>
            <w:hyperlink r:id="rId120">
              <w:r>
                <w:rPr>
                  <w:rFonts w:ascii="Times New Roman" w:cs="Times New Roman" w:eastAsia="Times New Roman" w:hAnsi="Times New Roman"/>
                  <w:sz w:val="14"/>
                  <w:szCs w:val="14"/>
                  <w:color w:val="0000FF"/>
                  <w:w w:val="94"/>
                </w:rPr>
                <w:t>2.</w:t>
              </w:r>
              <w:r>
                <w:rPr>
                  <w:rFonts w:ascii="Times New Roman" w:cs="Times New Roman" w:eastAsia="Times New Roman" w:hAnsi="Times New Roman"/>
                  <w:sz w:val="14"/>
                  <w:szCs w:val="14"/>
                  <w:u w:val="single" w:color="auto"/>
                  <w:color w:val="0000FF"/>
                  <w:w w:val="94"/>
                </w:rPr>
                <w:t>1+</w:t>
              </w:r>
            </w:hyperlink>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80" w:type="dxa"/>
            <w:vAlign w:val="bottom"/>
            <w:gridSpan w:val="30"/>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Interest Purchase Agreement dated January 23, 2023, among Vera Bradley Holdings, LLC; Creative Genius Holdings, Inc.; Creative Genius, Inc.; Griffin Thall; and Paul</w:t>
              </w:r>
            </w:hyperlink>
          </w:p>
        </w:tc>
      </w:tr>
      <w:tr>
        <w:trPr>
          <w:trHeight w:val="139"/>
        </w:trPr>
        <w:tc>
          <w:tcPr>
            <w:tcW w:w="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17"/>
          </w:tcPr>
          <w:p>
            <w:pPr>
              <w:spacing w:after="0" w:line="139"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Goodman (incorporated by reference to Exhibit 10.1 to the Current Report on Form 8-K filed January 24, 2023)</w:t>
              </w:r>
            </w:hyperlink>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8"/>
        </w:trPr>
        <w:tc>
          <w:tcPr>
            <w:tcW w:w="4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0000FF"/>
              </w:rPr>
              <w:t>2.</w:t>
            </w:r>
            <w:r>
              <w:rPr>
                <w:rFonts w:ascii="Times New Roman" w:cs="Times New Roman" w:eastAsia="Times New Roman" w:hAnsi="Times New Roman"/>
                <w:sz w:val="14"/>
                <w:szCs w:val="14"/>
                <w:u w:val="single" w:color="auto"/>
                <w:color w:val="0000FF"/>
              </w:rPr>
              <w:t>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Interest Purchase Agreement, dated March 11, 2025, by and among Project Aster Acquisition, LLC, Creative Genius, LLC, and Vera Bradley Holdings, LLC</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8"/>
        </w:trPr>
        <w:tc>
          <w:tcPr>
            <w:tcW w:w="200" w:type="dxa"/>
            <w:vAlign w:val="bottom"/>
            <w:gridSpan w:val="2"/>
          </w:tcPr>
          <w:p>
            <w:pPr>
              <w:ind w:left="20"/>
              <w:spacing w:after="0"/>
              <w:rPr>
                <w:rFonts w:ascii="Times New Roman" w:cs="Times New Roman" w:eastAsia="Times New Roman" w:hAnsi="Times New Roman"/>
                <w:sz w:val="14"/>
                <w:szCs w:val="14"/>
                <w:color w:val="0000FF"/>
                <w:w w:val="79"/>
              </w:rPr>
            </w:pPr>
            <w:hyperlink r:id="rId121">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1</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0"/>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Amended and Restated Articles of Incorporation (Incorporated by reference to Exhibit 3.1 to the Current Report on Form 8-K filed June 8, 2021)</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9"/>
        </w:trPr>
        <w:tc>
          <w:tcPr>
            <w:tcW w:w="200" w:type="dxa"/>
            <w:vAlign w:val="bottom"/>
            <w:gridSpan w:val="2"/>
          </w:tcPr>
          <w:p>
            <w:pPr>
              <w:ind w:left="20"/>
              <w:spacing w:after="0"/>
              <w:rPr>
                <w:rFonts w:ascii="Times New Roman" w:cs="Times New Roman" w:eastAsia="Times New Roman" w:hAnsi="Times New Roman"/>
                <w:sz w:val="14"/>
                <w:szCs w:val="14"/>
                <w:color w:val="0000FF"/>
                <w:w w:val="79"/>
              </w:rPr>
            </w:pPr>
            <w:hyperlink r:id="rId122">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2</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0"/>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Amended and Restated Bylaws (Incorporated by reference to Exhibit 3.2 to the Current Report on Form 8-K filed March 6, 2019)</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8"/>
        </w:trPr>
        <w:tc>
          <w:tcPr>
            <w:tcW w:w="200" w:type="dxa"/>
            <w:vAlign w:val="bottom"/>
            <w:gridSpan w:val="2"/>
          </w:tcPr>
          <w:p>
            <w:pPr>
              <w:ind w:left="20"/>
              <w:spacing w:after="0"/>
              <w:rPr>
                <w:rFonts w:ascii="Times New Roman" w:cs="Times New Roman" w:eastAsia="Times New Roman" w:hAnsi="Times New Roman"/>
                <w:sz w:val="14"/>
                <w:szCs w:val="14"/>
                <w:color w:val="0000FF"/>
                <w:w w:val="79"/>
              </w:rPr>
            </w:pPr>
            <w:hyperlink r:id="rId123">
              <w:r>
                <w:rPr>
                  <w:rFonts w:ascii="Times New Roman" w:cs="Times New Roman" w:eastAsia="Times New Roman" w:hAnsi="Times New Roman"/>
                  <w:sz w:val="14"/>
                  <w:szCs w:val="14"/>
                  <w:color w:val="0000FF"/>
                  <w:w w:val="79"/>
                </w:rPr>
                <w:t>4.</w:t>
              </w:r>
              <w:r>
                <w:rPr>
                  <w:rFonts w:ascii="Times New Roman" w:cs="Times New Roman" w:eastAsia="Times New Roman" w:hAnsi="Times New Roman"/>
                  <w:sz w:val="14"/>
                  <w:szCs w:val="14"/>
                  <w:u w:val="single" w:color="auto"/>
                  <w:color w:val="0000FF"/>
                  <w:w w:val="79"/>
                </w:rPr>
                <w:t>1</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0"/>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Specimen Common Stock Certificate (Incorporated by reference to Exhibit 4.1 to the Registration Statement on Form S-1, Registration No. 333-167934)</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0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8"/>
        </w:trPr>
        <w:tc>
          <w:tcPr>
            <w:tcW w:w="200" w:type="dxa"/>
            <w:vAlign w:val="bottom"/>
            <w:gridSpan w:val="2"/>
          </w:tcPr>
          <w:p>
            <w:pPr>
              <w:ind w:left="20"/>
              <w:spacing w:after="0"/>
              <w:rPr>
                <w:rFonts w:ascii="Times New Roman" w:cs="Times New Roman" w:eastAsia="Times New Roman" w:hAnsi="Times New Roman"/>
                <w:sz w:val="14"/>
                <w:szCs w:val="14"/>
                <w:color w:val="0000FF"/>
                <w:w w:val="79"/>
              </w:rPr>
            </w:pPr>
            <w:hyperlink r:id="rId124">
              <w:r>
                <w:rPr>
                  <w:rFonts w:ascii="Times New Roman" w:cs="Times New Roman" w:eastAsia="Times New Roman" w:hAnsi="Times New Roman"/>
                  <w:sz w:val="14"/>
                  <w:szCs w:val="14"/>
                  <w:color w:val="0000FF"/>
                  <w:w w:val="79"/>
                </w:rPr>
                <w:t>4.</w:t>
              </w:r>
              <w:r>
                <w:rPr>
                  <w:rFonts w:ascii="Times New Roman" w:cs="Times New Roman" w:eastAsia="Times New Roman" w:hAnsi="Times New Roman"/>
                  <w:sz w:val="14"/>
                  <w:szCs w:val="14"/>
                  <w:u w:val="single" w:color="auto"/>
                  <w:color w:val="0000FF"/>
                  <w:w w:val="79"/>
                </w:rPr>
                <w:t>2</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0"/>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Description of Registrant’s Securities (Incorporated by reference to Exhibit 4.2 to the Annual Report on Form 10-K for the fiscal year ended February 1, 2020)</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320" w:type="dxa"/>
            <w:vAlign w:val="bottom"/>
            <w:gridSpan w:val="4"/>
          </w:tcPr>
          <w:p>
            <w:pPr>
              <w:spacing w:after="0"/>
              <w:rPr>
                <w:rFonts w:ascii="Times New Roman" w:cs="Times New Roman" w:eastAsia="Times New Roman" w:hAnsi="Times New Roman"/>
                <w:sz w:val="14"/>
                <w:szCs w:val="14"/>
                <w:color w:val="0000FF"/>
                <w:w w:val="88"/>
              </w:rPr>
            </w:pPr>
            <w:hyperlink r:id="rId125">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1†</w:t>
              </w:r>
            </w:hyperlink>
          </w:p>
        </w:tc>
        <w:tc>
          <w:tcPr>
            <w:tcW w:w="860" w:type="dxa"/>
            <w:vAlign w:val="bottom"/>
            <w:gridSpan w:val="3"/>
          </w:tcPr>
          <w:p>
            <w:pPr>
              <w:spacing w:after="0"/>
              <w:rPr>
                <w:sz w:val="24"/>
                <w:szCs w:val="24"/>
                <w:color w:val="auto"/>
              </w:rPr>
            </w:pPr>
          </w:p>
        </w:tc>
        <w:tc>
          <w:tcPr>
            <w:tcW w:w="10080" w:type="dxa"/>
            <w:vAlign w:val="bottom"/>
            <w:gridSpan w:val="30"/>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Form of Indemnification Agreement (Incorporated by reference to Exhibit 10.5 to the Registration Statement on Form S-1, Registration No. 333-167934)</w:t>
              </w:r>
            </w:hyperlink>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320" w:type="dxa"/>
            <w:vAlign w:val="bottom"/>
            <w:gridSpan w:val="4"/>
          </w:tcPr>
          <w:p>
            <w:pPr>
              <w:spacing w:after="0"/>
              <w:rPr>
                <w:rFonts w:ascii="Times New Roman" w:cs="Times New Roman" w:eastAsia="Times New Roman" w:hAnsi="Times New Roman"/>
                <w:sz w:val="14"/>
                <w:szCs w:val="14"/>
                <w:color w:val="0000FF"/>
                <w:w w:val="88"/>
              </w:rPr>
            </w:pPr>
            <w:hyperlink r:id="rId126">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2†</w:t>
              </w:r>
            </w:hyperlink>
          </w:p>
        </w:tc>
        <w:tc>
          <w:tcPr>
            <w:tcW w:w="860" w:type="dxa"/>
            <w:vAlign w:val="bottom"/>
            <w:gridSpan w:val="3"/>
          </w:tcPr>
          <w:p>
            <w:pPr>
              <w:spacing w:after="0"/>
              <w:rPr>
                <w:sz w:val="24"/>
                <w:szCs w:val="24"/>
                <w:color w:val="auto"/>
              </w:rPr>
            </w:pPr>
          </w:p>
        </w:tc>
        <w:tc>
          <w:tcPr>
            <w:tcW w:w="10080" w:type="dxa"/>
            <w:vAlign w:val="bottom"/>
            <w:gridSpan w:val="30"/>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Form of Outside Director Restricted Stock Unit Terms and Conditions (Incorporated by reference to Exhibit 10.4 to the Quarterly Report on Form 10-Q for the quarter ended</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7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May 1, 2021)</w:t>
              </w:r>
            </w:hyperlink>
          </w:p>
        </w:tc>
        <w:tc>
          <w:tcPr>
            <w:tcW w:w="904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98"/>
        </w:trPr>
        <w:tc>
          <w:tcPr>
            <w:tcW w:w="20" w:type="dxa"/>
            <w:vAlign w:val="bottom"/>
          </w:tcPr>
          <w:p>
            <w:pPr>
              <w:spacing w:after="0"/>
              <w:rPr>
                <w:sz w:val="24"/>
                <w:szCs w:val="24"/>
                <w:color w:val="auto"/>
              </w:rPr>
            </w:pPr>
          </w:p>
        </w:tc>
        <w:tc>
          <w:tcPr>
            <w:tcW w:w="1180" w:type="dxa"/>
            <w:vAlign w:val="bottom"/>
            <w:gridSpan w:val="7"/>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p>
        </w:tc>
        <w:tc>
          <w:tcPr>
            <w:tcW w:w="10080" w:type="dxa"/>
            <w:vAlign w:val="bottom"/>
            <w:gridSpan w:val="30"/>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Vera Bradley, Inc. 2014 Executive Severance Plan (Amended May 30, 2018) (Incorporated by reference to Exhibit 10.4 to the Annual Report on Form 10-K for the year ended</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2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February 2, 2019)</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8"/>
        </w:trPr>
        <w:tc>
          <w:tcPr>
            <w:tcW w:w="280" w:type="dxa"/>
            <w:vAlign w:val="bottom"/>
            <w:gridSpan w:val="4"/>
          </w:tcPr>
          <w:p>
            <w:pPr>
              <w:ind w:left="20"/>
              <w:spacing w:after="0"/>
              <w:rPr>
                <w:rFonts w:ascii="Times New Roman" w:cs="Times New Roman" w:eastAsia="Times New Roman" w:hAnsi="Times New Roman"/>
                <w:sz w:val="14"/>
                <w:szCs w:val="14"/>
                <w:color w:val="0000FF"/>
                <w:w w:val="97"/>
              </w:rPr>
            </w:pPr>
            <w:hyperlink r:id="rId128">
              <w:r>
                <w:rPr>
                  <w:rFonts w:ascii="Times New Roman" w:cs="Times New Roman" w:eastAsia="Times New Roman" w:hAnsi="Times New Roman"/>
                  <w:sz w:val="14"/>
                  <w:szCs w:val="14"/>
                  <w:color w:val="0000FF"/>
                  <w:w w:val="97"/>
                </w:rPr>
                <w:t>10.</w:t>
              </w:r>
              <w:r>
                <w:rPr>
                  <w:rFonts w:ascii="Times New Roman" w:cs="Times New Roman" w:eastAsia="Times New Roman" w:hAnsi="Times New Roman"/>
                  <w:sz w:val="14"/>
                  <w:szCs w:val="14"/>
                  <w:u w:val="single" w:color="auto"/>
                  <w:color w:val="0000FF"/>
                  <w:w w:val="97"/>
                </w:rPr>
                <w:t>4</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0"/>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Pledge and Security Agreement dated as of September 7, 2018 among Vera Bradley Designs, Inc., Vera Bradley, Inc., Vera Bradley International, LLC, Vera Bradley Sales, LLC,</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2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and JP Morgan Chase Bank, N.A. (Incorporated by reference to Exhibit 10.2 to the Quarterly Report on Form 10-Q for the quarter ended August 4, 2018)</w:t>
              </w:r>
            </w:hyperlink>
          </w:p>
        </w:tc>
        <w:tc>
          <w:tcPr>
            <w:tcW w:w="40" w:type="dxa"/>
            <w:vAlign w:val="bottom"/>
            <w:gridSpan w:val="2"/>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1180" w:type="dxa"/>
            <w:vAlign w:val="bottom"/>
            <w:gridSpan w:val="7"/>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w:t>
              </w:r>
            </w:hyperlink>
          </w:p>
        </w:tc>
        <w:tc>
          <w:tcPr>
            <w:tcW w:w="10080" w:type="dxa"/>
            <w:vAlign w:val="bottom"/>
            <w:gridSpan w:val="30"/>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Fiscal 2025 Annual Incentive Compensation Plan (Executives) (Incorporated by reference to Exhibit 10.1 to the Quarterly Report on Form 10-Q for the quarter ended May 4,</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32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w w:val="98"/>
              </w:rPr>
            </w:pPr>
            <w:hyperlink r:id="rId129">
              <w:r>
                <w:rPr>
                  <w:rFonts w:ascii="Times New Roman" w:cs="Times New Roman" w:eastAsia="Times New Roman" w:hAnsi="Times New Roman"/>
                  <w:sz w:val="13"/>
                  <w:szCs w:val="13"/>
                  <w:color w:val="0000FF"/>
                  <w:w w:val="98"/>
                </w:rPr>
                <w:t>2024)</w:t>
              </w:r>
            </w:hyperlink>
          </w:p>
        </w:tc>
        <w:tc>
          <w:tcPr>
            <w:tcW w:w="14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60" w:type="dxa"/>
            <w:vAlign w:val="bottom"/>
            <w:tcBorders>
              <w:top w:val="single" w:sz="8" w:color="0000FF"/>
            </w:tcBorders>
          </w:tcPr>
          <w:p>
            <w:pPr>
              <w:spacing w:after="0"/>
              <w:rPr>
                <w:sz w:val="10"/>
                <w:szCs w:val="10"/>
                <w:color w:val="auto"/>
              </w:rPr>
            </w:pPr>
          </w:p>
        </w:tc>
        <w:tc>
          <w:tcPr>
            <w:tcW w:w="236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10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98"/>
        </w:trPr>
        <w:tc>
          <w:tcPr>
            <w:tcW w:w="20" w:type="dxa"/>
            <w:vAlign w:val="bottom"/>
          </w:tcPr>
          <w:p>
            <w:pPr>
              <w:spacing w:after="0"/>
              <w:rPr>
                <w:sz w:val="24"/>
                <w:szCs w:val="24"/>
                <w:color w:val="auto"/>
              </w:rPr>
            </w:pPr>
          </w:p>
        </w:tc>
        <w:tc>
          <w:tcPr>
            <w:tcW w:w="1180" w:type="dxa"/>
            <w:vAlign w:val="bottom"/>
            <w:gridSpan w:val="7"/>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w:t>
              </w:r>
            </w:hyperlink>
          </w:p>
        </w:tc>
        <w:tc>
          <w:tcPr>
            <w:tcW w:w="10080" w:type="dxa"/>
            <w:vAlign w:val="bottom"/>
            <w:gridSpan w:val="30"/>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Form of Restricted Stock Unit/Performance Unit Terms and Conditions (Revised Fiscal 2019) (Incorporated by reference to Exhibit 10.2 to the Quarterly Report on Form 10-Q</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98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for the quarter ended May 5, 2018)</w:t>
              </w:r>
            </w:hyperlink>
          </w:p>
        </w:tc>
        <w:tc>
          <w:tcPr>
            <w:tcW w:w="796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r>
      <w:tr>
        <w:trPr>
          <w:trHeight w:val="298"/>
        </w:trPr>
        <w:tc>
          <w:tcPr>
            <w:tcW w:w="280" w:type="dxa"/>
            <w:vAlign w:val="bottom"/>
            <w:gridSpan w:val="4"/>
          </w:tcPr>
          <w:p>
            <w:pPr>
              <w:ind w:left="20"/>
              <w:spacing w:after="0"/>
              <w:rPr>
                <w:rFonts w:ascii="Times New Roman" w:cs="Times New Roman" w:eastAsia="Times New Roman" w:hAnsi="Times New Roman"/>
                <w:sz w:val="14"/>
                <w:szCs w:val="14"/>
                <w:color w:val="0000FF"/>
                <w:w w:val="97"/>
              </w:rPr>
            </w:pPr>
            <w:hyperlink r:id="rId131">
              <w:r>
                <w:rPr>
                  <w:rFonts w:ascii="Times New Roman" w:cs="Times New Roman" w:eastAsia="Times New Roman" w:hAnsi="Times New Roman"/>
                  <w:sz w:val="14"/>
                  <w:szCs w:val="14"/>
                  <w:color w:val="0000FF"/>
                  <w:w w:val="97"/>
                </w:rPr>
                <w:t>10.</w:t>
              </w:r>
              <w:r>
                <w:rPr>
                  <w:rFonts w:ascii="Times New Roman" w:cs="Times New Roman" w:eastAsia="Times New Roman" w:hAnsi="Times New Roman"/>
                  <w:sz w:val="14"/>
                  <w:szCs w:val="14"/>
                  <w:u w:val="single" w:color="auto"/>
                  <w:color w:val="0000FF"/>
                  <w:w w:val="97"/>
                </w:rPr>
                <w:t>7</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0"/>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Third Amendment to Credit Agreement dated as of August 3, 2023 among Vera Bradley Designs, Inc., the other borrowers party thereto, JPMorgan Chase Bank, N.A., and the</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560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lenders party thereto (Incorporated by reference to Exhibit 10.1 on Form 8-K filed August 8, 2023)</w:t>
              </w:r>
            </w:hyperlink>
          </w:p>
        </w:tc>
        <w:tc>
          <w:tcPr>
            <w:tcW w:w="4300" w:type="dxa"/>
            <w:vAlign w:val="bottom"/>
            <w:tcBorders>
              <w:top w:val="single" w:sz="8" w:color="0000FF"/>
            </w:tcBorders>
            <w:gridSpan w:val="15"/>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3"/>
          </w:tcPr>
          <w:p>
            <w:pPr>
              <w:spacing w:after="0"/>
              <w:rPr>
                <w:sz w:val="10"/>
                <w:szCs w:val="10"/>
                <w:color w:val="auto"/>
              </w:rPr>
            </w:pPr>
          </w:p>
        </w:tc>
      </w:tr>
      <w:tr>
        <w:trPr>
          <w:trHeight w:val="298"/>
        </w:trPr>
        <w:tc>
          <w:tcPr>
            <w:tcW w:w="280" w:type="dxa"/>
            <w:vAlign w:val="bottom"/>
            <w:gridSpan w:val="4"/>
          </w:tcPr>
          <w:p>
            <w:pPr>
              <w:ind w:left="20"/>
              <w:spacing w:after="0"/>
              <w:rPr>
                <w:rFonts w:ascii="Times New Roman" w:cs="Times New Roman" w:eastAsia="Times New Roman" w:hAnsi="Times New Roman"/>
                <w:sz w:val="14"/>
                <w:szCs w:val="14"/>
                <w:color w:val="0000FF"/>
                <w:w w:val="97"/>
              </w:rPr>
            </w:pPr>
            <w:hyperlink r:id="rId132">
              <w:r>
                <w:rPr>
                  <w:rFonts w:ascii="Times New Roman" w:cs="Times New Roman" w:eastAsia="Times New Roman" w:hAnsi="Times New Roman"/>
                  <w:sz w:val="14"/>
                  <w:szCs w:val="14"/>
                  <w:color w:val="0000FF"/>
                  <w:w w:val="97"/>
                </w:rPr>
                <w:t>10.</w:t>
              </w:r>
              <w:r>
                <w:rPr>
                  <w:rFonts w:ascii="Times New Roman" w:cs="Times New Roman" w:eastAsia="Times New Roman" w:hAnsi="Times New Roman"/>
                  <w:sz w:val="14"/>
                  <w:szCs w:val="14"/>
                  <w:u w:val="single" w:color="auto"/>
                  <w:color w:val="0000FF"/>
                  <w:w w:val="97"/>
                </w:rPr>
                <w:t>8</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0"/>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Joinder Agreement dated August 3, 2023 between Creative Genius, LLC and JPMorgan Chase Bank, N.A. (Incorporated by reference to Exhibit 10.2 on Form 8-K filed August</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6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8, 2023)</w:t>
              </w:r>
            </w:hyperlink>
          </w:p>
        </w:tc>
        <w:tc>
          <w:tcPr>
            <w:tcW w:w="3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60" w:type="dxa"/>
            <w:vAlign w:val="bottom"/>
            <w:tcBorders>
              <w:top w:val="single" w:sz="8" w:color="0000FF"/>
            </w:tcBorders>
          </w:tcPr>
          <w:p>
            <w:pPr>
              <w:spacing w:after="0"/>
              <w:rPr>
                <w:sz w:val="10"/>
                <w:szCs w:val="10"/>
                <w:color w:val="auto"/>
              </w:rPr>
            </w:pPr>
          </w:p>
        </w:tc>
        <w:tc>
          <w:tcPr>
            <w:tcW w:w="236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102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98"/>
        </w:trPr>
        <w:tc>
          <w:tcPr>
            <w:tcW w:w="280" w:type="dxa"/>
            <w:vAlign w:val="bottom"/>
            <w:gridSpan w:val="4"/>
          </w:tcPr>
          <w:p>
            <w:pPr>
              <w:ind w:left="20"/>
              <w:spacing w:after="0"/>
              <w:rPr>
                <w:rFonts w:ascii="Times New Roman" w:cs="Times New Roman" w:eastAsia="Times New Roman" w:hAnsi="Times New Roman"/>
                <w:sz w:val="14"/>
                <w:szCs w:val="14"/>
                <w:color w:val="0000FF"/>
                <w:w w:val="97"/>
              </w:rPr>
            </w:pPr>
            <w:hyperlink r:id="rId134">
              <w:r>
                <w:rPr>
                  <w:rFonts w:ascii="Times New Roman" w:cs="Times New Roman" w:eastAsia="Times New Roman" w:hAnsi="Times New Roman"/>
                  <w:sz w:val="14"/>
                  <w:szCs w:val="14"/>
                  <w:color w:val="0000FF"/>
                  <w:w w:val="97"/>
                </w:rPr>
                <w:t>10.</w:t>
              </w:r>
              <w:r>
                <w:rPr>
                  <w:rFonts w:ascii="Times New Roman" w:cs="Times New Roman" w:eastAsia="Times New Roman" w:hAnsi="Times New Roman"/>
                  <w:sz w:val="14"/>
                  <w:szCs w:val="14"/>
                  <w:u w:val="single" w:color="auto"/>
                  <w:color w:val="0000FF"/>
                  <w:w w:val="97"/>
                </w:rPr>
                <w:t>9</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0"/>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Supplement to Pledge and Security Agreement dated as of September 7, 2018 by and among Vera Bradley Designs, Inc., Vera Bradley, Inc., Vera Bradley International, LLC,</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9540" w:type="dxa"/>
            <w:vAlign w:val="bottom"/>
            <w:tcBorders>
              <w:top w:val="single" w:sz="8" w:color="0000FF"/>
              <w:bottom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Vera Bradley Sales, LLC, Vera Bradley Holdings, LLC, and JP Morgan Chase Bank, N.A. (Incorporated by reference to Exhibit 10.3 on Form 8-K filed August 8, 2023)</w:t>
              </w:r>
            </w:hyperlink>
          </w:p>
        </w:tc>
        <w:tc>
          <w:tcPr>
            <w:tcW w:w="280" w:type="dxa"/>
            <w:vAlign w:val="bottom"/>
            <w:tcBorders>
              <w:top w:val="single" w:sz="8" w:color="0000FF"/>
            </w:tcBorders>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7"/>
          </w:tcPr>
          <w:p>
            <w:pPr>
              <w:spacing w:after="0"/>
              <w:rPr>
                <w:sz w:val="10"/>
                <w:szCs w:val="10"/>
                <w:color w:val="auto"/>
              </w:rPr>
            </w:pPr>
          </w:p>
        </w:tc>
      </w:tr>
      <w:tr>
        <w:trPr>
          <w:trHeight w:val="298"/>
        </w:trPr>
        <w:tc>
          <w:tcPr>
            <w:tcW w:w="20" w:type="dxa"/>
            <w:vAlign w:val="bottom"/>
          </w:tcPr>
          <w:p>
            <w:pPr>
              <w:spacing w:after="0"/>
              <w:rPr>
                <w:sz w:val="24"/>
                <w:szCs w:val="24"/>
                <w:color w:val="auto"/>
              </w:rPr>
            </w:pPr>
          </w:p>
        </w:tc>
        <w:tc>
          <w:tcPr>
            <w:tcW w:w="1180" w:type="dxa"/>
            <w:vAlign w:val="bottom"/>
            <w:gridSpan w:val="7"/>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p>
        </w:tc>
        <w:tc>
          <w:tcPr>
            <w:tcW w:w="10080" w:type="dxa"/>
            <w:vAlign w:val="bottom"/>
            <w:gridSpan w:val="30"/>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Form of Performance-Based Award Agreement under the 2020 Equity and Incentive Plan (Incorporated by reference to Exhibit 10.2 to the Quarterly Report on Form 10-Q for</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78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the quarter ended May 1, 2021)</w:t>
              </w:r>
            </w:hyperlink>
          </w:p>
        </w:tc>
        <w:tc>
          <w:tcPr>
            <w:tcW w:w="8100" w:type="dxa"/>
            <w:vAlign w:val="bottom"/>
            <w:tcBorders>
              <w:top w:val="single" w:sz="8" w:color="0000FF"/>
            </w:tcBorders>
            <w:gridSpan w:val="17"/>
          </w:tcPr>
          <w:p>
            <w:pPr>
              <w:spacing w:after="0"/>
              <w:rPr>
                <w:sz w:val="10"/>
                <w:szCs w:val="10"/>
                <w:color w:val="auto"/>
              </w:rPr>
            </w:pPr>
          </w:p>
        </w:tc>
        <w:tc>
          <w:tcPr>
            <w:tcW w:w="180" w:type="dxa"/>
            <w:vAlign w:val="bottom"/>
            <w:gridSpan w:val="7"/>
          </w:tcPr>
          <w:p>
            <w:pPr>
              <w:spacing w:after="0"/>
              <w:rPr>
                <w:sz w:val="10"/>
                <w:szCs w:val="10"/>
                <w:color w:val="auto"/>
              </w:rPr>
            </w:pPr>
          </w:p>
        </w:tc>
      </w:tr>
      <w:tr>
        <w:trPr>
          <w:trHeight w:val="298"/>
        </w:trPr>
        <w:tc>
          <w:tcPr>
            <w:tcW w:w="20" w:type="dxa"/>
            <w:vAlign w:val="bottom"/>
          </w:tcPr>
          <w:p>
            <w:pPr>
              <w:spacing w:after="0"/>
              <w:rPr>
                <w:sz w:val="24"/>
                <w:szCs w:val="24"/>
                <w:color w:val="auto"/>
              </w:rPr>
            </w:pPr>
          </w:p>
        </w:tc>
        <w:tc>
          <w:tcPr>
            <w:tcW w:w="1180" w:type="dxa"/>
            <w:vAlign w:val="bottom"/>
            <w:gridSpan w:val="7"/>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11†</w:t>
              </w:r>
            </w:hyperlink>
          </w:p>
        </w:tc>
        <w:tc>
          <w:tcPr>
            <w:tcW w:w="10080" w:type="dxa"/>
            <w:vAlign w:val="bottom"/>
            <w:gridSpan w:val="30"/>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Form of Restricted Stock Unit/Performance Unit Terms and Conditions (under the 2020 Equity and Incentive Plan) (Incorporated by reference to Exhibit 10.3 to the Quarterly</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8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Report on Form 10-Q for the quarter ended May 1, 2021)</w:t>
              </w:r>
            </w:hyperlink>
          </w:p>
        </w:tc>
        <w:tc>
          <w:tcPr>
            <w:tcW w:w="200" w:type="dxa"/>
            <w:vAlign w:val="bottom"/>
            <w:gridSpan w:val="8"/>
          </w:tcPr>
          <w:p>
            <w:pPr>
              <w:spacing w:after="0"/>
              <w:rPr>
                <w:sz w:val="10"/>
                <w:szCs w:val="10"/>
                <w:color w:val="auto"/>
              </w:rPr>
            </w:pPr>
          </w:p>
        </w:tc>
      </w:tr>
      <w:tr>
        <w:trPr>
          <w:trHeight w:val="81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Borders>
              <w:top w:val="single" w:sz="8" w:color="0000FF"/>
            </w:tcBorders>
            <w:gridSpan w:val="7"/>
          </w:tcPr>
          <w:p>
            <w:pPr>
              <w:spacing w:after="0"/>
              <w:rPr>
                <w:sz w:val="24"/>
                <w:szCs w:val="24"/>
                <w:color w:val="auto"/>
              </w:rPr>
            </w:pPr>
          </w:p>
        </w:tc>
        <w:tc>
          <w:tcPr>
            <w:tcW w:w="2360" w:type="dxa"/>
            <w:vAlign w:val="bottom"/>
          </w:tcPr>
          <w:p>
            <w:pPr>
              <w:jc w:val="right"/>
              <w:ind w:right="1034"/>
              <w:spacing w:after="0"/>
              <w:rPr>
                <w:sz w:val="20"/>
                <w:szCs w:val="20"/>
                <w:color w:val="auto"/>
              </w:rPr>
            </w:pPr>
            <w:r>
              <w:rPr>
                <w:rFonts w:ascii="Times New Roman" w:cs="Times New Roman" w:eastAsia="Times New Roman" w:hAnsi="Times New Roman"/>
                <w:sz w:val="14"/>
                <w:szCs w:val="14"/>
                <w:color w:val="auto"/>
              </w:rPr>
              <w:t>83</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100" w:type="dxa"/>
            <w:vAlign w:val="bottom"/>
            <w:gridSpan w:val="6"/>
          </w:tcPr>
          <w:p>
            <w:pPr>
              <w:ind w:left="80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10"/>
        </w:trPr>
        <w:tc>
          <w:tcPr>
            <w:tcW w:w="1200" w:type="dxa"/>
            <w:vAlign w:val="bottom"/>
            <w:gridSpan w:val="5"/>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hyperlink>
          </w:p>
        </w:tc>
        <w:tc>
          <w:tcPr>
            <w:tcW w:w="10040" w:type="dxa"/>
            <w:vAlign w:val="bottom"/>
            <w:gridSpan w:val="17"/>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Employment Agreement between Vera Bradley, Inc. and Jacqueline Ardrey dated September 20, 2022 (Incorporated by reference to Exhibit 10.1 to the Current Report on Form</w:t>
              </w:r>
            </w:hyperlink>
          </w:p>
        </w:tc>
      </w:tr>
      <w:tr>
        <w:trPr>
          <w:trHeight w:val="118"/>
        </w:trPr>
        <w:tc>
          <w:tcPr>
            <w:tcW w:w="2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90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8-K filed on September 20, 2022)</w:t>
              </w:r>
            </w:hyperlink>
          </w:p>
        </w:tc>
        <w:tc>
          <w:tcPr>
            <w:tcW w:w="804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98"/>
        </w:trPr>
        <w:tc>
          <w:tcPr>
            <w:tcW w:w="1200" w:type="dxa"/>
            <w:vAlign w:val="bottom"/>
            <w:gridSpan w:val="5"/>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13†</w:t>
              </w:r>
            </w:hyperlink>
          </w:p>
        </w:tc>
        <w:tc>
          <w:tcPr>
            <w:tcW w:w="10040" w:type="dxa"/>
            <w:vAlign w:val="bottom"/>
            <w:gridSpan w:val="17"/>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Retention Letter Agreement dated December 6, 2022 with John Enwright (Incorporated by reference to Exhibit 10.1 to the Quarterly Report on Form 10-Q for the quarter ended</w:t>
              </w:r>
            </w:hyperlink>
          </w:p>
        </w:tc>
      </w:tr>
      <w:tr>
        <w:trPr>
          <w:trHeight w:val="118"/>
        </w:trPr>
        <w:tc>
          <w:tcPr>
            <w:tcW w:w="2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02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October 29, 2022)</w:t>
              </w:r>
            </w:hyperlink>
          </w:p>
        </w:tc>
        <w:tc>
          <w:tcPr>
            <w:tcW w:w="8940" w:type="dxa"/>
            <w:vAlign w:val="bottom"/>
            <w:tcBorders>
              <w:top w:val="single" w:sz="8" w:color="0000FF"/>
            </w:tcBorders>
            <w:gridSpan w:val="13"/>
          </w:tcPr>
          <w:p>
            <w:pPr>
              <w:spacing w:after="0"/>
              <w:rPr>
                <w:sz w:val="10"/>
                <w:szCs w:val="10"/>
                <w:color w:val="auto"/>
              </w:rPr>
            </w:pPr>
          </w:p>
        </w:tc>
        <w:tc>
          <w:tcPr>
            <w:tcW w:w="60" w:type="dxa"/>
            <w:vAlign w:val="bottom"/>
          </w:tcPr>
          <w:p>
            <w:pPr>
              <w:spacing w:after="0"/>
              <w:rPr>
                <w:sz w:val="10"/>
                <w:szCs w:val="10"/>
                <w:color w:val="auto"/>
              </w:rPr>
            </w:pPr>
          </w:p>
        </w:tc>
      </w:tr>
      <w:tr>
        <w:trPr>
          <w:trHeight w:val="288"/>
        </w:trPr>
        <w:tc>
          <w:tcPr>
            <w:tcW w:w="1200" w:type="dxa"/>
            <w:vAlign w:val="bottom"/>
            <w:gridSpan w:val="5"/>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14†</w:t>
              </w:r>
            </w:hyperlink>
          </w:p>
        </w:tc>
        <w:tc>
          <w:tcPr>
            <w:tcW w:w="10040" w:type="dxa"/>
            <w:vAlign w:val="bottom"/>
            <w:gridSpan w:val="17"/>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Form of Restricted Stock Unit/Performance Unit Terms and Conditions Under the 2020 Equity and Incentive Plan (Revised) (Incorporated by reference to Exhibit 10.2 to the</w:t>
              </w:r>
            </w:hyperlink>
          </w:p>
        </w:tc>
      </w:tr>
      <w:tr>
        <w:trPr>
          <w:trHeight w:val="118"/>
        </w:trPr>
        <w:tc>
          <w:tcPr>
            <w:tcW w:w="2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392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Quarterly Report on Form 10-Q for the quarter ended April 30, 2022)</w:t>
              </w:r>
            </w:hyperlink>
          </w:p>
        </w:tc>
        <w:tc>
          <w:tcPr>
            <w:tcW w:w="5880" w:type="dxa"/>
            <w:vAlign w:val="bottom"/>
            <w:tcBorders>
              <w:top w:val="single" w:sz="8" w:color="0000FF"/>
            </w:tcBorders>
            <w:gridSpan w:val="3"/>
          </w:tcPr>
          <w:p>
            <w:pPr>
              <w:spacing w:after="0"/>
              <w:rPr>
                <w:sz w:val="10"/>
                <w:szCs w:val="10"/>
                <w:color w:val="auto"/>
              </w:rPr>
            </w:pPr>
          </w:p>
        </w:tc>
        <w:tc>
          <w:tcPr>
            <w:tcW w:w="220" w:type="dxa"/>
            <w:vAlign w:val="bottom"/>
            <w:gridSpan w:val="3"/>
          </w:tcPr>
          <w:p>
            <w:pPr>
              <w:spacing w:after="0"/>
              <w:rPr>
                <w:sz w:val="10"/>
                <w:szCs w:val="10"/>
                <w:color w:val="auto"/>
              </w:rPr>
            </w:pPr>
          </w:p>
        </w:tc>
      </w:tr>
      <w:tr>
        <w:trPr>
          <w:trHeight w:val="288"/>
        </w:trPr>
        <w:tc>
          <w:tcPr>
            <w:tcW w:w="1200" w:type="dxa"/>
            <w:vAlign w:val="bottom"/>
            <w:gridSpan w:val="5"/>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15†</w:t>
              </w:r>
            </w:hyperlink>
          </w:p>
        </w:tc>
        <w:tc>
          <w:tcPr>
            <w:tcW w:w="10040" w:type="dxa"/>
            <w:vAlign w:val="bottom"/>
            <w:gridSpan w:val="17"/>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Amended and Restated Vera Bradley, Inc. 2020 Equity and Incentive Plan (incorporated by reference to Appendix A to the registrant’s Definitive Proxy Statement filed April 21,</w:t>
              </w:r>
            </w:hyperlink>
          </w:p>
        </w:tc>
      </w:tr>
      <w:tr>
        <w:trPr>
          <w:trHeight w:val="118"/>
        </w:trPr>
        <w:tc>
          <w:tcPr>
            <w:tcW w:w="2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30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w w:val="92"/>
              </w:rPr>
            </w:pPr>
            <w:hyperlink r:id="rId143">
              <w:r>
                <w:rPr>
                  <w:rFonts w:ascii="Times New Roman" w:cs="Times New Roman" w:eastAsia="Times New Roman" w:hAnsi="Times New Roman"/>
                  <w:sz w:val="13"/>
                  <w:szCs w:val="13"/>
                  <w:color w:val="0000FF"/>
                  <w:w w:val="92"/>
                </w:rPr>
                <w:t>2023)</w:t>
              </w:r>
            </w:hyperlink>
          </w:p>
        </w:tc>
        <w:tc>
          <w:tcPr>
            <w:tcW w:w="7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4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552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r>
      <w:tr>
        <w:trPr>
          <w:trHeight w:val="288"/>
        </w:trPr>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16*</w:t>
            </w: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Fourth Amendment to Credit Agreement dated March 11, 2025 among Vera Bradley Designs, Inc., the other borrowers party thereto, JP Morgan Chase Bank, N.A., and the</w:t>
            </w:r>
          </w:p>
        </w:tc>
      </w:tr>
      <w:tr>
        <w:trPr>
          <w:trHeight w:val="118"/>
        </w:trPr>
        <w:tc>
          <w:tcPr>
            <w:tcW w:w="2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Borders>
              <w:top w:val="single" w:sz="8" w:color="0000FF"/>
              <w:bottom w:val="single" w:sz="8" w:color="0000FF"/>
            </w:tcBorders>
            <w:gridSpan w:val="4"/>
          </w:tcPr>
          <w:p>
            <w:pPr>
              <w:spacing w:after="0" w:line="118" w:lineRule="exact"/>
              <w:rPr>
                <w:sz w:val="20"/>
                <w:szCs w:val="20"/>
                <w:color w:val="auto"/>
              </w:rPr>
            </w:pPr>
            <w:r>
              <w:rPr>
                <w:rFonts w:ascii="Times New Roman" w:cs="Times New Roman" w:eastAsia="Times New Roman" w:hAnsi="Times New Roman"/>
                <w:sz w:val="13"/>
                <w:szCs w:val="13"/>
                <w:color w:val="0000FF"/>
              </w:rPr>
              <w:t>lenders party thereto</w:t>
            </w:r>
          </w:p>
        </w:tc>
        <w:tc>
          <w:tcPr>
            <w:tcW w:w="8560" w:type="dxa"/>
            <w:vAlign w:val="bottom"/>
            <w:tcBorders>
              <w:top w:val="single" w:sz="8" w:color="0000FF"/>
            </w:tcBorders>
            <w:gridSpan w:val="9"/>
          </w:tcPr>
          <w:p>
            <w:pPr>
              <w:spacing w:after="0"/>
              <w:rPr>
                <w:sz w:val="10"/>
                <w:szCs w:val="10"/>
                <w:color w:val="auto"/>
              </w:rPr>
            </w:pPr>
          </w:p>
        </w:tc>
        <w:tc>
          <w:tcPr>
            <w:tcW w:w="320" w:type="dxa"/>
            <w:vAlign w:val="bottom"/>
            <w:gridSpan w:val="4"/>
          </w:tcPr>
          <w:p>
            <w:pPr>
              <w:spacing w:after="0"/>
              <w:rPr>
                <w:sz w:val="10"/>
                <w:szCs w:val="10"/>
                <w:color w:val="auto"/>
              </w:rPr>
            </w:pPr>
          </w:p>
        </w:tc>
      </w:tr>
      <w:tr>
        <w:trPr>
          <w:trHeight w:val="288"/>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0000FF"/>
                <w:w w:val="95"/>
              </w:rPr>
              <w:t>19*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Vera Bradley Inc. Insider Trading Policy</w:t>
            </w:r>
          </w:p>
        </w:tc>
      </w:tr>
      <w:tr>
        <w:trPr>
          <w:trHeight w:val="20"/>
        </w:trPr>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r>
      <w:tr>
        <w:trPr>
          <w:trHeight w:val="277"/>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5"/>
              </w:rPr>
              <w:t>21.</w:t>
            </w:r>
            <w:r>
              <w:rPr>
                <w:rFonts w:ascii="Times New Roman" w:cs="Times New Roman" w:eastAsia="Times New Roman" w:hAnsi="Times New Roman"/>
                <w:sz w:val="14"/>
                <w:szCs w:val="14"/>
                <w:u w:val="single" w:color="auto"/>
                <w:color w:val="0000FF"/>
                <w:w w:val="95"/>
              </w:rPr>
              <w:t>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Subsidiaries of Vera Bradley, Inc.</w:t>
            </w:r>
          </w:p>
        </w:tc>
      </w:tr>
      <w:tr>
        <w:trPr>
          <w:trHeight w:val="20"/>
        </w:trPr>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r>
      <w:tr>
        <w:trPr>
          <w:trHeight w:val="288"/>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5"/>
              </w:rPr>
              <w:t>23.</w:t>
            </w:r>
            <w:r>
              <w:rPr>
                <w:rFonts w:ascii="Times New Roman" w:cs="Times New Roman" w:eastAsia="Times New Roman" w:hAnsi="Times New Roman"/>
                <w:sz w:val="14"/>
                <w:szCs w:val="14"/>
                <w:u w:val="single" w:color="auto"/>
                <w:color w:val="0000FF"/>
                <w:w w:val="95"/>
              </w:rPr>
              <w:t>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Consent of Deloitte &amp; Touche LLP</w:t>
            </w:r>
          </w:p>
        </w:tc>
      </w:tr>
      <w:tr>
        <w:trPr>
          <w:trHeight w:val="20"/>
        </w:trPr>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r>
      <w:tr>
        <w:trPr>
          <w:trHeight w:val="288"/>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5"/>
              </w:rPr>
              <w:t>31.</w:t>
            </w:r>
            <w:r>
              <w:rPr>
                <w:rFonts w:ascii="Times New Roman" w:cs="Times New Roman" w:eastAsia="Times New Roman" w:hAnsi="Times New Roman"/>
                <w:sz w:val="14"/>
                <w:szCs w:val="14"/>
                <w:u w:val="single" w:color="auto"/>
                <w:color w:val="0000FF"/>
                <w:w w:val="95"/>
              </w:rPr>
              <w:t>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Rule 13a-14(a)/15d-14(a) Certification of Chief Executive Officer</w:t>
            </w:r>
          </w:p>
        </w:tc>
      </w:tr>
      <w:tr>
        <w:trPr>
          <w:trHeight w:val="20"/>
        </w:trPr>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5760" w:type="dxa"/>
            <w:vAlign w:val="bottom"/>
            <w:tcBorders>
              <w:left w:val="single" w:sz="8" w:color="0000FF"/>
            </w:tcBorders>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r>
      <w:tr>
        <w:trPr>
          <w:trHeight w:val="288"/>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5"/>
              </w:rPr>
              <w:t>31.</w:t>
            </w:r>
            <w:r>
              <w:rPr>
                <w:rFonts w:ascii="Times New Roman" w:cs="Times New Roman" w:eastAsia="Times New Roman" w:hAnsi="Times New Roman"/>
                <w:sz w:val="14"/>
                <w:szCs w:val="14"/>
                <w:u w:val="single" w:color="auto"/>
                <w:color w:val="0000FF"/>
                <w:w w:val="95"/>
              </w:rPr>
              <w:t>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Rule 13a-14(a)/15d-14(a) Certification of Chief Financial Officer</w:t>
            </w:r>
          </w:p>
        </w:tc>
      </w:tr>
      <w:tr>
        <w:trPr>
          <w:trHeight w:val="20"/>
        </w:trPr>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r>
      <w:tr>
        <w:trPr>
          <w:trHeight w:val="288"/>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5"/>
              </w:rPr>
              <w:t>32.</w:t>
            </w:r>
            <w:r>
              <w:rPr>
                <w:rFonts w:ascii="Times New Roman" w:cs="Times New Roman" w:eastAsia="Times New Roman" w:hAnsi="Times New Roman"/>
                <w:sz w:val="14"/>
                <w:szCs w:val="14"/>
                <w:u w:val="single" w:color="auto"/>
                <w:color w:val="0000FF"/>
                <w:w w:val="95"/>
              </w:rPr>
              <w:t>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Section 1350 Certifications</w:t>
            </w:r>
          </w:p>
        </w:tc>
      </w:tr>
      <w:tr>
        <w:trPr>
          <w:trHeight w:val="20"/>
        </w:trPr>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7920" w:type="dxa"/>
            <w:vAlign w:val="bottom"/>
            <w:gridSpan w:val="7"/>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r>
      <w:tr>
        <w:trPr>
          <w:trHeight w:val="288"/>
        </w:trPr>
        <w:tc>
          <w:tcPr>
            <w:tcW w:w="260" w:type="dxa"/>
            <w:vAlign w:val="bottom"/>
            <w:gridSpan w:val="2"/>
          </w:tcPr>
          <w:p>
            <w:pPr>
              <w:spacing w:after="0"/>
              <w:rPr>
                <w:rFonts w:ascii="Times New Roman" w:cs="Times New Roman" w:eastAsia="Times New Roman" w:hAnsi="Times New Roman"/>
                <w:sz w:val="14"/>
                <w:szCs w:val="14"/>
                <w:color w:val="0000FF"/>
                <w:w w:val="97"/>
              </w:rPr>
            </w:pPr>
            <w:hyperlink r:id="rId144">
              <w:r>
                <w:rPr>
                  <w:rFonts w:ascii="Times New Roman" w:cs="Times New Roman" w:eastAsia="Times New Roman" w:hAnsi="Times New Roman"/>
                  <w:sz w:val="14"/>
                  <w:szCs w:val="14"/>
                  <w:color w:val="0000FF"/>
                  <w:w w:val="97"/>
                </w:rPr>
                <w:t>97.</w:t>
              </w:r>
              <w:r>
                <w:rPr>
                  <w:rFonts w:ascii="Times New Roman" w:cs="Times New Roman" w:eastAsia="Times New Roman" w:hAnsi="Times New Roman"/>
                  <w:sz w:val="14"/>
                  <w:szCs w:val="14"/>
                  <w:u w:val="single" w:color="auto"/>
                  <w:color w:val="0000FF"/>
                  <w:w w:val="97"/>
                </w:rPr>
                <w:t>1</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40" w:type="dxa"/>
            <w:vAlign w:val="bottom"/>
            <w:gridSpan w:val="17"/>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Incentive Compensation Recoupment Policy (Incorporated by reference to Exhibit 97.1 to the Annual Report on Form 10-K for the fiscal year ended February 3, 2024)</w:t>
              </w:r>
            </w:hyperlink>
          </w:p>
        </w:tc>
      </w:tr>
      <w:tr>
        <w:trPr>
          <w:trHeight w:val="20"/>
        </w:trPr>
        <w:tc>
          <w:tcPr>
            <w:tcW w:w="12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40" w:type="dxa"/>
            <w:vAlign w:val="bottom"/>
            <w:gridSpan w:val="11"/>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r>
      <w:tr>
        <w:trPr>
          <w:trHeight w:val="319"/>
        </w:trPr>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101.INS</w:t>
            </w: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Instance Document (the instance document does not appear in the Interactive Data File because its XBRL tags are embedded within the Inline XBRL document)</w:t>
            </w:r>
          </w:p>
        </w:tc>
      </w:tr>
      <w:tr>
        <w:trPr>
          <w:trHeight w:val="223"/>
        </w:trPr>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101.SCH</w:t>
            </w: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23"/>
        </w:trPr>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101.CAL</w:t>
            </w: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23"/>
        </w:trPr>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101.LAB</w:t>
            </w: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23"/>
        </w:trPr>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101.PRE</w:t>
            </w: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23"/>
        </w:trPr>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101.DEF</w:t>
            </w: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2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104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39" w:lineRule="exact"/>
        <w:rPr>
          <w:sz w:val="20"/>
          <w:szCs w:val="20"/>
          <w:color w:val="auto"/>
        </w:rPr>
      </w:pPr>
    </w:p>
    <w:p>
      <w:pPr>
        <w:ind w:left="1220" w:right="4100" w:hanging="1190"/>
        <w:spacing w:after="0" w:line="239" w:lineRule="auto"/>
        <w:tabs>
          <w:tab w:leader="none" w:pos="1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has been excluded from this exhibit because it is not material and would likely cause competitive harm to the registrant if publicly disclosed.</w:t>
      </w:r>
    </w:p>
    <w:p>
      <w:pPr>
        <w:spacing w:after="0" w:line="51" w:lineRule="exact"/>
        <w:rPr>
          <w:sz w:val="20"/>
          <w:szCs w:val="20"/>
          <w:color w:val="auto"/>
        </w:rPr>
      </w:pPr>
    </w:p>
    <w:p>
      <w:pPr>
        <w:ind w:left="1220" w:hanging="1190"/>
        <w:spacing w:after="0"/>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62" w:lineRule="exact"/>
        <w:rPr>
          <w:sz w:val="20"/>
          <w:szCs w:val="20"/>
          <w:color w:val="auto"/>
        </w:rPr>
      </w:pPr>
    </w:p>
    <w:p>
      <w:pPr>
        <w:ind w:left="1220" w:hanging="1190"/>
        <w:spacing w:after="0"/>
        <w:tabs>
          <w:tab w:leader="none" w:pos="1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management contract or compensation plan, contract or arrangement.</w:t>
      </w:r>
    </w:p>
    <w:p>
      <w:pPr>
        <w:spacing w:after="0" w:line="12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Form 10-K Summary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as amended, the registrant has duly caused this report to be signed on its behalf by the undersigned, thereunto duly authorized, on March 28, 2025.</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Vera Bradley, Inc.</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Michael Schwindle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3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Michael Schwindle and Jacqueline Ardrey,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0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Registrant and in the capacities indicated on March 28, 2025.</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u w:val="single" w:color="auto"/>
          <w:color w:val="auto"/>
        </w:rPr>
        <w:t>Signature</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09245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Jacqueline Ardrey</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309245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Michael Schwindle</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Barbara Bradley Baekgaard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09245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Barbara Bradley Baekgaard</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Ian Bickley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09245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Ian Bickley</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Kristina Cashman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09245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Kristina Cashman</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Robert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09245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Robert J. Hall</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Andrew Meslow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09245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Andrew Meslow</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Frances P.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09245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Frances P. Philip</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Jessica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09245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Jessica Rodriguez</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Carrie M. Tharp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09245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Carrie M. Tharp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u w:val="single" w:color="auto"/>
          <w:color w:val="auto"/>
        </w:rPr>
        <w:t>Title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 and Chief Executive Officer (principal executive officer)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 (principal accounting officer)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2">
            <w:col w:w="4260" w:space="720"/>
            <w:col w:w="5179"/>
          </w:cols>
          <w:pgMar w:left="300" w:top="123" w:right="1440" w:bottom="1440"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5880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05650" cy="558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959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7105650" cy="5695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23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7105650" cy="570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7023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7105650" cy="7023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08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710565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26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7105650"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4"/>
          <w:szCs w:val="14"/>
          <w:b w:val="1"/>
          <w:bCs w:val="1"/>
          <w:color w:val="auto"/>
        </w:rPr>
        <w:t>Exhibit 19</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VERA BRADLEY,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INSIDER TRADING POLICY</w:t>
      </w:r>
    </w:p>
    <w:p>
      <w:pPr>
        <w:spacing w:after="0" w:line="2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Vera Bradley,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has adopted this Insider Trading Policy (this “</w:t>
      </w:r>
      <w:r>
        <w:rPr>
          <w:rFonts w:ascii="Times New Roman" w:cs="Times New Roman" w:eastAsia="Times New Roman" w:hAnsi="Times New Roman"/>
          <w:sz w:val="14"/>
          <w:szCs w:val="14"/>
          <w:u w:val="single" w:color="auto"/>
          <w:color w:val="auto"/>
        </w:rPr>
        <w:t>Policy</w:t>
      </w:r>
      <w:r>
        <w:rPr>
          <w:rFonts w:ascii="Times New Roman" w:cs="Times New Roman" w:eastAsia="Times New Roman" w:hAnsi="Times New Roman"/>
          <w:sz w:val="14"/>
          <w:szCs w:val="14"/>
          <w:color w:val="auto"/>
        </w:rPr>
        <w:t>”) both to satisfy its obligation to prevent insider trading and to help you avoid the severe consequences associated with violations of insider trading laws and other relevant securities laws. This Policy also is intended to prevent even the appearance of improper conduct on the part of anyone employed by or associated with the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Scope of Policy</w:t>
      </w:r>
    </w:p>
    <w:p>
      <w:pPr>
        <w:spacing w:after="0" w:line="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u w:val="single" w:color="auto"/>
          <w:color w:val="auto"/>
        </w:rPr>
        <w:t>Persons Covered</w:t>
      </w:r>
      <w:r>
        <w:rPr>
          <w:rFonts w:ascii="Times New Roman" w:cs="Times New Roman" w:eastAsia="Times New Roman" w:hAnsi="Times New Roman"/>
          <w:sz w:val="14"/>
          <w:szCs w:val="14"/>
          <w:color w:val="auto"/>
        </w:rPr>
        <w:t>. This Policy applies to all directors, officers, employees, agents and consultants of the Company and its subsidiaries and affiliated companies, as well as to any other outsiders who the Company’s Chief Financial Officer or General Counsel may designate because they have access to material nonpublic information concerning the Company. Unless the context clearly requires otherwise, in this Policy, references to “you” include:</w:t>
      </w:r>
    </w:p>
    <w:p>
      <w:pPr>
        <w:spacing w:after="0" w:line="46" w:lineRule="exact"/>
        <w:rPr>
          <w:sz w:val="20"/>
          <w:szCs w:val="20"/>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your family members who reside with you;</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anyone else who lives in your household;</w:t>
      </w:r>
    </w:p>
    <w:p>
      <w:pPr>
        <w:spacing w:after="0" w:line="83"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family members who do not live in your household but whose transactions in securities are directed by you or are subject to your influence or control (such as parents or children who consult with you before they trade in securities);</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to whom you have disclosed material nonpublic information;</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acting on your behalf or on behalf of any individual listed above;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entity which you control or that is controlled by any person listed above.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 are responsible for making sure that the purchase or sale of any security covered by this Policy by any such person or entity complies with this Policy.</w:t>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u w:val="single" w:color="auto"/>
          <w:color w:val="auto"/>
        </w:rPr>
        <w:t>Securities Covered</w:t>
      </w:r>
      <w:r>
        <w:rPr>
          <w:rFonts w:ascii="Times New Roman" w:cs="Times New Roman" w:eastAsia="Times New Roman" w:hAnsi="Times New Roman"/>
          <w:sz w:val="14"/>
          <w:szCs w:val="14"/>
          <w:color w:val="auto"/>
        </w:rPr>
        <w:t>. Although it is most likely that the “material nonpublic information” you possess will relate to the common stock of the Company, the Company may from time to time issue other securities that are publicly traded and, therefore, subject to this Policy. In addition, this Policy applies to purchases and sales of the securities of other entities, including customers or suppliers of the Company and entities with which the Company may be negotiating major transactions (such as an acquisition, investment or sale of assets). Information that is not material to the Company may nevertheless be material to those entities.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Statement of Policy</w:t>
      </w:r>
    </w:p>
    <w:p>
      <w:pPr>
        <w:spacing w:after="0" w:line="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u w:val="single" w:color="auto"/>
          <w:color w:val="auto"/>
        </w:rPr>
        <w:t>No Trading if in Possession of Material Nonpublic Information</w:t>
      </w:r>
      <w:r>
        <w:rPr>
          <w:rFonts w:ascii="Times New Roman" w:cs="Times New Roman" w:eastAsia="Times New Roman" w:hAnsi="Times New Roman"/>
          <w:sz w:val="14"/>
          <w:szCs w:val="14"/>
          <w:color w:val="auto"/>
        </w:rPr>
        <w:t>. If you possess “material nonpublic information” relating to the Company, its subsidiaries or any other entity, you may not (a) purchase or sell securities of the Company or such other entity, (b) direct any other person or entity to purchase or sell such securities, (c) disclose the information to anyone outside the Company, or (d) provide trading advice regarding securities of the Company or such other entity</w:t>
      </w:r>
    </w:p>
    <w:p>
      <w:pPr>
        <w:spacing w:after="0" w:line="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u w:val="single" w:color="auto"/>
          <w:color w:val="auto"/>
        </w:rPr>
        <w:t>Material Nonpublic information</w:t>
      </w:r>
      <w:r>
        <w:rPr>
          <w:rFonts w:ascii="Times New Roman" w:cs="Times New Roman" w:eastAsia="Times New Roman" w:hAnsi="Times New Roman"/>
          <w:sz w:val="14"/>
          <w:szCs w:val="14"/>
          <w:color w:val="auto"/>
        </w:rPr>
        <w:t>. “Material nonpublic information” is information that is not available to the public at large that could affect the market price of a security and which a reasonable investor would regard as important in deciding whether to buy, sell or hold the security. Either positive or negative information may be material. Because trading that receives scrutiny will be evaluated after the fact with the benefit of hindsight, questions concerning the materiality of particular information should be resolved in favor of materiality, and trading should be avoided if such information is nonpublic. If you are not sure whether nonpublic information constitutes material information, you should either consult with the Company’s Chief Financial Officer or General Counsel or assume the information is material nonpublic information and treat it as confidential. Common examples of material information include, but are not limited to:</w:t>
      </w:r>
    </w:p>
    <w:p>
      <w:pPr>
        <w:spacing w:after="0" w:line="56" w:lineRule="exact"/>
        <w:rPr>
          <w:sz w:val="20"/>
          <w:szCs w:val="20"/>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forecasts, estimates or projections of earnings or results of operations for current or future periods;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news of a pending or proposed merger, acquisition, tender offer, divestiture or disposition of significant assets;</w:t>
      </w:r>
    </w:p>
    <w:p>
      <w:pPr>
        <w:sectPr>
          <w:pgSz w:w="11900" w:h="16838" w:orient="portrait"/>
          <w:cols w:equalWidth="0" w:num="1">
            <w:col w:w="11280"/>
          </w:cols>
          <w:pgMar w:left="300" w:top="1141" w:right="319" w:bottom="1440" w:gutter="0" w:footer="0" w:header="0"/>
        </w:sectPr>
      </w:pPr>
    </w:p>
    <w:bookmarkStart w:id="181" w:name="page182"/>
    <w:bookmarkEnd w:id="181"/>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dividend policies;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threatened major litigation, or the resolution of such litigation;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 events regarding securities, including the declaration of a stock split or the offering of additional securities (debt or equity);</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major contracts, orders, suppliers, customers or finance sources, or the loss thereof;</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management;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liquidity problems; or</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new products or services.</w:t>
      </w:r>
    </w:p>
    <w:p>
      <w:pPr>
        <w:spacing w:after="0" w:line="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u w:val="single" w:color="auto"/>
          <w:color w:val="auto"/>
        </w:rPr>
        <w:t>Public Information</w:t>
      </w:r>
      <w:r>
        <w:rPr>
          <w:rFonts w:ascii="Times New Roman" w:cs="Times New Roman" w:eastAsia="Times New Roman" w:hAnsi="Times New Roman"/>
          <w:sz w:val="14"/>
          <w:szCs w:val="14"/>
          <w:color w:val="auto"/>
        </w:rPr>
        <w:t xml:space="preserve">. Information is considered to be available to the public only when it has been released to the public through appropriate channels (for example, by means of a press release, a publicly accessibly conference call or a governmental filing) </w:t>
      </w:r>
      <w:r>
        <w:rPr>
          <w:rFonts w:ascii="Times New Roman" w:cs="Times New Roman" w:eastAsia="Times New Roman" w:hAnsi="Times New Roman"/>
          <w:sz w:val="14"/>
          <w:szCs w:val="14"/>
          <w:u w:val="single" w:color="auto"/>
          <w:color w:val="auto"/>
        </w:rPr>
        <w:t>and</w:t>
      </w:r>
      <w:r>
        <w:rPr>
          <w:rFonts w:ascii="Times New Roman" w:cs="Times New Roman" w:eastAsia="Times New Roman" w:hAnsi="Times New Roman"/>
          <w:sz w:val="14"/>
          <w:szCs w:val="14"/>
          <w:color w:val="auto"/>
        </w:rPr>
        <w:t xml:space="preserve"> enough time has elapsed to permit the investment market to absorb and evaluate the information. As a general rule, information is considered absorbed and evaluated after the completion of the second trading day after the information is released. As with questions of materiality, if you are not sure whether information is considered public, you should either consult with the Company’s Chief Financial Officer or General Counsel or assume the information is non-public and treat it as confidential.</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u w:val="single" w:color="auto"/>
          <w:color w:val="auto"/>
        </w:rPr>
        <w:t>Improper Disclosure</w:t>
      </w:r>
      <w:r>
        <w:rPr>
          <w:rFonts w:ascii="Times New Roman" w:cs="Times New Roman" w:eastAsia="Times New Roman" w:hAnsi="Times New Roman"/>
          <w:sz w:val="14"/>
          <w:szCs w:val="14"/>
          <w:color w:val="auto"/>
        </w:rPr>
        <w:t>. The Company has authorized only certain individuals to publicly release material nonpublic information. Unless you are explicitly authorized to do so, you should refrain from discussing material nonpublic information with anyone outside the company. If such information is improperly disclosed to outsiders, the Company may be forced to release it publicly. For example, an improper disclosure which results in a news story about a pending acquisition may require public release of plans that could upset the transaction. Therefore, you should avoid discussing such information in public and should ensure that documents containing sensitive information about the Company are secure and are not distributed improperly.</w:t>
      </w:r>
    </w:p>
    <w:p>
      <w:pPr>
        <w:spacing w:after="0" w:line="4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4"/>
          <w:szCs w:val="14"/>
          <w:u w:val="single" w:color="auto"/>
          <w:color w:val="auto"/>
        </w:rPr>
        <w:t>Violations</w:t>
      </w:r>
      <w:r>
        <w:rPr>
          <w:rFonts w:ascii="Times New Roman" w:cs="Times New Roman" w:eastAsia="Times New Roman" w:hAnsi="Times New Roman"/>
          <w:sz w:val="14"/>
          <w:szCs w:val="14"/>
          <w:color w:val="auto"/>
        </w:rPr>
        <w:t>. If you violate this Policy or any federal or state laws governing insider trading, or know of any such violation by any other person, you must report the violation immediately to the Company’s Chief Financial Officer or General Counsel. Upon learning of any such violation, the Company’s Chief Financial Officer and General Counsel, in consultation with the Company’s President and legal counsel, will determine whether the Company should release any material nonpublic information, or whether the Company should report the violation to the U.S. Securities &amp; Exchange Commission (the “SEC”) or other appropriate governmental authority. Failure to observe this Policy could lead to legal problems for you, as well as for the Company. In addition, violation of this Policy or federal or state insider trading by any director, officer, employee, consultant or agent, or by the parties they are responsible for under this Policy, may subject the director to dismissal proceedings, the officer or employee to disciplinary action by the Company, up to and including termination, and the agent or consultant to termination of his or her service relationship.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Post-Termination Transactions</w:t>
      </w:r>
    </w:p>
    <w:p>
      <w:pPr>
        <w:spacing w:after="0" w:line="85"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4"/>
          <w:szCs w:val="14"/>
          <w:color w:val="auto"/>
        </w:rPr>
        <w:t>Please be advised that insider trading laws remain applicable even after your employment or service relationship with the Company and/or its subsidiaries and affiliated companies terminates. In particular, if you are aware or become aware of material, nonpublic information regarding the Company at the end of your employment or service relationship or subsequent thereto, you should not trade in Company securities until that information has been publicly released. The Company requires your compliance with this Policy and federal and state securities laws during the term of your engagement with the Company, and expects your continued compliance with federal and state securities laws thereafter.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Black Out Periods</w:t>
      </w:r>
    </w:p>
    <w:p>
      <w:pPr>
        <w:spacing w:after="0" w:line="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 “black out” period is a period during which you may not execute transactions in Company securities. Please bear in mind that even if a black out period is not in effect, at no time may you trade in Company securities if you are aware of material nonpublic information about the Company. For example, if the Company issues a quarterly earnings release and you are aware of other material nonpublic information not disclosed in the earnings release, you may not trade in Company securities.</w:t>
      </w:r>
    </w:p>
    <w:p>
      <w:pPr>
        <w:sectPr>
          <w:pgSz w:w="11900" w:h="16838" w:orient="portrait"/>
          <w:cols w:equalWidth="0" w:num="1">
            <w:col w:w="11280"/>
          </w:cols>
          <w:pgMar w:left="300" w:top="1228" w:right="319" w:bottom="1440" w:gutter="0" w:footer="0" w:header="0"/>
        </w:sectPr>
      </w:pPr>
    </w:p>
    <w:bookmarkStart w:id="182" w:name="page183"/>
    <w:bookmarkEnd w:id="182"/>
    <w:p>
      <w:pPr>
        <w:jc w:val="both"/>
        <w:spacing w:after="0" w:line="250" w:lineRule="auto"/>
        <w:rPr>
          <w:sz w:val="20"/>
          <w:szCs w:val="20"/>
          <w:color w:val="auto"/>
        </w:rPr>
      </w:pPr>
      <w:r>
        <w:rPr>
          <w:rFonts w:ascii="Times New Roman" w:cs="Times New Roman" w:eastAsia="Times New Roman" w:hAnsi="Times New Roman"/>
          <w:sz w:val="14"/>
          <w:szCs w:val="14"/>
          <w:u w:val="single" w:color="auto"/>
          <w:color w:val="auto"/>
        </w:rPr>
        <w:t>Earnings Black Out Periods</w:t>
      </w:r>
      <w:r>
        <w:rPr>
          <w:rFonts w:ascii="Times New Roman" w:cs="Times New Roman" w:eastAsia="Times New Roman" w:hAnsi="Times New Roman"/>
          <w:sz w:val="14"/>
          <w:szCs w:val="14"/>
          <w:color w:val="auto"/>
        </w:rPr>
        <w:t>. You may not buy or sell Company securities during the period beginning four weeks prior to the last day of each fiscal quarter or fiscal year of the Company and ending at the opening of the trading market on the first full business day following the public release of the financial results for such fiscal quarter or year (for example, by means of a press release, a publicly accessibly conference call or a governmental filing). For example, the fourth quarter of fiscal 2020 ends on January 31, 2020, and the Company issues its earnings release for that quarter on March 11, 2020 prior to the opening of markets. Therefore, employees are prohibited from purchasing or selling the Company’s common stock between January 4, 2020 and March 12, 2020 (except selling pursuant to a Company-approved 10b5-1 plan as described below). In accordance with this Policy, the Company will from time to time advise interested parties of the expected timing of its earnings releases.</w:t>
      </w:r>
    </w:p>
    <w:p>
      <w:pPr>
        <w:spacing w:after="0" w:line="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u w:val="single" w:color="auto"/>
          <w:color w:val="auto"/>
        </w:rPr>
        <w:t>Event-Specific Black Out Periods</w:t>
      </w:r>
      <w:r>
        <w:rPr>
          <w:rFonts w:ascii="Times New Roman" w:cs="Times New Roman" w:eastAsia="Times New Roman" w:hAnsi="Times New Roman"/>
          <w:sz w:val="14"/>
          <w:szCs w:val="14"/>
          <w:color w:val="auto"/>
        </w:rPr>
        <w:t>. The Company reserves the right to impose trading black out periods from time to time when, in the judgment of the Company, a black out period is warranted. A black out period may be imposed for any reason, including the Company’s involvement in a material transaction, the anticipated issuance of interim earnings guidance or other material public announcements. The existence of an event-specific black out period may not be announced, or may be announced only to those who are aware of the transaction or event giving rise to the black out period. If you are made aware of the existence of an event-specific black out period, you should not disclose the existence of such black out period to any other person. Individuals that are subject to event-specific black out periods will be contacted when these periods are instituted from time to time.</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u w:val="single" w:color="auto"/>
          <w:color w:val="auto"/>
        </w:rPr>
        <w:t>Pension Fund Black Out Periods</w:t>
      </w:r>
      <w:r>
        <w:rPr>
          <w:rFonts w:ascii="Times New Roman" w:cs="Times New Roman" w:eastAsia="Times New Roman" w:hAnsi="Times New Roman"/>
          <w:sz w:val="14"/>
          <w:szCs w:val="14"/>
          <w:color w:val="auto"/>
        </w:rPr>
        <w:t>. The Sarbanes-Oxley Act of 2002 prohibits all purchases, sales or transfers of company securities by directors and officers of the Company during a “pension fund black out period.” A pension fund black out period exists whenever 50% or more of the participants in a Company benefit plan are unable to conduct transactions in their Company common stock accounts for more than three (3) consecutive business days. These black out periods typically occur when there is a change in the benefit plan’s trustee, record keeper or investment manager. Individuals that are subject to these black out periods will be contacted when these periods are instituted from time to time.</w:t>
      </w:r>
    </w:p>
    <w:p>
      <w:pPr>
        <w:spacing w:after="0" w:line="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u w:val="single" w:color="auto"/>
          <w:color w:val="auto"/>
        </w:rPr>
        <w:t>Hardship Exceptions</w:t>
      </w:r>
      <w:r>
        <w:rPr>
          <w:rFonts w:ascii="Times New Roman" w:cs="Times New Roman" w:eastAsia="Times New Roman" w:hAnsi="Times New Roman"/>
          <w:sz w:val="14"/>
          <w:szCs w:val="14"/>
          <w:color w:val="auto"/>
        </w:rPr>
        <w:t>. If you have an unexpected and urgent need to sell Company securities in order to generate cash you may, in appropriate circumstances, be permitted to sell Company securities during a black out period. Hardship exceptions may be granted only by the Chief Financial Officer and must be requested at least two (2) business days in advance of the proposed transaction.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Other Trading Restrictions</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considers it improper and inappropriate for you to engage in short-term or speculative transactions in Company securities or in other transactions in Company securities that may lead to inadvertent violations of relevant securities laws. Accordingly, your transactions in Company securities are subject to the following guidance.</w:t>
      </w:r>
    </w:p>
    <w:p>
      <w:pPr>
        <w:spacing w:after="0" w:line="50"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u w:val="single" w:color="auto"/>
          <w:color w:val="auto"/>
        </w:rPr>
        <w:t>Short-Term Trading</w:t>
      </w:r>
      <w:r>
        <w:rPr>
          <w:rFonts w:ascii="Times New Roman" w:cs="Times New Roman" w:eastAsia="Times New Roman" w:hAnsi="Times New Roman"/>
          <w:sz w:val="14"/>
          <w:szCs w:val="14"/>
          <w:color w:val="auto"/>
        </w:rPr>
        <w:t>. You may not purchase Company securities and then sell any Company securities of the same class for at least six months after the purchase; or sell Company securities and then purchase any Company securities of the same class for at least six months after the sale.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Short Sales</w:t>
      </w:r>
      <w:r>
        <w:rPr>
          <w:rFonts w:ascii="Times New Roman" w:cs="Times New Roman" w:eastAsia="Times New Roman" w:hAnsi="Times New Roman"/>
          <w:sz w:val="14"/>
          <w:szCs w:val="14"/>
          <w:color w:val="auto"/>
        </w:rPr>
        <w:t>. You may not engage in short sales of Company securities (sales of securities that are not then owned), including a “sale against the box” (a sale with delayed delivery).</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u w:val="single" w:color="auto"/>
          <w:color w:val="auto"/>
        </w:rPr>
        <w:t>Publicly Traded Options</w:t>
      </w:r>
      <w:r>
        <w:rPr>
          <w:rFonts w:ascii="Times New Roman" w:cs="Times New Roman" w:eastAsia="Times New Roman" w:hAnsi="Times New Roman"/>
          <w:sz w:val="14"/>
          <w:szCs w:val="14"/>
          <w:color w:val="auto"/>
        </w:rPr>
        <w:t>. You may not engage in transactions in publicly traded options on Company securities (such as puts, calls and other derivative securities) on an exchange or in any other organized market.</w:t>
      </w:r>
    </w:p>
    <w:p>
      <w:pPr>
        <w:spacing w:after="0" w:line="4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u w:val="single" w:color="auto"/>
          <w:color w:val="auto"/>
        </w:rPr>
        <w:t>Hedging</w:t>
      </w:r>
      <w:r>
        <w:rPr>
          <w:rFonts w:ascii="Times New Roman" w:cs="Times New Roman" w:eastAsia="Times New Roman" w:hAnsi="Times New Roman"/>
          <w:sz w:val="14"/>
          <w:szCs w:val="14"/>
          <w:color w:val="auto"/>
        </w:rPr>
        <w:t>. You may not enter into hedging (making an investment to reduce the risk of adverse price movements or to offset potential losses/gains in a Company security) or other monetization transactions or similar arrangements with respect to Company securities.</w:t>
      </w:r>
    </w:p>
    <w:p>
      <w:pPr>
        <w:spacing w:after="0" w:line="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u w:val="single" w:color="auto"/>
          <w:color w:val="auto"/>
        </w:rPr>
        <w:t>Standing Orders</w:t>
      </w:r>
      <w:r>
        <w:rPr>
          <w:rFonts w:ascii="Times New Roman" w:cs="Times New Roman" w:eastAsia="Times New Roman" w:hAnsi="Times New Roman"/>
          <w:sz w:val="14"/>
          <w:szCs w:val="14"/>
          <w:color w:val="auto"/>
        </w:rPr>
        <w:t>. Standing orders should be used only for a very brief period of time. A standing order placed with a broker to sell or purchase stock at a specific price leaves you with no control over the timing of the transaction. A standing order transaction executed by the broker when you are aware of material nonpublic information may result in unlawful insider trading even if the standing order was placed at a time when you did not possess material nonpublic information.</w:t>
      </w:r>
    </w:p>
    <w:p>
      <w:pPr>
        <w:spacing w:after="0" w:line="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u w:val="single" w:color="auto"/>
          <w:color w:val="auto"/>
        </w:rPr>
        <w:t>Margin Accounts and Pledges</w:t>
      </w:r>
      <w:r>
        <w:rPr>
          <w:rFonts w:ascii="Times New Roman" w:cs="Times New Roman" w:eastAsia="Times New Roman" w:hAnsi="Times New Roman"/>
          <w:sz w:val="14"/>
          <w:szCs w:val="14"/>
          <w:color w:val="auto"/>
        </w:rPr>
        <w:t>. Securities held in a margin account or pledged as collateral for a loan may be sold by the broker if you fail to meet a margin call or by the lender in foreclosure if you default on the loan. You</w:t>
      </w:r>
    </w:p>
    <w:p>
      <w:pPr>
        <w:sectPr>
          <w:pgSz w:w="11900" w:h="16838" w:orient="portrait"/>
          <w:cols w:equalWidth="0" w:num="1">
            <w:col w:w="11280"/>
          </w:cols>
          <w:pgMar w:left="300" w:top="1228" w:right="319" w:bottom="1440" w:gutter="0" w:footer="0" w:header="0"/>
        </w:sectPr>
      </w:pPr>
    </w:p>
    <w:bookmarkStart w:id="183" w:name="page184"/>
    <w:bookmarkEnd w:id="183"/>
    <w:p>
      <w:pPr>
        <w:jc w:val="both"/>
        <w:spacing w:after="0" w:line="271" w:lineRule="auto"/>
        <w:rPr>
          <w:sz w:val="20"/>
          <w:szCs w:val="20"/>
          <w:color w:val="auto"/>
        </w:rPr>
      </w:pPr>
      <w:r>
        <w:rPr>
          <w:rFonts w:ascii="Times New Roman" w:cs="Times New Roman" w:eastAsia="Times New Roman" w:hAnsi="Times New Roman"/>
          <w:sz w:val="14"/>
          <w:szCs w:val="14"/>
          <w:color w:val="auto"/>
        </w:rPr>
        <w:t>may not have control over these transactions as the securities may be sold at certain times without your consent. Because of this danger, you may not enter into pledging arrangements or maintain a margin account with respect to Company securities.</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u w:val="single" w:color="auto"/>
          <w:color w:val="auto"/>
        </w:rPr>
        <w:t>Stock Option Exercises</w:t>
      </w:r>
      <w:r>
        <w:rPr>
          <w:rFonts w:ascii="Times New Roman" w:cs="Times New Roman" w:eastAsia="Times New Roman" w:hAnsi="Times New Roman"/>
          <w:sz w:val="14"/>
          <w:szCs w:val="14"/>
          <w:color w:val="auto"/>
        </w:rPr>
        <w:t>. You may exercise stock options for cash. However, you may not sell the underlying shares of Company stock and you may not engage in a cashless exercise of a stock option through a broker (because this entails selling a portion of the underlying stock to cover the costs of exercise) during any black out period or while you possess material nonpublic information.</w:t>
      </w:r>
    </w:p>
    <w:p>
      <w:pPr>
        <w:spacing w:after="0" w:line="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Stock Incentive Plan</w:t>
      </w:r>
      <w:r>
        <w:rPr>
          <w:rFonts w:ascii="Times New Roman" w:cs="Times New Roman" w:eastAsia="Times New Roman" w:hAnsi="Times New Roman"/>
          <w:sz w:val="14"/>
          <w:szCs w:val="14"/>
          <w:color w:val="auto"/>
        </w:rPr>
        <w:t>. You may be granted stock-based compensation awards, including restricted shares, under the Vera Bradley Designs, Inc. 2010 Restricted Stock Plan. You may not, however, sell any Company stock granted under the plan during any black out period or while you possess material nonpublic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Rule 10b5-1 Plans</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Transactions in Company securities under a plan that complies with Rule 10b5-1 under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are not subject to the prohibition on trades during black out periods or the prohibition on trading while being aware of material nonpublic information described above. Executive officers and directors are encouraged to employ Rule 10b5-1 plans in connection with any sale or disposition of Company securities. Section 16 Reporters must still report the details of completed transactions in accordance with the “Pre-Clearance of Securities Transactions – Procedures” section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general, a Rule 10b5-1 plan is a plan that:</w:t>
      </w:r>
    </w:p>
    <w:p>
      <w:pPr>
        <w:spacing w:after="0" w:line="72" w:lineRule="exact"/>
        <w:rPr>
          <w:sz w:val="20"/>
          <w:szCs w:val="20"/>
          <w:color w:val="auto"/>
        </w:rPr>
      </w:pPr>
    </w:p>
    <w:p>
      <w:pPr>
        <w:ind w:left="520" w:right="200" w:hanging="260"/>
        <w:spacing w:after="0" w:line="248" w:lineRule="auto"/>
        <w:tabs>
          <w:tab w:leader="none" w:pos="51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has been reviewed and approved at least one month in advance of any trades thereunder by the Company's Chief Financial Officer or General Counsel (or, if revised or amended, such revisions or amendments have been reviewed and approved by the Company's Chief Financial Officer or General Counsel at least one month in advance of any subsequent trades). In addition, any Rule 10b5-1 plans entered into by the Company’s Chief Executive Officer or Chief Financial Officer shall be subject to the further approval of the Company’s Board of Directors or an authorized committee thereof;</w:t>
      </w:r>
    </w:p>
    <w:p>
      <w:pPr>
        <w:spacing w:after="0" w:line="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entered into in good faith outside of a blackout period and at a time when you were not in possession of material non-public information about the Company; and</w:t>
      </w:r>
    </w:p>
    <w:p>
      <w:pPr>
        <w:spacing w:after="0" w:line="83" w:lineRule="exact"/>
        <w:rPr>
          <w:rFonts w:ascii="Times New Roman" w:cs="Times New Roman" w:eastAsia="Times New Roman" w:hAnsi="Times New Roman"/>
          <w:sz w:val="14"/>
          <w:szCs w:val="14"/>
          <w:color w:val="auto"/>
        </w:rPr>
      </w:pPr>
    </w:p>
    <w:p>
      <w:pPr>
        <w:ind w:left="520" w:right="140" w:hanging="260"/>
        <w:spacing w:after="0" w:line="246" w:lineRule="auto"/>
        <w:tabs>
          <w:tab w:leader="none" w:pos="51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a third party the discretionary authority to execute purchases and sales, outside of your control, so long as such third party does not possess any material non-public information about the Company; or explicitly specifies the security or securities to be purchased or sold, the number of shares, the prices and/or dates of transactions, or other formula(e) describing such transactions. Once the plan is adopted, you must not exercise any influence over the amount of securities to be traded, the price at which they are to be traded or the date of the trade.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Section 16 Reporting and Pre-clearance for Directors and Officers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Covered Persons. This Section applies only to the following persons (the "Covered Persons"):</w:t>
      </w:r>
    </w:p>
    <w:p>
      <w:pPr>
        <w:spacing w:after="0" w:line="83" w:lineRule="exact"/>
        <w:rPr>
          <w:sz w:val="20"/>
          <w:szCs w:val="20"/>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employees who hold the position of Senior Vice President or above with the Company or any of its subsidiaries;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officers of the Company (including certain officers of the Company’s subsidiaries);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of the Company;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persons as may be designated by the Company’s Chief Financial Officer or General Counsel from time to time.</w:t>
      </w:r>
    </w:p>
    <w:p>
      <w:pPr>
        <w:spacing w:after="0" w:line="8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u w:val="single" w:color="auto"/>
          <w:color w:val="auto"/>
        </w:rPr>
        <w:t>Pre-clearance Policy.</w:t>
      </w:r>
      <w:r>
        <w:rPr>
          <w:rFonts w:ascii="Times New Roman" w:cs="Times New Roman" w:eastAsia="Times New Roman" w:hAnsi="Times New Roman"/>
          <w:sz w:val="14"/>
          <w:szCs w:val="14"/>
          <w:color w:val="auto"/>
        </w:rPr>
        <w:t xml:space="preserve"> Because Covered Persons are likely to obtain material non-public information on a regular basis, you may not engage in any transaction involving Company securities (including a stock plan transaction such as an option exercise, a gift, loan, pledge or hedge, contribution to a trust or any other transfer) without first obtaining pre-clearance of the transaction from the Company’s Chief Financial Officer or Chief Legal Officer in the manner provided for below. This Pre-clearance Policy is designed not only to ensure your compliance with insider trading laws, but also to prevent violations of Sections 16(a) and 16(b) of the Securities Exchange Act of 1934, as amended (the “Exchange Act”). Section 16(a) requires the filing of a Form 4 with the SEC reporting certain transactions in Company securities within two (2) business days following the date of such transactions. Section 16(b) provides that Company insiders, including directors and certain officers of the Company, are liable to the</w:t>
      </w:r>
    </w:p>
    <w:p>
      <w:pPr>
        <w:sectPr>
          <w:pgSz w:w="11900" w:h="16838" w:orient="portrait"/>
          <w:cols w:equalWidth="0" w:num="1">
            <w:col w:w="11280"/>
          </w:cols>
          <w:pgMar w:left="300" w:top="1228" w:right="319" w:bottom="1440" w:gutter="0" w:footer="0" w:header="0"/>
        </w:sectPr>
      </w:pPr>
    </w:p>
    <w:bookmarkStart w:id="184" w:name="page185"/>
    <w:bookmarkEnd w:id="184"/>
    <w:p>
      <w:pPr>
        <w:jc w:val="both"/>
        <w:ind w:right="60"/>
        <w:spacing w:after="0" w:line="248" w:lineRule="auto"/>
        <w:rPr>
          <w:sz w:val="20"/>
          <w:szCs w:val="20"/>
          <w:color w:val="auto"/>
        </w:rPr>
      </w:pPr>
      <w:r>
        <w:rPr>
          <w:rFonts w:ascii="Times New Roman" w:cs="Times New Roman" w:eastAsia="Times New Roman" w:hAnsi="Times New Roman"/>
          <w:sz w:val="14"/>
          <w:szCs w:val="14"/>
          <w:color w:val="auto"/>
        </w:rPr>
        <w:t>Company for any "short-swing profits" resulting from a non-exempt purchase or sale of Company securities that occurs within a period of less than six (6) months from an opposite way transaction. The SEC may cause the Company to contribute these disgorged profits into a public fund to be used for restitution to the victims of such violations. Although compliance with Section 16(a), Section 16(b) and other restricted trading periods is your responsibility, the pre-clearance of all trades will allow the Company to assist you in preventing inadvertent violations. The Company will notify you if you are subject to Section 16 of the Exchange Act (a “Section 16 Reporter”).</w:t>
      </w:r>
    </w:p>
    <w:p>
      <w:pPr>
        <w:spacing w:after="0" w:line="5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u w:val="single" w:color="auto"/>
          <w:color w:val="auto"/>
        </w:rPr>
        <w:t>Procedure</w:t>
      </w:r>
      <w:r>
        <w:rPr>
          <w:rFonts w:ascii="Times New Roman" w:cs="Times New Roman" w:eastAsia="Times New Roman" w:hAnsi="Times New Roman"/>
          <w:sz w:val="14"/>
          <w:szCs w:val="14"/>
          <w:color w:val="0000FF"/>
        </w:rPr>
        <w:t>.</w:t>
      </w:r>
      <w:r>
        <w:rPr>
          <w:rFonts w:ascii="Times New Roman" w:cs="Times New Roman" w:eastAsia="Times New Roman" w:hAnsi="Times New Roman"/>
          <w:sz w:val="14"/>
          <w:szCs w:val="14"/>
          <w:color w:val="auto"/>
        </w:rPr>
        <w:t xml:space="preserve"> A request for pre-clearance should be submitted by you to the Company’s Chief Financial Officer at least two (2) business days in advance of the proposed transaction(s) and should contain a brief description of the proposed transaction(s). In addition, when seeking pre-clearance, you must certify in writing no earlier than two (2) business days prior to the proposed transaction(s) that (i) you are not in possession of material nonpublic information concerning the Company and (ii) the proposed transaction(s) do(es) not result in a requirement to disgorge profits under Section 16(b) of the Exchange Act and (iii) the proposed transaction, if eligible, will be made in accordance with Rule 144 under the Securities Act. To ensure that the Company has sufficient time to prepare and file necessary Forms 4 with the SEC, Section 16 Reporters must also report the details of completed transactions to the Company’s Chief Financial Officer at least by the close of business on the date the transactions occur. Due to the short, two-business day period following transactions during which Form 4 reports must generally be filed, the Company may have Forms 4 executed and filed on behalf of Section 16 Reporters using the power of attorney granted to the Company for this purpose. Please contact the Company immediately if you believe there may be any errors in such filings.</w:t>
      </w:r>
    </w:p>
    <w:p>
      <w:pPr>
        <w:spacing w:after="0" w:line="2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u w:val="single" w:color="auto"/>
          <w:color w:val="auto"/>
        </w:rPr>
        <w:t>Expiration of Pre-Clearance</w:t>
      </w:r>
      <w:r>
        <w:rPr>
          <w:rFonts w:ascii="Times New Roman" w:cs="Times New Roman" w:eastAsia="Times New Roman" w:hAnsi="Times New Roman"/>
          <w:sz w:val="14"/>
          <w:szCs w:val="14"/>
          <w:color w:val="auto"/>
        </w:rPr>
        <w:t>. The Company's Chief Financial Officer shall record the date each pre-clearance request is received and the date and time each request is approved or disapproved. Unless revoked, a grant of permission will normally remain valid until the close of trading (5) five business days following the day on which it was granted. If the approved transaction(s) do(es) not occur during the five-business-day period, pre-clearance of the transaction(s) must be re-requested.</w:t>
      </w:r>
    </w:p>
    <w:p>
      <w:pPr>
        <w:spacing w:after="0" w:line="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u w:val="single" w:color="auto"/>
          <w:color w:val="auto"/>
        </w:rPr>
        <w:t>Discretion of the Company’s Chief Financial Officer.</w:t>
      </w:r>
      <w:r>
        <w:rPr>
          <w:rFonts w:ascii="Times New Roman" w:cs="Times New Roman" w:eastAsia="Times New Roman" w:hAnsi="Times New Roman"/>
          <w:sz w:val="14"/>
          <w:szCs w:val="14"/>
          <w:color w:val="auto"/>
        </w:rPr>
        <w:t xml:space="preserve"> The existence of the foregoing approval procedure does not in any way obligate the Company’s Chief Financial Officer to approve any trades requested by you. The Company’s [Chief Financial Officer may reject any trading requests in his or her sole reasonable discretion. The Company’s Chief Financial Officer may not approve or disapprove his or her own pre-clearance request.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Consequences</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Insider trading violations are pursued vigorously by the SEC and the U.S. Attorneys and are punished severely. Failure to comply with this Policy may also subject you to Company-imposed sanctions, including dismissal for cause, whether or not your failure to comply results in a violation of law.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Revised and adopted: March 5, 2020</w:t>
      </w:r>
    </w:p>
    <w:p>
      <w:pPr>
        <w:sectPr>
          <w:pgSz w:w="11900" w:h="16838" w:orient="portrait"/>
          <w:cols w:equalWidth="0" w:num="1">
            <w:col w:w="11280"/>
          </w:cols>
          <w:pgMar w:left="300" w:top="1218" w:right="31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40" w:type="dxa"/>
            <w:vAlign w:val="bottom"/>
          </w:tcPr>
          <w:p>
            <w:pPr>
              <w:spacing w:after="0"/>
              <w:rPr>
                <w:sz w:val="15"/>
                <w:szCs w:val="15"/>
                <w:color w:val="auto"/>
              </w:rPr>
            </w:pPr>
          </w:p>
        </w:tc>
        <w:tc>
          <w:tcPr>
            <w:tcW w:w="7200" w:type="dxa"/>
            <w:vAlign w:val="bottom"/>
            <w:gridSpan w:val="3"/>
          </w:tcPr>
          <w:p>
            <w:pPr>
              <w:jc w:val="center"/>
              <w:ind w:right="3949"/>
              <w:spacing w:after="0"/>
              <w:rPr>
                <w:sz w:val="20"/>
                <w:szCs w:val="20"/>
                <w:color w:val="auto"/>
              </w:rPr>
            </w:pPr>
            <w:r>
              <w:rPr>
                <w:rFonts w:ascii="Times New Roman" w:cs="Times New Roman" w:eastAsia="Times New Roman" w:hAnsi="Times New Roman"/>
                <w:sz w:val="14"/>
                <w:szCs w:val="14"/>
                <w:b w:val="1"/>
                <w:bCs w:val="1"/>
                <w:color w:val="auto"/>
                <w:w w:val="99"/>
              </w:rPr>
              <w:t>Vera Bradley, Inc.</w:t>
            </w:r>
          </w:p>
        </w:tc>
      </w:tr>
      <w:tr>
        <w:trPr>
          <w:trHeight w:val="180"/>
        </w:trPr>
        <w:tc>
          <w:tcPr>
            <w:tcW w:w="4040" w:type="dxa"/>
            <w:vAlign w:val="bottom"/>
          </w:tcPr>
          <w:p>
            <w:pPr>
              <w:spacing w:after="0"/>
              <w:rPr>
                <w:sz w:val="15"/>
                <w:szCs w:val="15"/>
                <w:color w:val="auto"/>
              </w:rPr>
            </w:pPr>
          </w:p>
        </w:tc>
        <w:tc>
          <w:tcPr>
            <w:tcW w:w="7200" w:type="dxa"/>
            <w:vAlign w:val="bottom"/>
            <w:gridSpan w:val="3"/>
          </w:tcPr>
          <w:p>
            <w:pPr>
              <w:jc w:val="center"/>
              <w:ind w:right="3949"/>
              <w:spacing w:after="0"/>
              <w:rPr>
                <w:sz w:val="20"/>
                <w:szCs w:val="20"/>
                <w:color w:val="auto"/>
              </w:rPr>
            </w:pPr>
            <w:r>
              <w:rPr>
                <w:rFonts w:ascii="Times New Roman" w:cs="Times New Roman" w:eastAsia="Times New Roman" w:hAnsi="Times New Roman"/>
                <w:sz w:val="14"/>
                <w:szCs w:val="14"/>
                <w:b w:val="1"/>
                <w:bCs w:val="1"/>
                <w:color w:val="auto"/>
              </w:rPr>
              <w:t>Subsidiaries</w:t>
            </w:r>
          </w:p>
        </w:tc>
      </w:tr>
      <w:tr>
        <w:trPr>
          <w:trHeight w:val="186"/>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3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r>
      <w:tr>
        <w:trPr>
          <w:trHeight w:val="167"/>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Vera Bradley Designs, Inc</w:t>
            </w: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Indiana</w:t>
            </w: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Vera Bradley International, LLC</w:t>
            </w:r>
          </w:p>
        </w:tc>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Indiana</w:t>
            </w: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Vera Bradley Sales, LLC</w:t>
            </w:r>
          </w:p>
        </w:tc>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Indiana</w:t>
            </w: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Vera Bradley Handbag Design (Dongguan) Co., Ltd.</w:t>
            </w:r>
          </w:p>
        </w:tc>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People's Republic of China</w:t>
            </w: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Vera Bradley Hong Kong Co., Limited</w:t>
            </w:r>
          </w:p>
        </w:tc>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Hong Kong</w:t>
            </w: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Vera Bradley Holdings, LLC</w:t>
            </w:r>
          </w:p>
        </w:tc>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Creative Genius, LLC</w:t>
            </w:r>
          </w:p>
        </w:tc>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4"/>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Pura Vida Europe Limited</w:t>
            </w:r>
          </w:p>
        </w:tc>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r>
    </w:tbl>
    <w:p>
      <w:pPr>
        <w:sectPr>
          <w:pgSz w:w="11900" w:h="16838" w:orient="portrait"/>
          <w:cols w:equalWidth="0" w:num="1">
            <w:col w:w="11260"/>
          </w:cols>
          <w:pgMar w:left="320" w:top="727" w:right="31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74"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333-249701 and 333-272824 on Form S-8 of our reports dated March 28, 2025, relating to the financial statements of Vera Bradley, Inc. and the effectiveness of Vera Bradley, Inc.’s internal control over financial reporting appearing in this Annual Report on Form 10-K for the year ended February 1, 2025.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Indianapolis, Indiana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28, 2025</w:t>
      </w:r>
    </w:p>
    <w:p>
      <w:pPr>
        <w:sectPr>
          <w:pgSz w:w="11900" w:h="16838" w:orient="portrait"/>
          <w:cols w:equalWidth="0" w:num="1">
            <w:col w:w="11280"/>
          </w:cols>
          <w:pgMar w:left="300" w:top="802" w:right="31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Jacqueline Ardrey, certify that:</w:t>
      </w:r>
    </w:p>
    <w:p>
      <w:pPr>
        <w:spacing w:after="0" w:line="83" w:lineRule="exact"/>
        <w:rPr>
          <w:sz w:val="20"/>
          <w:szCs w:val="20"/>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Vera Bradley, Inc.;</w:t>
      </w:r>
    </w:p>
    <w:p>
      <w:pPr>
        <w:spacing w:after="0" w:line="72" w:lineRule="exact"/>
        <w:rPr>
          <w:rFonts w:ascii="Times New Roman" w:cs="Times New Roman" w:eastAsia="Times New Roman" w:hAnsi="Times New Roman"/>
          <w:sz w:val="14"/>
          <w:szCs w:val="14"/>
          <w:color w:val="auto"/>
        </w:rPr>
      </w:pPr>
    </w:p>
    <w:p>
      <w:pPr>
        <w:ind w:left="520" w:right="780" w:hanging="260"/>
        <w:spacing w:after="0" w:line="287"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28"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Times New Roman" w:cs="Times New Roman" w:eastAsia="Times New Roman" w:hAnsi="Times New Roman"/>
          <w:sz w:val="14"/>
          <w:szCs w:val="14"/>
          <w:color w:val="auto"/>
        </w:rPr>
      </w:pPr>
    </w:p>
    <w:p>
      <w:pPr>
        <w:ind w:left="1020" w:right="180" w:firstLine="3"/>
        <w:spacing w:after="0" w:line="270" w:lineRule="auto"/>
        <w:tabs>
          <w:tab w:leader="none" w:pos="121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4"/>
          <w:szCs w:val="14"/>
          <w:color w:val="auto"/>
        </w:rPr>
      </w:pPr>
    </w:p>
    <w:p>
      <w:pPr>
        <w:ind w:left="1020" w:right="360" w:firstLine="3"/>
        <w:spacing w:after="0" w:line="270" w:lineRule="auto"/>
        <w:tabs>
          <w:tab w:leader="none" w:pos="12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4"/>
          <w:szCs w:val="14"/>
          <w:color w:val="auto"/>
        </w:rPr>
      </w:pPr>
    </w:p>
    <w:p>
      <w:pPr>
        <w:ind w:left="1020" w:right="200" w:firstLine="3"/>
        <w:spacing w:after="0" w:line="287" w:lineRule="auto"/>
        <w:tabs>
          <w:tab w:leader="none" w:pos="121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w:t>
      </w:r>
    </w:p>
    <w:p>
      <w:pPr>
        <w:spacing w:after="0" w:line="23" w:lineRule="exact"/>
        <w:rPr>
          <w:rFonts w:ascii="Times New Roman" w:cs="Times New Roman" w:eastAsia="Times New Roman" w:hAnsi="Times New Roman"/>
          <w:sz w:val="14"/>
          <w:szCs w:val="14"/>
          <w:color w:val="auto"/>
        </w:rPr>
      </w:pPr>
    </w:p>
    <w:p>
      <w:pPr>
        <w:ind w:left="1020" w:right="1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fiscal quarter in the case of an annual report) that has materially affected, or is reasonably likely to materially affect, the registrant’s internal control over financial reporting; and</w:t>
      </w:r>
    </w:p>
    <w:p>
      <w:pPr>
        <w:spacing w:after="0" w:line="42"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1020" w:right="320" w:firstLine="3"/>
        <w:spacing w:after="0" w:line="287" w:lineRule="auto"/>
        <w:tabs>
          <w:tab w:leader="none" w:pos="121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20"/>
        <w:spacing w:after="0"/>
        <w:tabs>
          <w:tab w:leader="none" w:pos="7860" w:val="left"/>
        </w:tabs>
        <w:rPr>
          <w:sz w:val="20"/>
          <w:szCs w:val="20"/>
          <w:color w:val="auto"/>
        </w:rPr>
      </w:pPr>
      <w:r>
        <w:rPr>
          <w:rFonts w:ascii="Times New Roman" w:cs="Times New Roman" w:eastAsia="Times New Roman" w:hAnsi="Times New Roman"/>
          <w:sz w:val="14"/>
          <w:szCs w:val="14"/>
          <w:color w:val="auto"/>
        </w:rPr>
        <w:t>Date: March 28, 2025</w:t>
      </w:r>
      <w:r>
        <w:rPr>
          <w:sz w:val="20"/>
          <w:szCs w:val="20"/>
          <w:color w:val="auto"/>
        </w:rPr>
        <w:tab/>
      </w:r>
      <w:r>
        <w:rPr>
          <w:rFonts w:ascii="Times New Roman" w:cs="Times New Roman" w:eastAsia="Times New Roman" w:hAnsi="Times New Roman"/>
          <w:sz w:val="14"/>
          <w:szCs w:val="14"/>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14605</wp:posOffset>
            </wp:positionV>
            <wp:extent cx="354393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spacing w:after="0" w:line="84"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color w:val="auto"/>
        </w:rPr>
        <w:t>Jacqueline Ardrey</w:t>
      </w:r>
    </w:p>
    <w:p>
      <w:pPr>
        <w:spacing w:after="0" w:line="23"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ectPr>
          <w:pgSz w:w="11900" w:h="16838" w:orient="portrait"/>
          <w:cols w:equalWidth="0" w:num="1">
            <w:col w:w="11280"/>
          </w:cols>
          <w:pgMar w:left="300" w:top="728" w:right="31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Schwindle, certify that:</w:t>
      </w:r>
    </w:p>
    <w:p>
      <w:pPr>
        <w:spacing w:after="0" w:line="83" w:lineRule="exact"/>
        <w:rPr>
          <w:sz w:val="20"/>
          <w:szCs w:val="20"/>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Vera Bradley, Inc.;</w:t>
      </w:r>
    </w:p>
    <w:p>
      <w:pPr>
        <w:spacing w:after="0" w:line="72" w:lineRule="exact"/>
        <w:rPr>
          <w:rFonts w:ascii="Times New Roman" w:cs="Times New Roman" w:eastAsia="Times New Roman" w:hAnsi="Times New Roman"/>
          <w:sz w:val="14"/>
          <w:szCs w:val="14"/>
          <w:color w:val="auto"/>
        </w:rPr>
      </w:pPr>
    </w:p>
    <w:p>
      <w:pPr>
        <w:ind w:left="520" w:right="780" w:hanging="260"/>
        <w:spacing w:after="0" w:line="287"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28"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Times New Roman" w:cs="Times New Roman" w:eastAsia="Times New Roman" w:hAnsi="Times New Roman"/>
          <w:sz w:val="14"/>
          <w:szCs w:val="14"/>
          <w:color w:val="auto"/>
        </w:rPr>
      </w:pPr>
    </w:p>
    <w:p>
      <w:pPr>
        <w:ind w:left="1020" w:right="180" w:firstLine="3"/>
        <w:spacing w:after="0" w:line="270" w:lineRule="auto"/>
        <w:tabs>
          <w:tab w:leader="none" w:pos="12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4"/>
          <w:szCs w:val="14"/>
          <w:color w:val="auto"/>
        </w:rPr>
      </w:pPr>
    </w:p>
    <w:p>
      <w:pPr>
        <w:ind w:left="1020" w:right="360" w:firstLine="3"/>
        <w:spacing w:after="0" w:line="270" w:lineRule="auto"/>
        <w:tabs>
          <w:tab w:leader="none" w:pos="12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4"/>
          <w:szCs w:val="14"/>
          <w:color w:val="auto"/>
        </w:rPr>
      </w:pPr>
    </w:p>
    <w:p>
      <w:pPr>
        <w:ind w:left="1020" w:right="200" w:firstLine="3"/>
        <w:spacing w:after="0" w:line="287" w:lineRule="auto"/>
        <w:tabs>
          <w:tab w:leader="none" w:pos="12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w:t>
      </w:r>
    </w:p>
    <w:p>
      <w:pPr>
        <w:spacing w:after="0" w:line="23" w:lineRule="exact"/>
        <w:rPr>
          <w:rFonts w:ascii="Times New Roman" w:cs="Times New Roman" w:eastAsia="Times New Roman" w:hAnsi="Times New Roman"/>
          <w:sz w:val="14"/>
          <w:szCs w:val="14"/>
          <w:color w:val="auto"/>
        </w:rPr>
      </w:pPr>
    </w:p>
    <w:p>
      <w:pPr>
        <w:ind w:left="1020" w:right="1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fiscal quarter in the case of an annual report) that has materially affected, or is reasonably likely to materially affect, the registrant’s internal control over financial reporting; and</w:t>
      </w:r>
    </w:p>
    <w:p>
      <w:pPr>
        <w:spacing w:after="0" w:line="42"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1020" w:right="320" w:firstLine="3"/>
        <w:spacing w:after="0" w:line="287" w:lineRule="auto"/>
        <w:tabs>
          <w:tab w:leader="none" w:pos="12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Date: March 28, 2025</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Schwindle</w:t>
            </w:r>
          </w:p>
        </w:tc>
      </w:tr>
      <w:tr>
        <w:trPr>
          <w:trHeight w:val="165"/>
        </w:trPr>
        <w:tc>
          <w:tcPr>
            <w:tcW w:w="5680" w:type="dxa"/>
            <w:vAlign w:val="bottom"/>
          </w:tcPr>
          <w:p>
            <w:pPr>
              <w:spacing w:after="0"/>
              <w:rPr>
                <w:sz w:val="14"/>
                <w:szCs w:val="1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Schwindle</w:t>
            </w:r>
          </w:p>
        </w:tc>
      </w:tr>
      <w:tr>
        <w:trPr>
          <w:trHeight w:val="186"/>
        </w:trPr>
        <w:tc>
          <w:tcPr>
            <w:tcW w:w="5680" w:type="dxa"/>
            <w:vAlign w:val="bottom"/>
          </w:tcPr>
          <w:p>
            <w:pPr>
              <w:spacing w:after="0"/>
              <w:rPr>
                <w:sz w:val="16"/>
                <w:szCs w:val="16"/>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bl>
    <w:p>
      <w:pPr>
        <w:sectPr>
          <w:pgSz w:w="11900" w:h="16838" w:orient="portrait"/>
          <w:cols w:equalWidth="0" w:num="1">
            <w:col w:w="11280"/>
          </w:cols>
          <w:pgMar w:left="300" w:top="728" w:right="31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 18 U.S.C. Section 1350 As Adopted Pursuant to Section 906 of the Sarbanes - Oxley Act of 2002</w:t>
      </w:r>
    </w:p>
    <w:p>
      <w:pPr>
        <w:spacing w:after="0" w:line="85" w:lineRule="exact"/>
        <w:rPr>
          <w:sz w:val="20"/>
          <w:szCs w:val="20"/>
          <w:color w:val="auto"/>
        </w:rPr>
      </w:pPr>
    </w:p>
    <w:p>
      <w:pPr>
        <w:jc w:val="both"/>
        <w:ind w:right="60" w:firstLine="141"/>
        <w:spacing w:after="0" w:line="270" w:lineRule="auto"/>
        <w:rPr>
          <w:sz w:val="20"/>
          <w:szCs w:val="20"/>
          <w:color w:val="auto"/>
        </w:rPr>
      </w:pPr>
      <w:r>
        <w:rPr>
          <w:rFonts w:ascii="Times New Roman" w:cs="Times New Roman" w:eastAsia="Times New Roman" w:hAnsi="Times New Roman"/>
          <w:sz w:val="14"/>
          <w:szCs w:val="14"/>
          <w:color w:val="auto"/>
        </w:rPr>
        <w:t>I, Jacqueline Ardrey, the Chief Executive Officer of Vera Bradley, Inc., certify that (i) the annual report on Form 10-K for the fiscal year ended February 1, 2025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6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14605</wp:posOffset>
            </wp:positionV>
            <wp:extent cx="354393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spacing w:after="0" w:line="84"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color w:val="auto"/>
        </w:rPr>
        <w:t>Jacqueline Ardrey</w:t>
      </w:r>
    </w:p>
    <w:p>
      <w:pPr>
        <w:spacing w:after="0" w:line="2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5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color w:val="auto"/>
        </w:rPr>
        <w:t>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14605</wp:posOffset>
            </wp:positionV>
            <wp:extent cx="354393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spacing w:after="0" w:line="10"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color w:val="auto"/>
        </w:rPr>
        <w:t>Date</w:t>
      </w:r>
    </w:p>
    <w:p>
      <w:pPr>
        <w:spacing w:after="0" w:line="83" w:lineRule="exact"/>
        <w:rPr>
          <w:sz w:val="20"/>
          <w:szCs w:val="20"/>
          <w:color w:val="auto"/>
        </w:rPr>
      </w:pPr>
    </w:p>
    <w:p>
      <w:pPr>
        <w:ind w:right="40" w:firstLine="141"/>
        <w:spacing w:after="0" w:line="270" w:lineRule="auto"/>
        <w:rPr>
          <w:sz w:val="20"/>
          <w:szCs w:val="20"/>
          <w:color w:val="auto"/>
        </w:rPr>
      </w:pPr>
      <w:r>
        <w:rPr>
          <w:rFonts w:ascii="Times New Roman" w:cs="Times New Roman" w:eastAsia="Times New Roman" w:hAnsi="Times New Roman"/>
          <w:sz w:val="14"/>
          <w:szCs w:val="14"/>
          <w:color w:val="auto"/>
        </w:rPr>
        <w:t>I, Michael Schwindle, the Chief Financial Officer of Vera Bradley, Inc., certify that (i) the annual report on Form 10-K for the fiscal year ended February 1, 2025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7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14605</wp:posOffset>
            </wp:positionV>
            <wp:extent cx="354393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spacing w:after="0" w:line="1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color w:val="auto"/>
        </w:rPr>
        <w:t>Michael Schwindle</w:t>
      </w:r>
    </w:p>
    <w:p>
      <w:pPr>
        <w:spacing w:after="0" w:line="2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5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color w:val="auto"/>
        </w:rPr>
        <w:t>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14605</wp:posOffset>
            </wp:positionV>
            <wp:extent cx="354393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spacing w:after="0" w:line="10"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color w:val="auto"/>
        </w:rPr>
        <w:t>Date</w:t>
      </w: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lowerRoman"/>
      <w:start w:val="2"/>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1"/>
    </w:lvl>
    <w:lvl w:ilvl="1">
      <w:lvlJc w:val="left"/>
      <w:lvlText w:val="%2."/>
      <w:numFmt w:val="lowerLetter"/>
      <w:start w:val="1"/>
    </w:lvl>
  </w:abstractNum>
  <w:abstractNum w:abstractNumId="18">
    <w:nsid w:val="22221A70"/>
    <w:multiLevelType w:val="hybridMultilevel"/>
    <w:lvl w:ilvl="0">
      <w:lvlJc w:val="left"/>
      <w:lvlText w:val="%1."/>
      <w:numFmt w:val="decimal"/>
      <w:start w:val="1"/>
    </w:lvl>
    <w:lvl w:ilvl="1">
      <w:lvlJc w:val="left"/>
      <w:lvlText w:val="•"/>
      <w:numFmt w:val="bullet"/>
      <w:start w:val="1"/>
    </w:lvl>
  </w:abstractNum>
  <w:abstractNum w:abstractNumId="19">
    <w:nsid w:val="4516DDE9"/>
    <w:multiLevelType w:val="hybridMultilevel"/>
    <w:lvl w:ilvl="0">
      <w:lvlJc w:val="left"/>
      <w:lvlText w:val="%1."/>
      <w:numFmt w:val="decimal"/>
      <w:start w:val="2"/>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3"/>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4"/>
    </w:lvl>
  </w:abstractNum>
  <w:abstractNum w:abstractNumId="27">
    <w:nsid w:val="77465F01"/>
    <w:multiLevelType w:val="hybridMultilevel"/>
    <w:lvl w:ilvl="0">
      <w:lvlJc w:val="left"/>
      <w:lvlText w:val="%1."/>
      <w:numFmt w:val="decimal"/>
      <w:start w:val="6"/>
    </w:lvl>
  </w:abstractNum>
  <w:abstractNum w:abstractNumId="28">
    <w:nsid w:val="7724C67E"/>
    <w:multiLevelType w:val="hybridMultilevel"/>
    <w:lvl w:ilvl="0">
      <w:lvlJc w:val="left"/>
      <w:lvlText w:val="%1."/>
      <w:numFmt w:val="decimal"/>
      <w:start w:val="8"/>
    </w:lvl>
  </w:abstractNum>
  <w:abstractNum w:abstractNumId="29">
    <w:nsid w:val="5C482A97"/>
    <w:multiLevelType w:val="hybridMultilevel"/>
    <w:lvl w:ilvl="0">
      <w:lvlJc w:val="left"/>
      <w:lvlText w:val="%1."/>
      <w:numFmt w:val="decimal"/>
      <w:start w:val="9"/>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lowerRoman"/>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jpeg"/><Relationship Id="rId159" Type="http://schemas.openxmlformats.org/officeDocument/2006/relationships/image" Target="media/image129.jpeg"/><Relationship Id="rId160" Type="http://schemas.openxmlformats.org/officeDocument/2006/relationships/image" Target="media/image130.jpeg"/><Relationship Id="rId161" Type="http://schemas.openxmlformats.org/officeDocument/2006/relationships/image" Target="media/image131.png"/><Relationship Id="rId162" Type="http://schemas.openxmlformats.org/officeDocument/2006/relationships/image" Target="media/image132.jpeg"/><Relationship Id="rId163" Type="http://schemas.openxmlformats.org/officeDocument/2006/relationships/image" Target="media/image133.jpeg"/><Relationship Id="rId164" Type="http://schemas.openxmlformats.org/officeDocument/2006/relationships/image" Target="media/image134.jpeg"/><Relationship Id="rId165" Type="http://schemas.openxmlformats.org/officeDocument/2006/relationships/image" Target="media/image135.png"/><Relationship Id="rId166" Type="http://schemas.openxmlformats.org/officeDocument/2006/relationships/image" Target="media/image136.jpeg"/><Relationship Id="rId167" Type="http://schemas.openxmlformats.org/officeDocument/2006/relationships/image" Target="media/image137.jpeg"/><Relationship Id="rId168" Type="http://schemas.openxmlformats.org/officeDocument/2006/relationships/image" Target="media/image138.jpeg"/><Relationship Id="rId169" Type="http://schemas.openxmlformats.org/officeDocument/2006/relationships/image" Target="media/image139.png"/><Relationship Id="rId170" Type="http://schemas.openxmlformats.org/officeDocument/2006/relationships/image" Target="media/image140.jpeg"/><Relationship Id="rId171" Type="http://schemas.openxmlformats.org/officeDocument/2006/relationships/image" Target="media/image141.jpeg"/><Relationship Id="rId172" Type="http://schemas.openxmlformats.org/officeDocument/2006/relationships/image" Target="media/image142.jpeg"/><Relationship Id="rId173" Type="http://schemas.openxmlformats.org/officeDocument/2006/relationships/image" Target="media/image143.png"/><Relationship Id="rId174" Type="http://schemas.openxmlformats.org/officeDocument/2006/relationships/image" Target="media/image144.jpeg"/><Relationship Id="rId175" Type="http://schemas.openxmlformats.org/officeDocument/2006/relationships/image" Target="media/image145.jpeg"/><Relationship Id="rId176" Type="http://schemas.openxmlformats.org/officeDocument/2006/relationships/image" Target="media/image146.jpeg"/><Relationship Id="rId177" Type="http://schemas.openxmlformats.org/officeDocument/2006/relationships/image" Target="media/image147.png"/><Relationship Id="rId178" Type="http://schemas.openxmlformats.org/officeDocument/2006/relationships/image" Target="media/image148.jpeg"/><Relationship Id="rId179" Type="http://schemas.openxmlformats.org/officeDocument/2006/relationships/image" Target="media/image149.jpeg"/><Relationship Id="rId180" Type="http://schemas.openxmlformats.org/officeDocument/2006/relationships/image" Target="media/image150.jpeg"/><Relationship Id="rId181" Type="http://schemas.openxmlformats.org/officeDocument/2006/relationships/image" Target="media/image151.png"/><Relationship Id="rId182" Type="http://schemas.openxmlformats.org/officeDocument/2006/relationships/image" Target="media/image152.jpeg"/><Relationship Id="rId183" Type="http://schemas.openxmlformats.org/officeDocument/2006/relationships/image" Target="media/image153.jpeg"/><Relationship Id="rId184" Type="http://schemas.openxmlformats.org/officeDocument/2006/relationships/image" Target="media/image154.jpeg"/><Relationship Id="rId185" Type="http://schemas.openxmlformats.org/officeDocument/2006/relationships/image" Target="media/image155.png"/><Relationship Id="rId186" Type="http://schemas.openxmlformats.org/officeDocument/2006/relationships/image" Target="media/image156.jpeg"/><Relationship Id="rId187" Type="http://schemas.openxmlformats.org/officeDocument/2006/relationships/image" Target="media/image157.jpeg"/><Relationship Id="rId188" Type="http://schemas.openxmlformats.org/officeDocument/2006/relationships/image" Target="media/image158.jpeg"/><Relationship Id="rId189" Type="http://schemas.openxmlformats.org/officeDocument/2006/relationships/image" Target="media/image159.png"/><Relationship Id="rId190" Type="http://schemas.openxmlformats.org/officeDocument/2006/relationships/image" Target="media/image160.jpeg"/><Relationship Id="rId191" Type="http://schemas.openxmlformats.org/officeDocument/2006/relationships/image" Target="media/image161.jpeg"/><Relationship Id="rId192" Type="http://schemas.openxmlformats.org/officeDocument/2006/relationships/image" Target="media/image162.jpeg"/><Relationship Id="rId193" Type="http://schemas.openxmlformats.org/officeDocument/2006/relationships/image" Target="media/image163.png"/><Relationship Id="rId194" Type="http://schemas.openxmlformats.org/officeDocument/2006/relationships/image" Target="media/image164.jpeg"/><Relationship Id="rId195" Type="http://schemas.openxmlformats.org/officeDocument/2006/relationships/image" Target="media/image165.jpeg"/><Relationship Id="rId196" Type="http://schemas.openxmlformats.org/officeDocument/2006/relationships/image" Target="media/image166.jpeg"/><Relationship Id="rId197" Type="http://schemas.openxmlformats.org/officeDocument/2006/relationships/image" Target="media/image167.png"/><Relationship Id="rId198" Type="http://schemas.openxmlformats.org/officeDocument/2006/relationships/image" Target="media/image168.jpeg"/><Relationship Id="rId199" Type="http://schemas.openxmlformats.org/officeDocument/2006/relationships/image" Target="media/image169.jpeg"/><Relationship Id="rId200" Type="http://schemas.openxmlformats.org/officeDocument/2006/relationships/image" Target="media/image170.jpeg"/><Relationship Id="rId201" Type="http://schemas.openxmlformats.org/officeDocument/2006/relationships/image" Target="media/image171.png"/><Relationship Id="rId202" Type="http://schemas.openxmlformats.org/officeDocument/2006/relationships/image" Target="media/image172.jpeg"/><Relationship Id="rId203" Type="http://schemas.openxmlformats.org/officeDocument/2006/relationships/image" Target="media/image173.jpeg"/><Relationship Id="rId204" Type="http://schemas.openxmlformats.org/officeDocument/2006/relationships/image" Target="media/image174.jpeg"/><Relationship Id="rId205" Type="http://schemas.openxmlformats.org/officeDocument/2006/relationships/image" Target="media/image175.png"/><Relationship Id="rId206" Type="http://schemas.openxmlformats.org/officeDocument/2006/relationships/image" Target="media/image176.jpeg"/><Relationship Id="rId207" Type="http://schemas.openxmlformats.org/officeDocument/2006/relationships/image" Target="media/image177.jpeg"/><Relationship Id="rId208" Type="http://schemas.openxmlformats.org/officeDocument/2006/relationships/image" Target="media/image178.jpeg"/><Relationship Id="rId209" Type="http://schemas.openxmlformats.org/officeDocument/2006/relationships/image" Target="media/image179.png"/><Relationship Id="rId210" Type="http://schemas.openxmlformats.org/officeDocument/2006/relationships/image" Target="media/image180.jpeg"/><Relationship Id="rId211" Type="http://schemas.openxmlformats.org/officeDocument/2006/relationships/image" Target="media/image181.jpeg"/><Relationship Id="rId212" Type="http://schemas.openxmlformats.org/officeDocument/2006/relationships/image" Target="media/image182.jpeg"/><Relationship Id="rId213" Type="http://schemas.openxmlformats.org/officeDocument/2006/relationships/image" Target="media/image183.png"/><Relationship Id="rId214" Type="http://schemas.openxmlformats.org/officeDocument/2006/relationships/image" Target="media/image184.jpeg"/><Relationship Id="rId215" Type="http://schemas.openxmlformats.org/officeDocument/2006/relationships/image" Target="media/image185.jpeg"/><Relationship Id="rId216" Type="http://schemas.openxmlformats.org/officeDocument/2006/relationships/image" Target="media/image186.jpeg"/><Relationship Id="rId217" Type="http://schemas.openxmlformats.org/officeDocument/2006/relationships/image" Target="media/image187.png"/><Relationship Id="rId218" Type="http://schemas.openxmlformats.org/officeDocument/2006/relationships/image" Target="media/image188.jpeg"/><Relationship Id="rId219" Type="http://schemas.openxmlformats.org/officeDocument/2006/relationships/image" Target="media/image189.jpeg"/><Relationship Id="rId220" Type="http://schemas.openxmlformats.org/officeDocument/2006/relationships/image" Target="media/image190.jpeg"/><Relationship Id="rId221" Type="http://schemas.openxmlformats.org/officeDocument/2006/relationships/image" Target="media/image191.png"/><Relationship Id="rId222" Type="http://schemas.openxmlformats.org/officeDocument/2006/relationships/image" Target="media/image192.jpeg"/><Relationship Id="rId223" Type="http://schemas.openxmlformats.org/officeDocument/2006/relationships/image" Target="media/image193.jpeg"/><Relationship Id="rId224" Type="http://schemas.openxmlformats.org/officeDocument/2006/relationships/image" Target="media/image194.jpeg"/><Relationship Id="rId225" Type="http://schemas.openxmlformats.org/officeDocument/2006/relationships/image" Target="media/image195.png"/><Relationship Id="rId226" Type="http://schemas.openxmlformats.org/officeDocument/2006/relationships/image" Target="media/image196.jpeg"/><Relationship Id="rId227" Type="http://schemas.openxmlformats.org/officeDocument/2006/relationships/image" Target="media/image197.jpeg"/><Relationship Id="rId228" Type="http://schemas.openxmlformats.org/officeDocument/2006/relationships/image" Target="media/image198.jpeg"/><Relationship Id="rId229" Type="http://schemas.openxmlformats.org/officeDocument/2006/relationships/image" Target="media/image199.png"/><Relationship Id="rId230" Type="http://schemas.openxmlformats.org/officeDocument/2006/relationships/image" Target="media/image200.jpeg"/><Relationship Id="rId231" Type="http://schemas.openxmlformats.org/officeDocument/2006/relationships/image" Target="media/image201.jpeg"/><Relationship Id="rId232" Type="http://schemas.openxmlformats.org/officeDocument/2006/relationships/image" Target="media/image202.jpeg"/><Relationship Id="rId233" Type="http://schemas.openxmlformats.org/officeDocument/2006/relationships/image" Target="media/image203.png"/><Relationship Id="rId234" Type="http://schemas.openxmlformats.org/officeDocument/2006/relationships/image" Target="media/image204.jpeg"/><Relationship Id="rId235" Type="http://schemas.openxmlformats.org/officeDocument/2006/relationships/image" Target="media/image205.jpeg"/><Relationship Id="rId236" Type="http://schemas.openxmlformats.org/officeDocument/2006/relationships/image" Target="media/image206.jpeg"/><Relationship Id="rId237" Type="http://schemas.openxmlformats.org/officeDocument/2006/relationships/image" Target="media/image207.png"/><Relationship Id="rId238" Type="http://schemas.openxmlformats.org/officeDocument/2006/relationships/image" Target="media/image208.jpeg"/><Relationship Id="rId239" Type="http://schemas.openxmlformats.org/officeDocument/2006/relationships/image" Target="media/image209.jpeg"/><Relationship Id="rId240" Type="http://schemas.openxmlformats.org/officeDocument/2006/relationships/image" Target="media/image210.png"/><Relationship Id="rId241" Type="http://schemas.openxmlformats.org/officeDocument/2006/relationships/image" Target="media/image211.jpeg"/><Relationship Id="rId242" Type="http://schemas.openxmlformats.org/officeDocument/2006/relationships/image" Target="media/image212.jpeg"/><Relationship Id="rId243" Type="http://schemas.openxmlformats.org/officeDocument/2006/relationships/image" Target="media/image213.jpeg"/><Relationship Id="rId244" Type="http://schemas.openxmlformats.org/officeDocument/2006/relationships/image" Target="media/image214.png"/><Relationship Id="rId245" Type="http://schemas.openxmlformats.org/officeDocument/2006/relationships/image" Target="media/image215.jpeg"/><Relationship Id="rId246" Type="http://schemas.openxmlformats.org/officeDocument/2006/relationships/image" Target="media/image216.jpeg"/><Relationship Id="rId247" Type="http://schemas.openxmlformats.org/officeDocument/2006/relationships/image" Target="media/image217.jpe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120" Type="http://schemas.openxmlformats.org/officeDocument/2006/relationships/hyperlink" Target="https://www.sec.gov/Archives/edgar/data/1495320/000149532023000007/vra-2023123xex101.htm" TargetMode="External"/><Relationship Id="rId121" Type="http://schemas.openxmlformats.org/officeDocument/2006/relationships/hyperlink" Target="https://www.sec.gov/Archives/edgar/data/1495320/000149532021000027/vra-20210603xex31.htm" TargetMode="External"/><Relationship Id="rId122" Type="http://schemas.openxmlformats.org/officeDocument/2006/relationships/hyperlink" Target="https://www.sec.gov/Archives/edgar/data/1495320/000149532019000003/vra-20190228xex32.htm" TargetMode="External"/><Relationship Id="rId123" Type="http://schemas.openxmlformats.org/officeDocument/2006/relationships/hyperlink" Target="https://www.sec.gov/Archives/edgar/data/1495320/000119312510231184/dex41.htm" TargetMode="External"/><Relationship Id="rId124" Type="http://schemas.openxmlformats.org/officeDocument/2006/relationships/hyperlink" Target="https://www.sec.gov/Archives/edgar/data/1495320/000149532020000010/vra-20200201xex42.htm" TargetMode="External"/><Relationship Id="rId125" Type="http://schemas.openxmlformats.org/officeDocument/2006/relationships/hyperlink" Target="https://www.sec.gov/Archives/edgar/data/1495320/000119312510224879/dex105.htm" TargetMode="External"/><Relationship Id="rId126" Type="http://schemas.openxmlformats.org/officeDocument/2006/relationships/hyperlink" Target="https://www.sec.gov/Archives/edgar/data/1495320/000149532021000036/vra-20210501xex104.htm" TargetMode="External"/><Relationship Id="rId127" Type="http://schemas.openxmlformats.org/officeDocument/2006/relationships/hyperlink" Target="https://www.sec.gov/Archives/edgar/data/1495320/000149532019000010/vra-20190202xex104.htm" TargetMode="External"/><Relationship Id="rId128" Type="http://schemas.openxmlformats.org/officeDocument/2006/relationships/hyperlink" Target="https://www.sec.gov/Archives/edgar/data/1495320/000149532018000031/vra-20180804xex102.htm" TargetMode="External"/><Relationship Id="rId129" Type="http://schemas.openxmlformats.org/officeDocument/2006/relationships/hyperlink" Target="https://www.sec.gov/Archives/edgar/data/1495320/000149532024000050/vra-20240504xex101.htm" TargetMode="External"/><Relationship Id="rId130" Type="http://schemas.openxmlformats.org/officeDocument/2006/relationships/hyperlink" Target="https://www.sec.gov/Archives/edgar/data/1495320/000149532018000019/vra-20180505xex102.htm" TargetMode="External"/><Relationship Id="rId131" Type="http://schemas.openxmlformats.org/officeDocument/2006/relationships/hyperlink" Target="https://www.sec.gov/Archives/edgar/data/1495320/000149532023000049/vra-2023x0803xexx101.htm" TargetMode="External"/><Relationship Id="rId132" Type="http://schemas.openxmlformats.org/officeDocument/2006/relationships/hyperlink" Target="https://www.sec.gov/Archives/edgar/data/1495320/000149532023000049/vra-20230803xex102.htm" TargetMode="External"/><Relationship Id="rId133" Type="http://schemas.openxmlformats.org/officeDocument/2006/relationships/hyperlink" Target="https://www.sec.gov/Archives/edgar/data/0001495320/000149532023000049/vra-20230803xex102.htm" TargetMode="External"/><Relationship Id="rId134" Type="http://schemas.openxmlformats.org/officeDocument/2006/relationships/hyperlink" Target="https://www.sec.gov/Archives/edgar/data/0001495320/000149532023000049/vra-20230803xex103.htm" TargetMode="External"/><Relationship Id="rId135" Type="http://schemas.openxmlformats.org/officeDocument/2006/relationships/hyperlink" Target="https://www.sec.gov/Archives/edgar/data/1495320/000149532021000036/vra-20210501xex102.htm" TargetMode="External"/><Relationship Id="rId136" Type="http://schemas.openxmlformats.org/officeDocument/2006/relationships/hyperlink" Target="https://www.sec.gov/Archives/edgar/data/1495320/000149532021000036/vra-20210501xex103.htm" TargetMode="External"/><Relationship Id="rId139" Type="http://schemas.openxmlformats.org/officeDocument/2006/relationships/hyperlink" Target="https://www.sec.gov/Archives/edgar/data/1495320/000149532022000039/ex-10120220920.htm" TargetMode="External"/><Relationship Id="rId140" Type="http://schemas.openxmlformats.org/officeDocument/2006/relationships/hyperlink" Target="https://www.sec.gov/Archives/edgar/data/1495320/000149532022000046/vra-20221029xex101.htm" TargetMode="External"/><Relationship Id="rId141" Type="http://schemas.openxmlformats.org/officeDocument/2006/relationships/hyperlink" Target="https://www.sec.gov/Archives/edgar/data/0001495320/000149532022000046/vra-20221029xex101.htm" TargetMode="External"/><Relationship Id="rId142" Type="http://schemas.openxmlformats.org/officeDocument/2006/relationships/hyperlink" Target="https://www.sec.gov/Archives/edgar/data/1495320/000149532022000026/vra-20220430xex102.htm" TargetMode="External"/><Relationship Id="rId143" Type="http://schemas.openxmlformats.org/officeDocument/2006/relationships/hyperlink" Target="https://www.sec.gov/ix?doc=/Archives/edgar/data/1495320/000119312523110460/d442568ddef14a.htm" TargetMode="External"/><Relationship Id="rId144" Type="http://schemas.openxmlformats.org/officeDocument/2006/relationships/hyperlink" Target="https://www.sec.gov/Archives/edgar/data/1495320/000149532024000026/vra-20240203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2025-03-28T12:20:12Z</dcterms:created>
  <dcterms:modified xsi:type="dcterms:W3CDTF">2025-03-28T12:20:12Z</dcterms:modified>
</cp:coreProperties>
</file>