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2,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27,936,522 shares of its common stock outstanding as of September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9"/>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August 2, 2025 and August 3, 2024</w:t>
            </w:r>
          </w:p>
        </w:tc>
        <w:tc>
          <w:tcPr>
            <w:tcW w:w="4160" w:type="dxa"/>
            <w:vAlign w:val="bottom"/>
            <w:gridSpan w:val="6"/>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Twenty-Six Weeks Ended August 2, 2025 and August</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6"/>
              </w:rPr>
              <w:t>3, 2024</w:t>
            </w:r>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Thirteen and Twenty-Six Weeks Ended August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2, 2025 and August 3, 2024</w:t>
            </w:r>
          </w:p>
        </w:tc>
        <w:tc>
          <w:tcPr>
            <w:tcW w:w="1060" w:type="dxa"/>
            <w:vAlign w:val="bottom"/>
            <w:gridSpan w:val="2"/>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Twenty-Six Weeks Ended August 2, 2025</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7"/>
              </w:rPr>
              <w:t>and August 3, 2024</w:t>
            </w:r>
          </w:p>
        </w:tc>
        <w:tc>
          <w:tcPr>
            <w:tcW w:w="7500" w:type="dxa"/>
            <w:vAlign w:val="bottom"/>
            <w:tcBorders>
              <w:top w:val="single" w:sz="8" w:color="0000FF"/>
            </w:tcBorders>
            <w:gridSpan w:val="11"/>
          </w:tcPr>
          <w:p>
            <w:pPr>
              <w:spacing w:after="0"/>
              <w:rPr>
                <w:sz w:val="14"/>
                <w:szCs w:val="14"/>
                <w:color w:val="auto"/>
              </w:rPr>
            </w:pPr>
          </w:p>
        </w:tc>
        <w:tc>
          <w:tcPr>
            <w:tcW w:w="1180" w:type="dxa"/>
            <w:vAlign w:val="bottom"/>
            <w:gridSpan w:val="3"/>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Twenty-Six Weeks Ended August 2, 2025 and August 3, 2024</w:t>
            </w:r>
          </w:p>
        </w:tc>
        <w:tc>
          <w:tcPr>
            <w:tcW w:w="134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40" w:type="dxa"/>
            <w:vAlign w:val="bottom"/>
            <w:gridSpan w:val="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6"/>
          </w:tcPr>
          <w:p>
            <w:pPr>
              <w:spacing w:after="0"/>
              <w:rPr>
                <w:sz w:val="22"/>
                <w:szCs w:val="22"/>
                <w:color w:val="auto"/>
              </w:rPr>
            </w:pPr>
          </w:p>
        </w:tc>
        <w:tc>
          <w:tcPr>
            <w:tcW w:w="5740" w:type="dxa"/>
            <w:vAlign w:val="bottom"/>
            <w:gridSpan w:val="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as developed by the Strategy and Transformation Board Committee;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February 1, 2025,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contingent consideration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140,453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266,176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0" w:type="dxa"/>
            <w:vAlign w:val="bottom"/>
          </w:tcPr>
          <w:p>
            <w:pPr>
              <w:spacing w:after="0"/>
              <w:rPr>
                <w:sz w:val="1"/>
                <w:szCs w:val="1"/>
                <w:color w:val="auto"/>
              </w:rPr>
            </w:pPr>
          </w:p>
        </w:tc>
      </w:tr>
      <w:tr>
        <w:trPr>
          <w:trHeight w:val="212"/>
        </w:trPr>
        <w:tc>
          <w:tcPr>
            <w:tcW w:w="82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43,772 and 43,535 shares issued and 27,937 and 27,701</w:t>
            </w:r>
          </w:p>
        </w:tc>
        <w:tc>
          <w:tcPr>
            <w:tcW w:w="2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115,515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220,279</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140,486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178,955</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6"/>
                <w:szCs w:val="16"/>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161,951</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81,202</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80,749</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r>
      <w:tr>
        <w:trPr>
          <w:trHeight w:val="270"/>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6"/>
                <w:szCs w:val="16"/>
                <w:color w:val="auto"/>
              </w:rPr>
            </w:pPr>
          </w:p>
        </w:tc>
        <w:tc>
          <w:tcPr>
            <w:tcW w:w="270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7"/>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37"/>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27,700,900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(156,820)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178,955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217,422</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27,918,322</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116,098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186,819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 xml:space="preserve"> (156,820)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146,034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2,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27,936,704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 xml:space="preserve"> (156,820)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30,813,616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(135,056)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13,398,430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(141,404)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28,705,330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14,760,678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(150,949)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60" w:type="dxa"/>
            <w:vAlign w:val="bottom"/>
          </w:tcPr>
          <w:p>
            <w:pPr>
              <w:spacing w:after="0"/>
              <w:rPr>
                <w:sz w:val="11"/>
                <w:szCs w:val="11"/>
                <w:color w:val="auto"/>
              </w:rPr>
            </w:pPr>
          </w:p>
        </w:tc>
        <w:tc>
          <w:tcPr>
            <w:tcW w:w="1180" w:type="dxa"/>
            <w:vAlign w:val="bottom"/>
          </w:tcPr>
          <w:p>
            <w:pPr>
              <w:jc w:val="right"/>
              <w:ind w:right="368"/>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charges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sale of business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loss,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22,691</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r>
      <w:tr>
        <w:trPr>
          <w:trHeight w:val="196"/>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Proceeds from sale of business, net of cash disposed</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(15,893)</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under asset-based revolving credit agreement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Repayment of borrowings under asset-based revolving credit agreement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(16,356)</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(33,156)</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77,303</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60" w:type="dxa"/>
            <w:vAlign w:val="bottom"/>
          </w:tcPr>
          <w:p>
            <w:pPr>
              <w:spacing w:after="0"/>
              <w:rPr>
                <w:sz w:val="11"/>
                <w:szCs w:val="11"/>
                <w:color w:val="auto"/>
              </w:rPr>
            </w:pPr>
          </w:p>
        </w:tc>
        <w:tc>
          <w:tcPr>
            <w:tcW w:w="1180" w:type="dxa"/>
            <w:vAlign w:val="bottom"/>
          </w:tcPr>
          <w:p>
            <w:pPr>
              <w:jc w:val="right"/>
              <w:ind w:right="368"/>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 incurred but not yet paid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consideration related to sale of business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left="360" w:right="280"/>
        <w:spacing w:after="0" w:line="282" w:lineRule="auto"/>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 Refer to Note 14 herein for supplemental cash flow information regarding the discontinued operations.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Prior period amounts have been retrospectively adjusted to conform to the current period presentation.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disclosures in these condensed consolidated financial statements reflect continuing operations only. Certain prior period data, primarily related to discontinued operations, have been reclassified in the Consolidated Condensed Financial Statements and accompanying notes to conform to the current period presentation.</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sale, Pura Vida is no longer included in the Company’s consolidated financial results. Refer to Note 14 for additional information.</w:t>
      </w:r>
    </w:p>
    <w:p>
      <w:pPr>
        <w:spacing w:after="0" w:line="90"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reportable segments: Vera Bradley Direct (“VB Direct”) and Vera Bradley Indirect (“VB Indirect”). During the thirteen weeks ended May 3, 2025, the Company completed the sale of Pura Vida, which was previously considered a reportable segment.</w:t>
      </w:r>
    </w:p>
    <w:p>
      <w:pPr>
        <w:spacing w:after="0" w:line="40"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e-commerce sites (verabradley.com, outlet.verabradley.com, and international.verabradley.com); and the Vera Bradley annual outlet sale in Fort Wayne, Indiana. As of August 2, 2025, the Company operated 32 full-line stores and 86 outlet stores.</w:t>
      </w:r>
    </w:p>
    <w:p>
      <w:pPr>
        <w:spacing w:after="0" w:line="54"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1,100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1, 2025, filed with the SEC.</w:t>
      </w:r>
    </w:p>
    <w:p>
      <w:pPr>
        <w:spacing w:after="0" w:line="66"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2, 2025,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40"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3, 2025, the Company completed the sale of its wholly owned subsidiary, Creative Genius, also referred to as Pura Vida. As a result, the operations of Pura Vida have been classified as discontinued operations in the consolidated financial statements in accordance with ASC 205-20. Prior period amounts have been retrospectively adjusted to conform to the current period presentation.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August 2, 2025 and August 3, 2024 refer to the thirteen week periods ended on those dates.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new standard is effective for fiscal years beginning after December 15, 2024 (the Company's fiscal year 2026), with retrospective application permitted. The Company is currently evaluating this guidance to determine the impact on its disclosures; however, adoption will not impact our consolidated financial statements.</w:t>
      </w:r>
    </w:p>
    <w:p>
      <w:pPr>
        <w:spacing w:after="0" w:line="5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weeks ended August 2, 2025 and August 3,</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2024 (in thousands):</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2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70,858</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920" w:hanging="6"/>
        <w:spacing w:after="0" w:line="245"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million of net revenues related to product sales recognized at a point in time and $0.5 million of net revenues related to sales-based royalties recognized over time.</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2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million of net revenues related to product sales recognized at a point in time and $0.5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the Company's net revenues disaggregated by product category for the twenty-six weeks ended August 2, 2025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August 3, 2024 (in thousands):</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1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46,799</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58,262</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103,597</w:t>
            </w: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122,510</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45"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million of net revenues related to product sales recognized at a point in time and $1.2 million of net revenues related to sales-based royalties recognized over time.</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55,964</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161,951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 million of net revenues related to product sales recognized at a point in time and $1.0 million of net revenues related to sales-based royalties recognized over time.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Contract liabilities as of August 2, 2025 and February 1, 2025, were $1.6 million and $1.7 million, respectively. The balance as of August 2, 2025 and February 1, 2025 consisted of unredeemed gift cards. These contract liabilities are recognized within other accrued liabilities on the Company’s Condensed Consolidated Balance Sheets. Substantially all contract liabilities are recognized within one year. The Company did not have contract assets as of August 2, 2025 and February 1,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August 2, 2025 and February 1, 2025, was $16.5 million and $13.3 million, respectively, which is recognized within accounts receivable, net, on the Company’s Condensed Consolidated Balance Sheets. The provision for doubtful accounts was $0.8 million as of August 2, 2025 and February 1, 2025,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and VB Indirect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August 2, 2025.</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Discount Rate</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August 2, 2025, and August 3, 2024 was 5.1% and 4.9%,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9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August 2, 2025, there were no executed leases in which the Company did not have control of the underlying asset.</w:t>
      </w:r>
    </w:p>
    <w:p>
      <w:pPr>
        <w:spacing w:after="0" w:line="9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w:t>
      </w:r>
    </w:p>
    <w:p>
      <w:pPr>
        <w:spacing w:after="0" w:line="27" w:lineRule="exact"/>
        <w:rPr>
          <w:sz w:val="20"/>
          <w:szCs w:val="20"/>
          <w:color w:val="auto"/>
        </w:rPr>
      </w:pPr>
    </w:p>
    <w:p>
      <w:pPr>
        <w:ind w:left="660" w:right="160"/>
        <w:spacing w:after="0" w:line="259" w:lineRule="auto"/>
        <w:rPr>
          <w:sz w:val="20"/>
          <w:szCs w:val="20"/>
          <w:color w:val="auto"/>
        </w:rPr>
      </w:pPr>
      <w:r>
        <w:rPr>
          <w:rFonts w:ascii="Times New Roman" w:cs="Times New Roman" w:eastAsia="Times New Roman" w:hAnsi="Times New Roman"/>
          <w:sz w:val="18"/>
          <w:szCs w:val="18"/>
          <w:color w:val="auto"/>
        </w:rPr>
        <w:t>and administrative expenses for all other leases, including retail store leases, in the Company's Condensed Consolidated Statement of Operations for the twenty-six weeks ended August 2, 2025 and August 3, 2024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6"/>
                <w:szCs w:val="16"/>
                <w:color w:val="auto"/>
              </w:rPr>
            </w:pPr>
          </w:p>
        </w:tc>
        <w:tc>
          <w:tcPr>
            <w:tcW w:w="342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August 3, 2024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29"/>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2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-121920</wp:posOffset>
            </wp:positionV>
            <wp:extent cx="4766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August 2, 2025 and August 3, 2024 was 4.4 years and 4.9 years,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300" w:type="dxa"/>
            <w:vAlign w:val="bottom"/>
          </w:tcPr>
          <w:p>
            <w:pPr>
              <w:spacing w:after="0"/>
              <w:rPr>
                <w:sz w:val="16"/>
                <w:szCs w:val="16"/>
                <w:color w:val="auto"/>
              </w:rPr>
            </w:pPr>
          </w:p>
        </w:tc>
        <w:tc>
          <w:tcPr>
            <w:tcW w:w="15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w:t>
            </w:r>
          </w:p>
        </w:tc>
      </w:tr>
      <w:tr>
        <w:trPr>
          <w:trHeight w:val="176"/>
        </w:trPr>
        <w:tc>
          <w:tcPr>
            <w:tcW w:w="6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r>
    </w:tbl>
    <w:p>
      <w:pPr>
        <w:spacing w:after="0" w:line="49" w:lineRule="exact"/>
        <w:rPr>
          <w:sz w:val="20"/>
          <w:szCs w:val="20"/>
          <w:color w:val="auto"/>
        </w:rPr>
      </w:pPr>
    </w:p>
    <w:p>
      <w:pPr>
        <w:ind w:left="680" w:right="1240" w:hanging="6"/>
        <w:spacing w:after="0" w:line="237" w:lineRule="auto"/>
        <w:tabs>
          <w:tab w:leader="none" w:pos="9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of lease liabilities were recorded within accounts payable on the Company's Consolidated Balance Sheets as of August 2, 2025 and August 3, 2024, and were subsequently paid in the month following the end of each respective period.</w:t>
      </w:r>
    </w:p>
    <w:p>
      <w:pPr>
        <w:spacing w:after="0" w:line="3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3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18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9"/>
        </w:trPr>
        <w:tc>
          <w:tcPr>
            <w:tcW w:w="4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6"/>
        </w:trPr>
        <w:tc>
          <w:tcPr>
            <w:tcW w:w="49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196"/>
        </w:trPr>
        <w:tc>
          <w:tcPr>
            <w:tcW w:w="49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(38,132)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(2,415)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net (loss) income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net (loss) income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4"/>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31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For the thirteen and twenty-six weeks ended August 2, 2025, and the twenty-six weeks ended August 3, 2024, all potential common shares were excluded from the diluted share calculation because they were anti-dilutive due to the net loss in the period.</w:t>
      </w:r>
    </w:p>
    <w:p>
      <w:pPr>
        <w:spacing w:after="0" w:line="18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2024,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August 2, 2025 and February 1, 2025, approximated their fair values.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instruments as of August 2, 2025 and February 1, 2025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8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240" w:type="dxa"/>
            <w:vAlign w:val="bottom"/>
            <w:tcBorders>
              <w:top w:val="single" w:sz="8" w:color="auto"/>
            </w:tcBorders>
            <w:gridSpan w:val="4"/>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900" w:type="dxa"/>
            <w:vAlign w:val="bottom"/>
            <w:tcBorders>
              <w:top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260" w:type="dxa"/>
            <w:vAlign w:val="bottom"/>
            <w:tcBorders>
              <w:top w:val="single" w:sz="8" w:color="auto"/>
            </w:tcBorders>
            <w:gridSpan w:val="4"/>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90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260" w:type="dxa"/>
            <w:vAlign w:val="bottom"/>
            <w:tcBorders>
              <w:top w:val="single" w:sz="8" w:color="auto"/>
            </w:tcBorders>
            <w:gridSpan w:val="4"/>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88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1240" w:type="dxa"/>
            <w:vAlign w:val="bottom"/>
            <w:gridSpan w:val="4"/>
            <w:vMerge w:val="continue"/>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 consideration related to sale of</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4"/>
                <w:szCs w:val="24"/>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680" w:right="940" w:hanging="6"/>
        <w:spacing w:after="0" w:line="229"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9"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during the thirteen weeks ended May 3, 2025. Refer to Note 14 herein for additional information.</w:t>
      </w:r>
    </w:p>
    <w:p>
      <w:pPr>
        <w:spacing w:after="0" w:line="185"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No impairment charges were recorded for the thirteen weeks ended August 2, 2025. For the twenty-six weeks ended August 2, 2025, the Company recorded $1.0 million for store property, plant, and equipment charges . These charges are included in selling, general, and administrative ("SG&amp;A") expenses in the Consolidated Statements of Operations and in impairment charges in the Consolidated Statements of Cash Flows. There were no long-lived asset impairment charges for the thirteen and twenty-six weeks ended August 3, 2024.</w:t>
      </w:r>
    </w:p>
    <w:p>
      <w:pPr>
        <w:spacing w:after="0" w:line="57"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w:t>
      </w:r>
    </w:p>
    <w:p>
      <w:pPr>
        <w:spacing w:after="0" w:line="10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31" w:lineRule="exact"/>
        <w:rPr>
          <w:rFonts w:ascii="Times New Roman" w:cs="Times New Roman" w:eastAsia="Times New Roman" w:hAnsi="Times New Roman"/>
          <w:sz w:val="18"/>
          <w:szCs w:val="18"/>
          <w:b w:val="1"/>
          <w:bCs w:val="1"/>
          <w:color w:val="auto"/>
        </w:rPr>
      </w:pPr>
    </w:p>
    <w:p>
      <w:pPr>
        <w:ind w:left="6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dated September 7, 2018.</w:t>
      </w:r>
    </w:p>
    <w:p>
      <w:pPr>
        <w:spacing w:after="0" w:line="46"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 The Fourth Amendment allowed for the sale of Creative Genius and irrevocably released Creative Genius from the loan documents upon completion of the sale.</w:t>
      </w:r>
    </w:p>
    <w:p>
      <w:pPr>
        <w:spacing w:after="0" w:line="52"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66"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8"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$25.0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rFonts w:ascii="Times New Roman" w:cs="Times New Roman" w:eastAsia="Times New Roman" w:hAnsi="Times New Roman"/>
          <w:sz w:val="18"/>
          <w:szCs w:val="18"/>
          <w:b w:val="1"/>
          <w:bCs w:val="1"/>
          <w:color w:val="auto"/>
        </w:rPr>
      </w:pPr>
    </w:p>
    <w:p>
      <w:pPr>
        <w:ind w:left="660" w:right="12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As of August 2, 2025, the Company had $10.0 million borrowings outstanding and availability of $65.0 million under the Credit Agreement, compared to no borrowings outstanding and availability of $75.0 million as of February 1, 2025 under the Credit Agreement.</w:t>
      </w:r>
    </w:p>
    <w:p>
      <w:pPr>
        <w:spacing w:after="0" w:line="18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40"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August 2, 2025, was 0.4%, compared to (188.2)% for the thirteen weeks ended August 3, 2024. The change in year-over-year effective tax rate was primarily attributable to a full valuation allowance recorded against the Company's net deferred tax assets for the fiscal year ended February 1, 2025.</w:t>
      </w:r>
    </w:p>
    <w:p>
      <w:pPr>
        <w:spacing w:after="0" w:line="54" w:lineRule="exact"/>
        <w:rPr>
          <w:rFonts w:ascii="Times New Roman" w:cs="Times New Roman" w:eastAsia="Times New Roman" w:hAnsi="Times New Roman"/>
          <w:sz w:val="18"/>
          <w:szCs w:val="18"/>
          <w:b w:val="1"/>
          <w:bCs w:val="1"/>
          <w:color w:val="auto"/>
        </w:rPr>
      </w:pPr>
    </w:p>
    <w:p>
      <w:pPr>
        <w:jc w:val="both"/>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twenty-six weeks ended August 2, 2025, was (1.7)%, compared to 99.0% for the twenty-six weeks ended August 3, 2024. The change in year-over-year effective tax rate was primarily attributable to a full valuation allowance recorded against the Company's net deferred tax assets for the fiscal year ended February 1, 2025.</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14 herein for the information regarding the income tax impact associated with the sale of Pura Vida on March 31, 2025.</w:t>
      </w:r>
    </w:p>
    <w:p>
      <w:pPr>
        <w:spacing w:after="0" w:line="103" w:lineRule="exact"/>
        <w:rPr>
          <w:rFonts w:ascii="Times New Roman" w:cs="Times New Roman" w:eastAsia="Times New Roman" w:hAnsi="Times New Roman"/>
          <w:sz w:val="18"/>
          <w:szCs w:val="18"/>
          <w:b w:val="1"/>
          <w:bCs w:val="1"/>
          <w:color w:val="auto"/>
        </w:rPr>
      </w:pPr>
    </w:p>
    <w:p>
      <w:pPr>
        <w:ind w:left="6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4, 2025, the One Big Beautiful Bill Act (“OBBBA”) was signed into law, making permanent certain provisions of the Tax Cuts and Jobs Act, including 100% bonus depreciation, domestic research cost expensing, and the business interest expense limitation. In accordance with ASC 740, the Company has recognized the effects of the new tax law in the period of enactment. As the Company maintains a full valuation allowance on its U.S. deferred tax assets, the legislation does not have a material impact on our consolidated financial statements for the quarter ended August 2, 2025.</w:t>
      </w:r>
    </w:p>
    <w:p>
      <w:pPr>
        <w:spacing w:after="0" w:line="30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92"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August 2, 2025, the Company granted 1,253,694 time-based and performance based restricted stock units with an aggregate fair value of $2.7 million to certain employees and non-employee directors under the 2020 Equity and Incentive Plan compared to 14,612 time-based and performance-based restricted stock units with an aggregate fair value of $0.1 million in the same period of the prior year.</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twenty-six weeks ended August 2, 2025, the Company granted 2,757,196 time-based and performance-based restricted stock units with an aggregate fair value of $5.9 million to certain employees and non-employee directors under the 2020 Equity and Incentive Plan compared to 755,647 time-based and performance-based restricted stock units with an aggregate fair value of $5.1 million in the same period of the prior year.</w:t>
      </w:r>
    </w:p>
    <w:p>
      <w:pPr>
        <w:spacing w:after="0" w:line="36"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Time-based restricted stock units vest and settle in shares of the Company’s common stock, on a one-for-one basis, with most vesting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44"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August 2, 2025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7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August 2,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As of August 2, 2025, there was $4.3 million of total unrecognized compensation cost, net of estimated forfeitures, related to nonvested restricted stock units. That cost is expected to be recognized over a weighted-average period of 2.1 years, subject to meeting performance conditions.</w:t>
      </w:r>
    </w:p>
    <w:p>
      <w:pPr>
        <w:spacing w:after="0" w:line="24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w:t>
      </w:r>
    </w:p>
    <w:p>
      <w:pPr>
        <w:spacing w:after="0" w:line="15" w:lineRule="exact"/>
        <w:rPr>
          <w:rFonts w:ascii="Times New Roman" w:cs="Times New Roman" w:eastAsia="Times New Roman" w:hAnsi="Times New Roman"/>
          <w:sz w:val="18"/>
          <w:szCs w:val="18"/>
          <w:b w:val="1"/>
          <w:bCs w:val="1"/>
          <w:color w:val="auto"/>
        </w:rPr>
      </w:pPr>
    </w:p>
    <w:p>
      <w:pPr>
        <w:ind w:left="660"/>
        <w:spacing w:after="0" w:line="2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 The Company is also subject to other legal proceedings from time to time in the ordinary course of business but does not believe any of these such claims would have a material adverse impact on the Company at this time.</w:t>
      </w:r>
    </w:p>
    <w:p>
      <w:pPr>
        <w:spacing w:after="0" w:line="19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expired in December 2024.</w:t>
      </w:r>
    </w:p>
    <w:p>
      <w:pPr>
        <w:spacing w:after="0" w:line="27" w:lineRule="exact"/>
        <w:rPr>
          <w:rFonts w:ascii="Times New Roman" w:cs="Times New Roman" w:eastAsia="Times New Roman" w:hAnsi="Times New Roman"/>
          <w:sz w:val="18"/>
          <w:szCs w:val="18"/>
          <w:b w:val="1"/>
          <w:bCs w:val="1"/>
          <w:color w:val="auto"/>
        </w:rPr>
      </w:pPr>
    </w:p>
    <w:p>
      <w:pPr>
        <w:ind w:left="660" w:right="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fiscal 2025,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63" w:lineRule="exact"/>
        <w:rPr>
          <w:rFonts w:ascii="Times New Roman" w:cs="Times New Roman" w:eastAsia="Times New Roman" w:hAnsi="Times New Roman"/>
          <w:sz w:val="18"/>
          <w:szCs w:val="18"/>
          <w:b w:val="1"/>
          <w:bCs w:val="1"/>
          <w:color w:val="auto"/>
        </w:rPr>
      </w:pPr>
    </w:p>
    <w:p>
      <w:pPr>
        <w:ind w:left="660" w:right="3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August 2, 2025, there was $30.0 million remaining available to repurchase shares of the Company's common stock under the 2024 Share Repurchase Program.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As of August 2, 2025, the Company held as treasury shares 15,834,579 shares of its common stock at an average price of $9.90 per share, excluding commissions, for an aggregate carrying amount of $156.8 million. The Company’s treasury shares may be issued under the 2010 Equity and Incentive Plan (with respect to outstanding awards under that plan), under the 2020 Equity and Incentive Plan, or for other corporate purposes.</w:t>
      </w:r>
    </w:p>
    <w:p>
      <w:pPr>
        <w:spacing w:after="0" w:line="262"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$0.4 million and $0.6 million as of August 2, 2025 and February 1, 2025, respectively. Of this total, $0.2 million and $0.4 million was recorded within prepaid expenses and other current assets and $0.2 million was recorded within other assets on the Company's Condensed Consolidated Balance Sheets as of August 2, 2025 and February 1, 2025, respectively. The CCA implementation costs are recorded within operating activities in the Company's Condensed Consolidated Statements of Cash Flows.</w:t>
      </w:r>
    </w:p>
    <w:p>
      <w:pPr>
        <w:spacing w:after="0" w:line="386" w:lineRule="exact"/>
        <w:rPr>
          <w:rFonts w:ascii="Times New Roman" w:cs="Times New Roman" w:eastAsia="Times New Roman" w:hAnsi="Times New Roman"/>
          <w:sz w:val="18"/>
          <w:szCs w:val="18"/>
          <w:b w:val="1"/>
          <w:bCs w:val="1"/>
          <w:color w:val="auto"/>
        </w:rPr>
      </w:pPr>
    </w:p>
    <w:p>
      <w:pPr>
        <w:ind w:left="660" w:right="7120" w:hanging="652"/>
        <w:spacing w:after="0" w:line="383" w:lineRule="auto"/>
        <w:tabs>
          <w:tab w:leader="none" w:pos="655"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rFonts w:ascii="Times New Roman" w:cs="Times New Roman" w:eastAsia="Times New Roman" w:hAnsi="Times New Roman"/>
          <w:sz w:val="17"/>
          <w:szCs w:val="17"/>
          <w:b w:val="1"/>
          <w:bCs w:val="1"/>
          <w:color w:val="auto"/>
        </w:rPr>
      </w:pPr>
    </w:p>
    <w:p>
      <w:pPr>
        <w:ind w:left="66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were expected to be fully realized in fiscal 2025. In late fiscal 2025, additional cost reduction initiatives were identified and are expected to be fully realized in fiscal 2026. Expense savings are being derived across various areas of the Company, including retail store efficiencies, marketing expenses, information technology contracts, professional services, logistics and operational costs, and corporate payroll.</w:t>
      </w:r>
    </w:p>
    <w:p>
      <w:pPr>
        <w:spacing w:after="0" w:line="44"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incurred the following charges during the thirteen weeks ended August 2, 2025 (in thousands):</w:t>
      </w: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selling, general, and administrative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twenty-six weeks ended August 2, 2025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Recorded within SG&amp;A expenses</w:t>
            </w: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46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7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Notes to the Condensed Consolidated Financial Statements</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9"/>
        </w:trPr>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2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center"/>
              <w:ind w:left="1336"/>
              <w:spacing w:after="0"/>
              <w:rPr>
                <w:sz w:val="20"/>
                <w:szCs w:val="20"/>
                <w:color w:val="auto"/>
              </w:rPr>
            </w:pPr>
            <w:r>
              <w:rPr>
                <w:rFonts w:ascii="Times New Roman" w:cs="Times New Roman" w:eastAsia="Times New Roman" w:hAnsi="Times New Roman"/>
                <w:sz w:val="18"/>
                <w:szCs w:val="18"/>
                <w:color w:val="auto"/>
                <w:w w:val="98"/>
              </w:rPr>
              <w:t>2,525</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 charges</w:t>
            </w:r>
          </w:p>
        </w:tc>
        <w:tc>
          <w:tcPr>
            <w:tcW w:w="120" w:type="dxa"/>
            <w:vAlign w:val="bottom"/>
          </w:tcPr>
          <w:p>
            <w:pPr>
              <w:spacing w:after="0"/>
              <w:rPr>
                <w:sz w:val="19"/>
                <w:szCs w:val="19"/>
                <w:color w:val="auto"/>
              </w:rPr>
            </w:pPr>
          </w:p>
        </w:tc>
        <w:tc>
          <w:tcPr>
            <w:tcW w:w="1940" w:type="dxa"/>
            <w:vAlign w:val="bottom"/>
          </w:tcPr>
          <w:p>
            <w:pPr>
              <w:jc w:val="center"/>
              <w:ind w:left="1336"/>
              <w:spacing w:after="0"/>
              <w:rPr>
                <w:sz w:val="20"/>
                <w:szCs w:val="20"/>
                <w:color w:val="auto"/>
              </w:rPr>
            </w:pPr>
            <w:r>
              <w:rPr>
                <w:rFonts w:ascii="Times New Roman" w:cs="Times New Roman" w:eastAsia="Times New Roman" w:hAnsi="Times New Roman"/>
                <w:sz w:val="18"/>
                <w:szCs w:val="18"/>
                <w:color w:val="auto"/>
                <w:w w:val="98"/>
              </w:rPr>
              <w:t>3,308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center"/>
              <w:ind w:left="1296"/>
              <w:spacing w:after="0"/>
              <w:rPr>
                <w:sz w:val="20"/>
                <w:szCs w:val="20"/>
                <w:color w:val="auto"/>
              </w:rPr>
            </w:pPr>
            <w:r>
              <w:rPr>
                <w:rFonts w:ascii="Times New Roman" w:cs="Times New Roman" w:eastAsia="Times New Roman" w:hAnsi="Times New Roman"/>
                <w:sz w:val="18"/>
                <w:szCs w:val="18"/>
                <w:color w:val="auto"/>
                <w:w w:val="98"/>
              </w:rPr>
              <w:t>(3,803)</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August 2,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center"/>
              <w:ind w:left="1336"/>
              <w:spacing w:after="0"/>
              <w:rPr>
                <w:sz w:val="20"/>
                <w:szCs w:val="20"/>
                <w:color w:val="auto"/>
              </w:rPr>
            </w:pPr>
            <w:r>
              <w:rPr>
                <w:rFonts w:ascii="Times New Roman" w:cs="Times New Roman" w:eastAsia="Times New Roman" w:hAnsi="Times New Roman"/>
                <w:sz w:val="18"/>
                <w:szCs w:val="18"/>
                <w:color w:val="auto"/>
                <w:w w:val="98"/>
              </w:rPr>
              <w:t>2,030</w:t>
            </w:r>
          </w:p>
        </w:tc>
        <w:tc>
          <w:tcPr>
            <w:tcW w:w="0" w:type="dxa"/>
            <w:vAlign w:val="bottom"/>
          </w:tcPr>
          <w:p>
            <w:pPr>
              <w:spacing w:after="0"/>
              <w:rPr>
                <w:sz w:val="1"/>
                <w:szCs w:val="1"/>
                <w:color w:val="auto"/>
              </w:rPr>
            </w:pPr>
          </w:p>
        </w:tc>
      </w:tr>
      <w:tr>
        <w:trPr>
          <w:trHeight w:val="21"/>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August 3, 2024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7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twenty-six weeks ended August 3, 2024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7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ectPr>
          <w:pgSz w:w="11900" w:h="16838" w:orient="portrait"/>
          <w:cols w:equalWidth="0" w:num="1">
            <w:col w:w="10740"/>
          </w:cols>
          <w:pgMar w:left="32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407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Fiscal 2025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4078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August 3, 2024</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(1) Remaining liability is recorded within accrued employment costs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p>
      <w:pPr>
        <w:jc w:val="center"/>
        <w:ind w:right="260"/>
        <w:spacing w:after="0" w:line="207" w:lineRule="auto"/>
        <w:rPr>
          <w:sz w:val="20"/>
          <w:szCs w:val="20"/>
          <w:color w:val="auto"/>
        </w:rPr>
      </w:pPr>
      <w:r>
        <w:rPr>
          <w:rFonts w:ascii="Times New Roman" w:cs="Times New Roman" w:eastAsia="Times New Roman" w:hAnsi="Times New Roman"/>
          <w:sz w:val="14"/>
          <w:szCs w:val="14"/>
          <w:b w:val="1"/>
          <w:bCs w:val="1"/>
          <w:color w:val="auto"/>
        </w:rPr>
        <w:t>Retention Payment Acceleration</w:t>
      </w:r>
    </w:p>
    <w:tbl>
      <w:tblPr>
        <w:tblLayout w:type="fixed"/>
        <w:tblInd w:w="0" w:type="dxa"/>
        <w:tblCellMar>
          <w:top w:w="0" w:type="dxa"/>
          <w:left w:w="0" w:type="dxa"/>
          <w:bottom w:w="0" w:type="dxa"/>
          <w:right w:w="0" w:type="dxa"/>
        </w:tblCellMar>
      </w:tblPr>
      <w:tr>
        <w:trPr>
          <w:trHeight w:val="205"/>
        </w:trPr>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14"/>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18"/>
                <w:szCs w:val="18"/>
                <w:b w:val="1"/>
                <w:bCs w:val="1"/>
                <w:color w:val="auto"/>
                <w:vertAlign w:val="superscript"/>
              </w:rPr>
              <w:t>(1)</w:t>
            </w:r>
          </w:p>
        </w:tc>
      </w:tr>
      <w:tr>
        <w:trPr>
          <w:trHeight w:val="218"/>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34"/>
        </w:trPr>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17" w:lineRule="exact"/>
        <w:rPr>
          <w:sz w:val="20"/>
          <w:szCs w:val="20"/>
          <w:color w:val="auto"/>
        </w:rPr>
      </w:pPr>
    </w:p>
    <w:p>
      <w:pPr>
        <w:sectPr>
          <w:pgSz w:w="11900" w:h="16838" w:orient="portrait"/>
          <w:cols w:equalWidth="0" w:num="2">
            <w:col w:w="7680" w:space="720"/>
            <w:col w:w="2340"/>
          </w:cols>
          <w:pgMar w:left="320" w:top="117"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660"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operating segments, which are also its reportable segments: VB Direct and VB Indirect. During the thirteen weeks ended May 3, 2025, the Company completed the sale of its wholly owned subsidiary, Creative Genius, also referred to as Pura Vida and was the Company's third reporting segment. Refer to Note 14 for additional information.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Executive Chairman, who is serving as the interim Chief Executive Officer.</w:t>
      </w:r>
    </w:p>
    <w:p>
      <w:pPr>
        <w:spacing w:after="0" w:line="52"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outlet stores; e-commerce sites (verabradley.com, outlet.verabradley.com, and international.verabradley.com); and the Vera Bradley annual outlet sale. Revenues generated from this segment are driven through the sale of Vera Bradley-branded products from Vera Bradley to end consumers.</w:t>
      </w:r>
    </w:p>
    <w:p>
      <w:pPr>
        <w:spacing w:after="0" w:line="54" w:lineRule="exact"/>
        <w:rPr>
          <w:rFonts w:ascii="Times New Roman" w:cs="Times New Roman" w:eastAsia="Times New Roman" w:hAnsi="Times New Roman"/>
          <w:sz w:val="18"/>
          <w:szCs w:val="18"/>
          <w:b w:val="1"/>
          <w:bCs w:val="1"/>
          <w:color w:val="auto"/>
        </w:rPr>
      </w:pPr>
    </w:p>
    <w:p>
      <w:pPr>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1,100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Income earned under the Transition Services Agreement ("TSA") resulting from the sale of Creative Genius is netted against these unallocated corporate expenses. All intercompany-related activities are eliminated in consolidation and are excluded from the segment reporting.</w:t>
      </w:r>
    </w:p>
    <w:p>
      <w:pPr>
        <w:spacing w:after="0" w:line="48" w:lineRule="exact"/>
        <w:rPr>
          <w:rFonts w:ascii="Times New Roman" w:cs="Times New Roman" w:eastAsia="Times New Roman" w:hAnsi="Times New Roman"/>
          <w:sz w:val="18"/>
          <w:szCs w:val="18"/>
          <w:b w:val="1"/>
          <w:bCs w:val="1"/>
          <w:color w:val="auto"/>
        </w:rPr>
      </w:pPr>
    </w:p>
    <w:p>
      <w:pPr>
        <w:ind w:left="6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spacing w:after="0" w:line="65" w:lineRule="exact"/>
        <w:rPr>
          <w:rFonts w:ascii="Times New Roman" w:cs="Times New Roman" w:eastAsia="Times New Roman" w:hAnsi="Times New Roman"/>
          <w:sz w:val="18"/>
          <w:szCs w:val="18"/>
          <w:b w:val="1"/>
          <w:bCs w:val="1"/>
          <w:color w:val="auto"/>
        </w:rPr>
      </w:pPr>
    </w:p>
    <w:p>
      <w:pPr>
        <w:jc w:val="both"/>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40"/>
        <w:spacing w:after="0" w:line="263" w:lineRule="auto"/>
        <w:rPr>
          <w:sz w:val="20"/>
          <w:szCs w:val="20"/>
          <w:color w:val="auto"/>
        </w:rPr>
      </w:pPr>
      <w:r>
        <w:rPr>
          <w:rFonts w:ascii="Times New Roman" w:cs="Times New Roman" w:eastAsia="Times New Roman" w:hAnsi="Times New Roman"/>
          <w:sz w:val="18"/>
          <w:szCs w:val="18"/>
          <w:color w:val="auto"/>
        </w:rPr>
        <w:t>Net revenues, cost of sales, other segment expenses, and operating income information for the Company’s reportable segments, as well as a reconciliation to (loss) income from continuing operations before income taxes during the thirteen and twenty-six weeks ended August 2, 2025 and August 3, 2024,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8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72"/>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33,286</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161,951</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81,202</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Other segment expenses, net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income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before income taxes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920" w:hanging="246"/>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net include selling, general and administrative expenses and are net of other income.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11, 2025, the Company completed the sale of Creative Genius pursuant to an Interest Purchase Agreement (the “Agreement”) to sell one hundred percent (100%) of Creative Genius, which operates under the name Pura Vida Bracelets. The sale consummated on March 31, 2025. In connection with the transaction, the Company received total consideration of $3.5 million, consisting of a combination of cash consideration, subject to net working capital and net cash adjustments as well as contingent consideration.</w:t>
      </w:r>
    </w:p>
    <w:p>
      <w:pPr>
        <w:spacing w:after="0" w:line="44"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closing, the Company received cash proceeds of $0.9 million. Cash proceeds totaled $0.1 million and $1.0 million for the thirteen and twenty-six weeks ended August 2, 2025. In addition, the Company is entitled to receive contingent consideration with an estimated fair value of</w:t>
      </w:r>
    </w:p>
    <w:p>
      <w:pPr>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 million, based on the present value of expected future payments. The contingent consideration is calculated as 5% of total sales generated by the divested business, as operated by the buyer, net of customary shipping costs, during the earn-out period specified in the agreement. The earn-out period and related terms are consistent with customary provisions for transactions of this nature. The fair value of the contingent consideration was determined using a probability-weighted discounted cash flow analysis based on internal projections of the buyer’s expected future sales. The fair value measurement is classified as Level 3 within the fair value hierarchy due to the use of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-2166620</wp:posOffset>
            </wp:positionV>
            <wp:extent cx="4114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Company will assess changes in the fair value of the contingent consideration at each reporting date, with any adjustments recognized in earnings in the period in which such changes are identified.</w:t>
      </w:r>
    </w:p>
    <w:p>
      <w:pPr>
        <w:spacing w:after="0" w:line="17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recorded a net loss on disposal of $15.2 million for the twenty-six weeks ended August 2, 2025. The loss on sale is presented as part of results of the discontinued operations.</w:t>
      </w:r>
    </w:p>
    <w:p>
      <w:pPr>
        <w:spacing w:after="0" w:line="4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Pura Vida business is reported as discontinued operations in the Consolidated Statements of Operations for all periods presented in this Form 10-Q. This business was historically presented as its own reportable segment.</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of discontinued operations were as follows for the thirteen and twenty-six weeks ended August 2, 2025 and August 3, 2024:</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9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1"/>
        </w:trPr>
        <w:tc>
          <w:tcPr>
            <w:tcW w:w="4120" w:type="dxa"/>
            <w:vAlign w:val="bottom"/>
          </w:tcPr>
          <w:p>
            <w:pPr>
              <w:spacing w:after="0"/>
              <w:rPr>
                <w:sz w:val="11"/>
                <w:szCs w:val="11"/>
                <w:color w:val="auto"/>
              </w:rPr>
            </w:pPr>
          </w:p>
        </w:tc>
        <w:tc>
          <w:tcPr>
            <w:tcW w:w="1020" w:type="dxa"/>
            <w:vAlign w:val="bottom"/>
            <w:tcBorders>
              <w:top w:val="single" w:sz="8" w:color="auto"/>
            </w:tcBorders>
          </w:tcPr>
          <w:p>
            <w:pPr>
              <w:jc w:val="center"/>
              <w:ind w:left="244"/>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4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29,474</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spacing w:after="0"/>
              <w:rPr>
                <w:sz w:val="19"/>
                <w:szCs w:val="19"/>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223"/>
        </w:trPr>
        <w:tc>
          <w:tcPr>
            <w:tcW w:w="4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Pr>
          <w:p>
            <w:pPr>
              <w:spacing w:after="0"/>
              <w:rPr>
                <w:sz w:val="19"/>
                <w:szCs w:val="19"/>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17,864</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64"/>
        </w:trPr>
        <w:tc>
          <w:tcPr>
            <w:tcW w:w="412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Operating income (loss) from discontinued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10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164"/>
        </w:trPr>
        <w:tc>
          <w:tcPr>
            <w:tcW w:w="412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Income (loss) from discontinued operations before</w:t>
            </w:r>
          </w:p>
        </w:tc>
        <w:tc>
          <w:tcPr>
            <w:tcW w:w="10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28"/>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r>
    </w:tbl>
    <w:p>
      <w:pPr>
        <w:ind w:left="680"/>
        <w:spacing w:after="0"/>
        <w:rPr>
          <w:sz w:val="20"/>
          <w:szCs w:val="20"/>
          <w:color w:val="auto"/>
        </w:rPr>
      </w:pPr>
      <w:r>
        <w:rPr>
          <w:rFonts w:ascii="Times New Roman" w:cs="Times New Roman" w:eastAsia="Times New Roman" w:hAnsi="Times New Roman"/>
          <w:sz w:val="18"/>
          <w:szCs w:val="18"/>
          <w:color w:val="auto"/>
        </w:rPr>
        <w:t>(1) Includes $15.2 million loss on sale of discontinued operations recorded during the twenty-six weeks ended August 2,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provides certain transition services to support the divested business in accordance with the Interest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70" w:lineRule="auto"/>
        <w:rPr>
          <w:sz w:val="20"/>
          <w:szCs w:val="20"/>
          <w:color w:val="auto"/>
        </w:rPr>
      </w:pPr>
      <w:r>
        <w:rPr>
          <w:rFonts w:ascii="Times New Roman" w:cs="Times New Roman" w:eastAsia="Times New Roman" w:hAnsi="Times New Roman"/>
          <w:sz w:val="18"/>
          <w:szCs w:val="18"/>
          <w:color w:val="auto"/>
        </w:rPr>
        <w:t>The assets and liabilities of the Pura Vida operations have been reflected as assets and liabilities of discontinued operations in the Consolidated Balance Sheet as of February 1, 2025. The assets and liabilities were as follows:</w:t>
      </w:r>
    </w:p>
    <w:tbl>
      <w:tblPr>
        <w:tblLayout w:type="fixed"/>
        <w:tblInd w:w="660" w:type="dxa"/>
        <w:tblCellMar>
          <w:top w:w="0" w:type="dxa"/>
          <w:left w:w="0" w:type="dxa"/>
          <w:bottom w:w="0" w:type="dxa"/>
          <w:right w:w="0" w:type="dxa"/>
        </w:tblCellMar>
      </w:tblPr>
      <w:tr>
        <w:trPr>
          <w:trHeight w:val="147"/>
        </w:trPr>
        <w:tc>
          <w:tcPr>
            <w:tcW w:w="6980" w:type="dxa"/>
            <w:vAlign w:val="bottom"/>
          </w:tcPr>
          <w:p>
            <w:pPr>
              <w:spacing w:after="0"/>
              <w:rPr>
                <w:sz w:val="12"/>
                <w:szCs w:val="12"/>
                <w:color w:val="auto"/>
              </w:rPr>
            </w:pPr>
          </w:p>
        </w:tc>
        <w:tc>
          <w:tcPr>
            <w:tcW w:w="1060" w:type="dxa"/>
            <w:vAlign w:val="bottom"/>
          </w:tcPr>
          <w:p>
            <w:pPr>
              <w:jc w:val="right"/>
              <w:ind w:right="1"/>
              <w:spacing w:after="0" w:line="147"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69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of discontinued operations</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18,578</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07"/>
        </w:trPr>
        <w:tc>
          <w:tcPr>
            <w:tcW w:w="6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 of discontinued operations</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22,361</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6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long-term assets of discontinued operations</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19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of discontinued operations</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10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07"/>
        </w:trPr>
        <w:tc>
          <w:tcPr>
            <w:tcW w:w="6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 of discontinued operations</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r>
      <w:tr>
        <w:trPr>
          <w:trHeight w:val="207"/>
        </w:trPr>
        <w:tc>
          <w:tcPr>
            <w:tcW w:w="6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long-term liabilities of discontinued operations</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cash flows from operating and investing activities for discontinued operations for the twenty-six weeks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August 2, 2025 and August 3, 2024:</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6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224"/>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00" w:type="dxa"/>
            <w:vAlign w:val="bottom"/>
          </w:tcPr>
          <w:p>
            <w:pPr>
              <w:spacing w:after="0"/>
              <w:rPr>
                <w:sz w:val="11"/>
                <w:szCs w:val="11"/>
                <w:color w:val="auto"/>
              </w:rPr>
            </w:pPr>
          </w:p>
        </w:tc>
        <w:tc>
          <w:tcPr>
            <w:tcW w:w="1120" w:type="dxa"/>
            <w:vAlign w:val="bottom"/>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provided by operating activities - discontinued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(2,115)</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(used in) investing activities - discontinued operations</w:t>
            </w:r>
          </w:p>
        </w:tc>
        <w:tc>
          <w:tcPr>
            <w:tcW w:w="2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twenty-six weeks ended August 2, 2025 and August 3, 2024. The following discussion should be read in conjunction with our Annual Report on Form 10-K for the fiscal year ended February 1, 2025, and our unaudited condensed consolidated financial statements and the related notes included in Item 1 of this Quarterly Report. The results of operations for the thirteen and twenty-six weeks ended August 2, 2025,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are executing a comprehensive strategy to strengthen our market position by tapping into our brand’s strong emotional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agility—building a responsive organization to fully leverage our unique brand position.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newly formed Strategy and Transformation Committee has identified five key initiatives:</w:t>
      </w:r>
    </w:p>
    <w:p>
      <w:pPr>
        <w:spacing w:after="0" w:line="9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u w:val="single" w:color="auto"/>
          <w:color w:val="auto"/>
        </w:rPr>
        <w:t>Sharpening Brand Focus</w:t>
      </w:r>
      <w:r>
        <w:rPr>
          <w:rFonts w:ascii="Times New Roman" w:cs="Times New Roman" w:eastAsia="Times New Roman" w:hAnsi="Times New Roman"/>
          <w:sz w:val="18"/>
          <w:szCs w:val="18"/>
          <w:color w:val="auto"/>
        </w:rPr>
        <w:t>: We are refining our brand strategy to ensure consistent, resonant messaging across all consumer touchpoints. Led by new merchandising leadership, we are revisiting product assortment and style, reintroducing innovation to our core DNA, and emphasizing our heritage in occasion-based bags.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Omnichannel Strategy</w:t>
      </w:r>
      <w:r>
        <w:rPr>
          <w:rFonts w:ascii="Times New Roman" w:cs="Times New Roman" w:eastAsia="Times New Roman" w:hAnsi="Times New Roman"/>
          <w:sz w:val="18"/>
          <w:szCs w:val="18"/>
          <w:color w:val="auto"/>
        </w:rPr>
        <w:t>: We are aligning all consumer touchpoints with a cohesive omnichannel experience. This includes a comprehensive go-to-market approach to improve brand engagement and the customer journey across platforms.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Outlet 2.0</w:t>
      </w:r>
      <w:r>
        <w:rPr>
          <w:rFonts w:ascii="Times New Roman" w:cs="Times New Roman" w:eastAsia="Times New Roman" w:hAnsi="Times New Roman"/>
          <w:sz w:val="18"/>
          <w:szCs w:val="18"/>
          <w:color w:val="auto"/>
        </w:rPr>
        <w:t>: We are redefining our outlet strategy by enhancing the customer experience with curated assortments, optimized visuals, and labor efficiency.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transformation will elevate brand engagement and drive profitability, positioning outlets as key drivers of our brand evolution.</w:t>
      </w:r>
    </w:p>
    <w:p>
      <w:pPr>
        <w:spacing w:after="0" w:line="7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u w:val="single" w:color="auto"/>
          <w:color w:val="auto"/>
        </w:rPr>
        <w:t>Optimizing the Operating Model</w:t>
      </w:r>
      <w:r>
        <w:rPr>
          <w:rFonts w:ascii="Times New Roman" w:cs="Times New Roman" w:eastAsia="Times New Roman" w:hAnsi="Times New Roman"/>
          <w:sz w:val="17"/>
          <w:szCs w:val="17"/>
          <w:color w:val="auto"/>
        </w:rPr>
        <w:t>: We are scrutinizing every aspect of our operating processes including product development, store labor, promotional strategies, and more to improve efficiency. This holistic review will sharpen focus on high-impact initiatives and retail KPIs across all channels.</w:t>
      </w:r>
    </w:p>
    <w:p>
      <w:pPr>
        <w:spacing w:after="0" w:line="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Reimagining How We Work</w:t>
      </w:r>
      <w:r>
        <w:rPr>
          <w:rFonts w:ascii="Times New Roman" w:cs="Times New Roman" w:eastAsia="Times New Roman" w:hAnsi="Times New Roman"/>
          <w:sz w:val="18"/>
          <w:szCs w:val="18"/>
          <w:color w:val="auto"/>
        </w:rPr>
        <w:t>: We are restructuring our organization to foster collaboration, creativity, and efficiency. As we align our talent and leadership with key growth areas, we are redesigning our structure to drive transformation and streamline costs.</w:t>
      </w:r>
    </w:p>
    <w:p>
      <w:pPr>
        <w:spacing w:after="0" w:line="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and Other Factors. </w:t>
      </w:r>
      <w:r>
        <w:rPr>
          <w:rFonts w:ascii="Times New Roman" w:cs="Times New Roman" w:eastAsia="Times New Roman" w:hAnsi="Times New Roman"/>
          <w:sz w:val="18"/>
          <w:szCs w:val="18"/>
          <w:color w:val="auto"/>
        </w:rPr>
        <w:t>We continue to closely monitor the dynamic economic landscape and are actively managing the impact of elevated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 costs. Ongoing inflationary pressures and related macroeconomic factors have continued to affect consumer discretionary spending. As a result, our Vera Bradley outlet and full-line stores continue to experience softer performance through the first six months of fiscal 2026. We remain focused on executing our strategic initiatives and adapting to current market conditions to position the business for long-term growth.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Transition</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June 11, 2025, the Company announced the departure of its former Chief Executive Officer, Jacqueline Ardrey, and that the Board of Directors had initiated a national search for a successor. Effective July 7, 2025, Board member, Ian Bickley, assumed the newly created role of Executive Chairman. In this interim executive capacity, Mr. Bickley will provide leadership and strategic guidance during the CEO transition period and will also serve as Chairman of the Company’s Board of Directors. The Executive Chairman role is expected to be temporary and limited to the duration of the CEO transition.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announced the appointment of Martin Layding as Chief Financial Officer, effective June 12,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completed the sale of Pura Vida on March 31, 2025. See Note 14 to the Notes to the Condensed Consolidated Financial Statements herein for additional information. The loss on sale was presented as part of results of the discontinued operations. We have reflected the results of operations of the Pura Vida business as discontinued operations in the Consolidated Statement of Operations. This business was historically presented as its own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e-commerce sites (verabradley.com, outlet.verabradley.com, and international.verabradley.com); and the Vera Bradley annual outlet sale.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6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Gross profit can be impacted by changes in volume; fluctuations in sales price; inbound freight and other logistical costs; outbound freight; operational efficiencies, such as leveraging of fixed costs; promotional activities, including free shipping; commodity prices, such as for cotton; tariffs; and labor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12 to the Notes to the Condensed Consolidated Financial Statements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6"/>
                <w:szCs w:val="16"/>
                <w:color w:val="auto"/>
              </w:rPr>
            </w:pPr>
          </w:p>
        </w:tc>
        <w:tc>
          <w:tcPr>
            <w:tcW w:w="28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47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4"/>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161,951</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47,294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81,202</w:t>
            </w: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80,749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89,544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8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(8,224)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689</w:t>
            </w: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before income</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(7,535)</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(7,458)</w:t>
            </w:r>
          </w:p>
        </w:tc>
      </w:tr>
      <w:tr>
        <w:trPr>
          <w:trHeight w:val="223"/>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(22,969)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155"/>
        </w:trPr>
        <w:tc>
          <w:tcPr>
            <w:tcW w:w="474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before income</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6"/>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93"/>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60,514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72,241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103,597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128,665</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10,344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21,762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18,913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33,286</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70,858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94,003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122,510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161,951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9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9,335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13,433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3,799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17,426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8,569</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(16,117)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(15,783)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(30,418)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(34,219)</w:t>
            </w: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(4,592)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(22,449)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Operating Income (Loss) as a Percentage of Net Revenues by</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365,512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370,349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365,512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370,349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30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20" w:hanging="572"/>
        <w:spacing w:after="0" w:line="253"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August 2, 2025, Compared to Thirteen Weeks Ended August 3,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2, 2025, net revenues decreased $23.1 million, or 24.6%, to $70.9 million, from $94.0 million in the comparable prior-year period.</w:t>
      </w:r>
    </w:p>
    <w:p>
      <w:pPr>
        <w:spacing w:after="0" w:line="10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2, 2025, net revenues in the VB Direct segment decreased $11.7 million, or 16.2%, to $60.5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$72.2 million in the comparable prior-year period. Vera Bradley comparable sales decreased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17.3%, which includes a 27.4% decrease in comparable store sales, partially offset by an increase in e-commerce sales of 1.3%. In addition, non-comparable revenue increased $0.3 million. The decrease in comparable sales and comparable store sales was primarily due to reduced conversion in the full-line, outlet, and e-commerce channels.</w:t>
      </w:r>
    </w:p>
    <w:p>
      <w:pPr>
        <w:spacing w:after="0" w:line="113"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i w:val="1"/>
          <w:iCs w:val="1"/>
          <w:color w:val="auto"/>
        </w:rPr>
        <w:t>VB Indirect</w:t>
      </w:r>
      <w:r>
        <w:rPr>
          <w:rFonts w:ascii="Times New Roman" w:cs="Times New Roman" w:eastAsia="Times New Roman" w:hAnsi="Times New Roman"/>
          <w:sz w:val="17"/>
          <w:szCs w:val="17"/>
          <w:color w:val="auto"/>
        </w:rPr>
        <w:t>. For the thirteen weeks ended August 2, 2025, net revenues in the VB Indirect segment decreased $11.5 million, or 52.5%, to $10.3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$21.8 million in the comparable prior-year period. The decrease was primarily due to a decrease in key account orders and liquidation sales.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7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For the thirteen weeks ended August 2, 2025, gross profit decreased $11.2 million, or 24.0%, to $35.5 million, from $46.7 million in the comparable prior-year period. As a percentage of net revenues, gross profit increased to 50.1% for the thirteen weeks ended August 2, 2025 from 49.7% in the comparable prior-year period. Current year gross margin was positively impacted by a decrease in liquidation sales, partially offset by channel shifts that resulted in increased incremental shipping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8"/>
          <w:szCs w:val="18"/>
          <w:color w:val="auto"/>
        </w:rPr>
        <w:t>For the thirteen weeks ended August 2, 2025, SG&amp;A expenses decreased $4.0 million, or 9.0%, to $40.4 million, from $44.4 million in the comparable prior-year period. As a percentage of net revenues, SG&amp;A expenses increased to 57.1% for the thirteen weeks ended August 2, 2025, from 47.3% in the comparable prior-year period. For the thirteen weeks ended August 2, 2025, consolidated SG&amp;A expenses decreased primarily due to a $2.5 million reduction in advertising costs and selling expenses resulting from sales decreases as described above; a $1.0 million decrease in employee-related costs attributable to reduced headcount; and $0.5 million reduction in net other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thirteen weeks ended August 2, 2025, net other income increased $0.3 million to $0.4 million, from $0.1 million in the comparable prior-year period. The increase in net other income was primarily due to income from the Transition Services Agreement ("TSA") resulting from the sale of Creative Genius.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 from Continuing Operations</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thirteen weeks ended August 2, 2025, there was an operating loss from continuing operations of $(4.6) million, a $7.0 million increase, or 291.9%, from operating income from continuing operations of $2.4 million in the comparable prior-year period. As a percentage of net revenues, operating (loss) income from continuing operations was (6.5)% and 2.5% for the thirteen weeks ended August 2, 2025 and August 3, 2024, respectively. Operating (loss) income from continuing operations increased due to the factors described in the captions above.</w:t>
      </w:r>
    </w:p>
    <w:p>
      <w:pPr>
        <w:spacing w:after="0" w:line="1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2, 2025, operating income in the VB Direct segment decreased $4.1 million, 30.5%, to $9.3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$13.4 million in the comparable prior-year period. As a percentage of VB Direct segment net revenues, operating income in the VB Direct segment was 15.4% and 18.6% for the thirteen weeks ended August 2, 2025 and August 3, 2024, respectively. The decrease in operating income as a percentage of VB Direct segment net revenues was primarily due to a decrease in gross margin as a percentage of net revenues and SG&amp;A expense deleverage associated with decreased sales.</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2, 2025, operating income in the VB Indirect segment decreased $2.5 million, or 53.8%, to $2.2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$4.7 million in the comparable prior-year period. As a percentage of VB Indirect segment net revenues, operating income in the VB Indirect segment was 21.2% and 21.8% for the thirteen weeks ended August 2, 2025 and August 3, 2024, respectively. The decrease in operating income as a percentage of VB Indirect segment net revenues was due to SG&amp;A expense deleverage associated with decreased sales.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August 2, 2025, unallocated expenses increased $0.3 million, or 2.1%, to $16.1 million from</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$15.8 million in the comparable prior-year period. The increase in unallocated expenses was primarily due to $2.0 million for severance charges for former CEO; partially offset by a $0.6 million reduction in advertising spend; $0.5 million reduction in employee-related costs, including reduced headcount and lower variable compensation; $0.4 million reduction in net other expenses; and an increase in other income of $0.2 million from the TSA resulting from the sale of Creative Genius.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2, 2025, interest expense was $(0.1) million, a $0.3 million increase, from interest income of $0.2 million, in the comparable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2, 2025, was 0.4%, compared to (188.2)% for the thirteen weeks ended August 3, 2024. The change in year-over-year effective tax rate was primarily attributable to a full valuation allowance recorded against the Company's net deferred tax assets. See Note 7 "Income Taxes" of the Notes to the Condensed Consolidated Financial Statements for additional information about the Company's interim provision for income taxes.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from Continuing Operations</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2, 2025, there was a net loss from continuing operations of $(4.7) million, a $12.2 million increase, from net income from continuing operations of $7.5 million in the comparable prior-year period due to the factors described in the captions above.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from Discontinued Operations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thirteen weeks ended August 2, 2025, net income from discontinued operations totaled $37.0 thousand, a $1.9 million increase, from a net loss from discontinued operations of $(1.8) million in the comparable prior-year period. The increase in income from discontinued operations was primarily due to the completion of the sale of Creative Genius completed during the first quarter of fiscal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2, 2025, there was a net loss of $(4.7) million, a $10.4 million increase, from net income of $5.7 million in the comparable prior-year period due to the factors described in the captions above.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Twenty-Six Weeks Ended August 2, 2025, Compared to Twenty-Six Weeks Ended August 3,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2, 2025, net revenues decreased $39.5 million, or 24.4%, to $122.5 million, from $162.0 million in the comparable prior-year period.</w:t>
      </w:r>
    </w:p>
    <w:p>
      <w:pPr>
        <w:spacing w:after="0" w:line="10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i w:val="1"/>
          <w:iCs w:val="1"/>
          <w:color w:val="auto"/>
        </w:rPr>
        <w:t>VB Direct</w:t>
      </w:r>
      <w:r>
        <w:rPr>
          <w:rFonts w:ascii="Times New Roman" w:cs="Times New Roman" w:eastAsia="Times New Roman" w:hAnsi="Times New Roman"/>
          <w:sz w:val="17"/>
          <w:szCs w:val="17"/>
          <w:color w:val="auto"/>
        </w:rPr>
        <w:t>. For the twenty-six weeks ended August 2, 2025, net revenues in the VB Direct segment decreased $25.1 million, or 19.5%, to $103.6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$128.7 million in the comparable prior-year period. Vera Bradley comparable sales decreased 20.5%, which includes a 30.2% decrease in comparable store sales as well as a decrease in e-commerce sales of 4.8%. In addition, non-comparable revenue increased $0.3 million. The decrease in comparable sales and comparable store sales was primarily due to reduced traffic, conversion, and units sold in the full-line, outlet, and e-commerce channels.</w:t>
      </w:r>
    </w:p>
    <w:p>
      <w:pPr>
        <w:spacing w:after="0" w:line="10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2, 2025, net revenues in the VB Indirect segment decreased $14.4 million, or 43.2%, to $18.9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$33.3 million in the comparable prior-year period. The decrease was primarily due to a decrease in key account orders and liquidation sales.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For the twenty-six weeks ended August 2, 2025, gross profit decreased $22.4 million, or 27.8%, to $58.3 million, from $80.7 million in the comparable prior-year period. As a percentage of net revenues, gross profit decreased to 47.6% for the twenty-six weeks ended August 2, 2025, from 49.9% in the comparable prior-year period. Current year gross margin was negatively impacted by channel shifts that resulted in increased incremental shipping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For the twenty-six weeks ended August 2, 2025, SG&amp;A expenses decreased $8.3 million, or 9.3%, to $81.2 million, from $89.5 million in the comparable prior-year period. As a percentage of net revenues, SG&amp;A expenses increased to 66.3% for the twenty-six weeks ended August 2, 2025, from 55.3% in the comparable prior-year period. For the twenty-six weeks ended August 2, 2025, consolidated SG&amp;A expenses decreased primarily due to a $4.7 million reduction in employee-related costs, including reduced headcount and lower variable compensation; a $4.2 million reduction in advertising costs and selling expenses resulting from sales decreases as described above; and $0.4 million reduction in net other expenses. These decreases were partially offset by $1.0 million of property, plant, and equipment impairment charges in the current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2, 2025, net other income decreased $0.1 million to $0.5 million, from $0.6 million in the comparable prior-year period. The decrease in net other income was primarily due to a legal settlement that occurred in the prior year period, partially offset by income from the TSA resulting from the sale of Creative Genius.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from Continuing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twenty-six weeks ended August 2, 2025, operating loss from continuing operations increased $14.2 million, or 173.0%, to $(22.4) million, from</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$(8.2) million in the comparable prior-year period. As a percentage of net revenues, operating loss from continuing operations was (18.4)% and (5.0)% for the twenty-six weeks ended August 2, 2025 and August 3, 2024, respectively. Operating loss from continuing operations increased due to the factors described in the captions above.</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2, 2025, operating income in the VB Direct segment decreased $13.6 million, or 78.2%, to $3.8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$17.4 million in the comparable prior-year period. As a percentage of VB Direct segment net revenues, operating income in the VB Direct segment was 3.7% and 13.5% for the twenty-six weeks ended August 2, 2025 and August 3, 2024, respectively. The decrease in operating income as a percentage of VB Direct segment net revenues was primarily due to a decrease in gross margin as a percentage of net revenues as described above, SG&amp;A expense deleverage associated with decreased sales, as well as property, plant, and equipment impairment charges of $1.0 million in the current year period.</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2, 2025, operating income in the VB Indirect segment decreased $4.4 million, or 51.3%, to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$8.6 million in the comparable prior-year period. As a percentage of VB Indirect segment net revenues, operating income in the VB Indirect segment was 22.0% and 25.7% for the twenty-six weeks ended August 2, 2025 and August 3, 2024, respectively. The decrease in operating income as a percentage of VB Indirect segment net revenues was due to a decrease in gross margin as a percentage of net revenues as well as SG&amp;A expense deleverage associated with decreased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August 2, 2025, unallocated expenses decreased $3.8 million, or 11.1%, to $30.4 million from</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$34.2 million in the comparable prior-year period. The decrease in unallocated expenses was primarily due to a $2.5 million reduction in employee-related costs, including reduced headcount and lower variable compensation; $2.4 million reduction in advertising spend; $0.5 million reduction in building expenses; and $0.4 million reduction in net other expenses. These expense reductions were partially offset by $2.0 million for severance charges for former CEO in the current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2, 2025, interest expense increased $0.8 million, to $(0.1) million from interest income of $0.7 million in the comparable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2, 2025, was (1.7)%, compared to 99.0% for the twenty-six weeks ended August 3, 2024. The change in year-over-year effective tax rate was primarily attributable to a full valuation allowance recorded against the Company's net deferred tax assets. See Note 7 "Income Taxes" of the Notes to the Condensed Consolidated Financial Statements for additional information about the Company's interim provision for income taxes.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1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2, 2025, there was a net loss from continuing operations of $(23.0) million, a $22.9 million increase, from $(0.1) million in the comparable prior-year period due to the factors described in the captions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Discontinued Operations</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2, 2025, there was a net loss from discontinued operations of $(15.2) million, a $12.8 million increase, from $(2.3) million in the comparable prior-year period. The increase in loss from discontinued operations was primarily due to the loss on sale of business recorded in the current year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2, 2025, there was a net loss of $(38.1) million, a $35.7 million increase, from $(2.4) million in the comparable prior-year period due to the factors described in the captions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Borrowings under the credit agreement totaled $10.0 million and $15.0 million during the thirteen and twenty-six weeks ended August 2, 2025. There was $10.0 million in debt outstanding as of August 2, 2025.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60" w:type="dxa"/>
            <w:vAlign w:val="bottom"/>
          </w:tcPr>
          <w:p>
            <w:pPr>
              <w:spacing w:after="0"/>
              <w:rPr>
                <w:sz w:val="11"/>
                <w:szCs w:val="11"/>
                <w:color w:val="auto"/>
              </w:rPr>
            </w:pPr>
          </w:p>
        </w:tc>
        <w:tc>
          <w:tcPr>
            <w:tcW w:w="118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twenty-six weeks ended August 2, 2025 was $23.3 million compared to $13.2 million for the twenty-six weeks ended August 3, 2024. The increase in cash used in operating activities was primarily related to a net loss of $(38.1) million, a $35.7 million increase, from the comparable prior-year period, partially offset by a loss on sale of business of $15.2 million, as well as the change in inventories and accounts payable primarily resulting from decreased purchasing in the current year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 million for the twenty-six weeks ended August 2, 2025 compared to $3.6 million for the twenty-six weeks ended August 3, 2024. The decrease in cash used in investing activities was primarily due to $1.0 million proceeds from the sale of Pura Vida as well as a decrease in property, plant, and equipment spending of $1.0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$9.8 million for the twenty-six weeks ended August 2, 2025 compared to net cash used in financing activities of $16.4 million for the twenty-six weeks ended August 3, 2024. The increase in cash provided by financing activities was primarily due to $15.9 million of common stock repurchases in the prior-year period compared to no common stock repurchases in the current-year period, and net borrowings of $10.0 million from the credit facility in the current-year period.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The Credit Agreement also contains an option for VBD to arrange with lenders to increase the aggregate principal amount by up to $50.0 million.</w:t>
      </w:r>
    </w:p>
    <w:p>
      <w:pPr>
        <w:spacing w:after="0" w:line="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August 2, 2025, the Company had $10.0 million borrowings outstanding and availability of $65.0 million under the Credit Agreement, compared to no borrowings outstanding and availability of $75.0 million as of February 1, 2025 under the Credit Agreement.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August 2, 2025, there were no material changes outside the ordinary course of business to material cash requirements, as disclosed in our Annual Report on Form 10-K for the fiscal year ended February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2025.</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2025. There were no significant changes to any of the critical accounting policies and estimates described in the Annual Report as of August 2,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2, 2025, there was no material change in the market risks described in “Quantitative and Qualitative Disclosures About Market Risks” in the Company’s Annual Report on Form 10-K for the fiscal year ended February 1,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2, 2025.</w:t>
      </w:r>
    </w:p>
    <w:p>
      <w:pPr>
        <w:spacing w:after="0" w:line="1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3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 $4.6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 The Company is also subject to other legal proceedings from time to time in the ordinary course of business but does not believe any of these such claims would have a material adverse impact on the Company at this time.</w:t>
      </w:r>
    </w:p>
    <w:p>
      <w:pPr>
        <w:spacing w:after="0" w:line="3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February 1, 2025.</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 2025, there were no purchases made under the 2024 Share Repurchase Program.</w:t>
      </w:r>
    </w:p>
    <w:p>
      <w:pPr>
        <w:spacing w:after="0" w:line="3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2,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7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CFO Section 302 Certification</w:t>
            </w:r>
          </w:p>
        </w:tc>
        <w:tc>
          <w:tcPr>
            <w:tcW w:w="77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906 Certifications*</w:t>
            </w:r>
          </w:p>
        </w:tc>
        <w:tc>
          <w:tcPr>
            <w:tcW w:w="79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00" w:hanging="127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September 11, 2025</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Layding</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Martin Layding</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17"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Bickley, certify that:</w:t>
      </w:r>
    </w:p>
    <w:p>
      <w:pPr>
        <w:spacing w:after="0" w:line="104"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September 11, 2025</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Ian Bickley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Bickley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Chairman &amp; Interim Chief Executive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Layding, certify that:</w:t>
      </w:r>
    </w:p>
    <w:p>
      <w:pPr>
        <w:spacing w:after="0" w:line="104"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6300" w:val="left"/>
        </w:tabs>
        <w:rPr>
          <w:sz w:val="20"/>
          <w:szCs w:val="20"/>
          <w:color w:val="auto"/>
        </w:rPr>
      </w:pPr>
      <w:r>
        <w:rPr>
          <w:rFonts w:ascii="Times New Roman" w:cs="Times New Roman" w:eastAsia="Times New Roman" w:hAnsi="Times New Roman"/>
          <w:sz w:val="16"/>
          <w:szCs w:val="16"/>
          <w:b w:val="1"/>
          <w:bCs w:val="1"/>
          <w:color w:val="auto"/>
        </w:rPr>
        <w:t>Date: September 11, 2025</w:t>
      </w:r>
      <w:r>
        <w:rPr>
          <w:sz w:val="20"/>
          <w:szCs w:val="20"/>
          <w:color w:val="auto"/>
        </w:rPr>
        <w:tab/>
      </w:r>
      <w:r>
        <w:rPr>
          <w:rFonts w:ascii="Times New Roman" w:cs="Times New Roman" w:eastAsia="Times New Roman" w:hAnsi="Times New Roman"/>
          <w:sz w:val="17"/>
          <w:szCs w:val="17"/>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31203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2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 Ian Bickley, the Executive Chairman &amp; Interim Chief Executive Officer of Vera Bradley, Inc., certify that (i) the quarterly report on Form 10-Q for the fiscal quarter ended August 2,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Ian Bickley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Ian Bickley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Executive Chairman &amp; Interim 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Martin Layding, the Chief Financial Officer of Vera Bradley, Inc., certify that (i) the quarterly report on Form 10-Q for the fiscal quarter ended August 2,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lvl w:ilvl="1">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3"/>
    </w:lvl>
  </w:abstractNum>
  <w:abstractNum w:abstractNumId="10">
    <w:nsid w:val="7C83E458"/>
    <w:multiLevelType w:val="hybridMultilevel"/>
    <w:lvl w:ilvl="0">
      <w:lvlJc w:val="left"/>
      <w:lvlText w:val="%1"/>
      <w:numFmt w:val="decimal"/>
      <w:start w:val="1"/>
    </w:lvl>
    <w:lvl w:ilvl="1">
      <w:lvlJc w:val="left"/>
      <w:lvlText w:val="(%2)"/>
      <w:numFmt w:val="decimal"/>
      <w:start w:val="1"/>
    </w:lvl>
  </w:abstractNum>
  <w:abstractNum w:abstractNumId="11">
    <w:nsid w:val="257130A3"/>
    <w:multiLevelType w:val="hybridMultilevel"/>
    <w:lvl w:ilvl="0">
      <w:lvlJc w:val="left"/>
      <w:lvlText w:val="%1."/>
      <w:numFmt w:val="decimal"/>
      <w:start w:val="4"/>
    </w:lvl>
    <w:lvl w:ilvl="1">
      <w:lvlJc w:val="left"/>
      <w:lvlText w:val="%2"/>
      <w:numFmt w:val="decimal"/>
      <w:start w:val="1"/>
    </w:lvl>
  </w:abstractNum>
  <w:abstractNum w:abstractNumId="12">
    <w:nsid w:val="62BBD95A"/>
    <w:multiLevelType w:val="hybridMultilevel"/>
    <w:lvl w:ilvl="0">
      <w:lvlJc w:val="left"/>
      <w:lvlText w:val="%1."/>
      <w:numFmt w:val="decimal"/>
      <w:start w:val="5"/>
    </w:lvl>
    <w:lvl w:ilvl="1">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6"/>
    </w:lvl>
  </w:abstractNum>
  <w:abstractNum w:abstractNumId="15">
    <w:nsid w:val="333AB105"/>
    <w:multiLevelType w:val="hybridMultilevel"/>
    <w:lvl w:ilvl="0">
      <w:lvlJc w:val="left"/>
      <w:lvlText w:val="%1."/>
      <w:numFmt w:val="decimal"/>
      <w:start w:val="7"/>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11"/>
    </w:lvl>
  </w:abstractNum>
  <w:abstractNum w:abstractNumId="18">
    <w:nsid w:val="2D1D5AE9"/>
    <w:multiLevelType w:val="hybridMultilevel"/>
    <w:lvl w:ilvl="0">
      <w:lvlJc w:val="left"/>
      <w:lvlText w:val="%1."/>
      <w:numFmt w:val="decimal"/>
      <w:start w:val="13"/>
    </w:lvl>
  </w:abstractNum>
  <w:abstractNum w:abstractNumId="19">
    <w:nsid w:val="6763845E"/>
    <w:multiLevelType w:val="hybridMultilevel"/>
    <w:lvl w:ilvl="0">
      <w:lvlJc w:val="left"/>
      <w:lvlText w:val="%1"/>
      <w:numFmt w:val="decimal"/>
      <w:start w:val="1"/>
    </w:lvl>
    <w:lvl w:ilvl="1">
      <w:lvlJc w:val="left"/>
      <w:lvlText w:val="(%2)"/>
      <w:numFmt w:val="decimal"/>
      <w:start w:val="1"/>
    </w:lvl>
  </w:abstractNum>
  <w:abstractNum w:abstractNumId="20">
    <w:nsid w:val="75A2A8D4"/>
    <w:multiLevelType w:val="hybridMultilevel"/>
    <w:lvl w:ilvl="0">
      <w:lvlJc w:val="left"/>
      <w:lvlText w:val="%1."/>
      <w:numFmt w:val="decimal"/>
      <w:start w:val="14"/>
    </w:lvl>
    <w:lvl w:ilvl="1">
      <w:lvlJc w:val="left"/>
      <w:lvlText w:val="%2"/>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04"/>
    </w:lvl>
    <w:lvl w:ilvl="1">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2025-09-11T13:35:55Z</dcterms:created>
  <dcterms:modified xsi:type="dcterms:W3CDTF">2025-09-11T13:35:55Z</dcterms:modified>
</cp:coreProperties>
</file>