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422910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28, 2023</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0" w:orient="portrait"/>
          <w:cols w:equalWidth="0" w:num="1">
            <w:col w:w="11260"/>
          </w:cols>
          <w:pgMar w:left="320" w:top="225"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r>
        <w:trPr>
          <w:trHeight w:val="50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237" w:lineRule="exact"/>
        <w:rPr>
          <w:sz w:val="20"/>
          <w:szCs w:val="20"/>
          <w:color w:val="auto"/>
        </w:rPr>
      </w:pPr>
    </w:p>
    <w:p>
      <w:pPr>
        <w:jc w:val="both"/>
        <w:ind w:left="20" w:right="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right="158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30,827,003 shares of its common stock outstanding as of November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31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720" w:type="dxa"/>
            <w:vAlign w:val="bottom"/>
            <w:gridSpan w:val="8"/>
          </w:tcPr>
          <w:p>
            <w:pPr>
              <w:ind w:left="1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0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October 28, 2023, and January 28, 2023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Thirteen and Thirty-Nine Weeks Ended October 28, 2023, and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70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October 29, 2022</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Thirteen and Thirty-Nine Weeks Ended October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12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28, 2023, and October 29, 2022</w:t>
            </w:r>
          </w:p>
        </w:tc>
        <w:tc>
          <w:tcPr>
            <w:tcW w:w="9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Thirteen and Thirty-Nine Weeks Ended October 28, 2023,</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10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and October 29, 2022</w:t>
            </w:r>
          </w:p>
        </w:tc>
        <w:tc>
          <w:tcPr>
            <w:tcW w:w="980" w:type="dxa"/>
            <w:vAlign w:val="bottom"/>
            <w:gridSpan w:val="2"/>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Thirty-Nine Weeks Ended October 28, 2023, and October 29, 2022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980" w:type="dxa"/>
            <w:vAlign w:val="bottom"/>
            <w:gridSpan w:val="2"/>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640" w:type="dxa"/>
            <w:vAlign w:val="bottom"/>
            <w:gridSpan w:val="4"/>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6"/>
          </w:tcPr>
          <w:p>
            <w:pPr>
              <w:spacing w:after="0"/>
              <w:rPr>
                <w:sz w:val="22"/>
                <w:szCs w:val="22"/>
                <w:color w:val="auto"/>
              </w:rPr>
            </w:pPr>
          </w:p>
        </w:tc>
        <w:tc>
          <w:tcPr>
            <w:tcW w:w="5740" w:type="dxa"/>
            <w:vAlign w:val="bottom"/>
            <w:gridSpan w:val="6"/>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0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240" w:type="dxa"/>
            <w:vAlign w:val="bottom"/>
            <w:gridSpan w:val="11"/>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22"/>
                <w:szCs w:val="22"/>
                <w:color w:val="auto"/>
              </w:rPr>
            </w:pPr>
          </w:p>
        </w:tc>
        <w:tc>
          <w:tcPr>
            <w:tcW w:w="8760" w:type="dxa"/>
            <w:vAlign w:val="bottom"/>
            <w:gridSpan w:val="14"/>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4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2"/>
                <w:szCs w:val="22"/>
                <w:color w:val="auto"/>
              </w:rPr>
            </w:pPr>
          </w:p>
        </w:tc>
        <w:tc>
          <w:tcPr>
            <w:tcW w:w="8780" w:type="dxa"/>
            <w:vAlign w:val="bottom"/>
            <w:gridSpan w:val="15"/>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 including Project Restoration;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and other related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and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and actions by governmental or other actors regarding containment.</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January 28, 2023, as well as in Item 1A herein.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28,</w:t>
            </w:r>
          </w:p>
        </w:tc>
        <w:tc>
          <w:tcPr>
            <w:tcW w:w="22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142,275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14,276</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226,562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77,954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58,674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382,834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404,501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 and Shareholders’ Equity</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20,350</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19,714</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67,657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74,664</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120,953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142,411</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10,712</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without par value; 200,000 shares authorized, 43,185 and 42,846 shares issued and 30,785 and 30,766</w:t>
            </w:r>
          </w:p>
        </w:tc>
        <w:tc>
          <w:tcPr>
            <w:tcW w:w="24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2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109,718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274,629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(132,864)</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shareholders’ equity of Vera Bradley, Inc.</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261,881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251,378</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 redeemable noncontrolling interest, and shareholders’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382,834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404,501</w:t>
            </w:r>
          </w:p>
        </w:tc>
        <w:tc>
          <w:tcPr>
            <w:tcW w:w="0" w:type="dxa"/>
            <w:vAlign w:val="bottom"/>
          </w:tcPr>
          <w:p>
            <w:pPr>
              <w:spacing w:after="0"/>
              <w:rPr>
                <w:sz w:val="1"/>
                <w:szCs w:val="1"/>
                <w:color w:val="auto"/>
              </w:rPr>
            </w:pPr>
          </w:p>
        </w:tc>
      </w:tr>
      <w:tr>
        <w:trPr>
          <w:trHeight w:val="23"/>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274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5"/>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352,870</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173,963</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178,907</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195,015</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(45,096)</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(45,211)</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(38,782)</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r>
      <w:tr>
        <w:trPr>
          <w:trHeight w:val="248"/>
        </w:trPr>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31,721</w:t>
            </w:r>
          </w:p>
        </w:tc>
      </w:tr>
      <w:tr>
        <w:trPr>
          <w:trHeight w:val="270"/>
        </w:trPr>
        <w:tc>
          <w:tcPr>
            <w:tcW w:w="5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184"/>
        </w:trPr>
        <w:tc>
          <w:tcPr>
            <w:tcW w:w="52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Basic net income (loss) per share available to Vera Bradley, Inc.</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84"/>
        </w:trPr>
        <w:tc>
          <w:tcPr>
            <w:tcW w:w="52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Diluted net income (loss) per share available to Vera Bradley, Inc.</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272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31"/>
        </w:trPr>
        <w:tc>
          <w:tcPr>
            <w:tcW w:w="5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75"/>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75"/>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5"/>
        </w:trPr>
        <w:tc>
          <w:tcPr>
            <w:tcW w:w="5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(38,782)</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(loss), net of tax</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(38,934)</w:t>
            </w:r>
          </w:p>
        </w:tc>
      </w:tr>
      <w:tr>
        <w:trPr>
          <w:trHeight w:val="184"/>
        </w:trPr>
        <w:tc>
          <w:tcPr>
            <w:tcW w:w="5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Comprehensive loss attributable to redeemable noncontrolling</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w:t>
            </w:r>
          </w:p>
        </w:tc>
      </w:tr>
      <w:tr>
        <w:trPr>
          <w:trHeight w:val="248"/>
        </w:trPr>
        <w:tc>
          <w:tcPr>
            <w:tcW w:w="5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(loss) attributable to Vera Bradley, Inc.</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4"/>
                <w:szCs w:val="14"/>
                <w:b w:val="1"/>
                <w:bCs w:val="1"/>
                <w:color w:val="auto"/>
              </w:rPr>
              <w:t>Equity 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28,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30,766,024</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12,079,690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274,629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(132,864)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251,378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330,500</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noncontrolling interest equity adjustment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April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30,968,424</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12,207,790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110,753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269,950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(133,596)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246,992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July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30,848,293</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12,328,010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111,663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279,204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(134,279)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256,519</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October 28,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30,785,139</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12,399,817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112,397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284,322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(134,764)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261,881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restart"/>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8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1"/>
                <w:szCs w:val="11"/>
                <w:color w:val="auto"/>
              </w:rPr>
            </w:pPr>
          </w:p>
        </w:tc>
        <w:tc>
          <w:tcPr>
            <w:tcW w:w="760" w:type="dxa"/>
            <w:vAlign w:val="bottom"/>
          </w:tcPr>
          <w:p>
            <w:pPr>
              <w:jc w:val="center"/>
              <w:ind w:right="52"/>
              <w:spacing w:after="0" w:line="135" w:lineRule="exact"/>
              <w:rPr>
                <w:sz w:val="20"/>
                <w:szCs w:val="20"/>
                <w:color w:val="auto"/>
              </w:rPr>
            </w:pPr>
            <w:r>
              <w:rPr>
                <w:rFonts w:ascii="Times New Roman" w:cs="Times New Roman" w:eastAsia="Times New Roman" w:hAnsi="Times New Roman"/>
                <w:sz w:val="14"/>
                <w:szCs w:val="14"/>
                <w:b w:val="1"/>
                <w:bCs w:val="1"/>
                <w:color w:val="auto"/>
              </w:rPr>
              <w:t>Equity of</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Vera Bradley,</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Inc.</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33,170,430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9,258,741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334,364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(114,802)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327,440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404,469</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(1,423,096)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1,423,096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April 30,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32,151,803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10,681,837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327,390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(125,256)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309,114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(29,767)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(29,767)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(986,023)</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30,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31,165,869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11,667,860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297,623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(131,279)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274,150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Vera Bradley, Inc.</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5,167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860" w:type="dxa"/>
            <w:vAlign w:val="bottom"/>
            <w:tcBorders>
              <w:top w:val="single" w:sz="8" w:color="auto"/>
            </w:tcBorders>
          </w:tcPr>
          <w:p>
            <w:pPr>
              <w:ind w:left="6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29,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30,952,844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11,892,870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(132,080)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279,599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20" w:type="dxa"/>
            <w:vAlign w:val="bottom"/>
          </w:tcPr>
          <w:p>
            <w:pPr>
              <w:spacing w:after="0"/>
              <w:rPr>
                <w:sz w:val="11"/>
                <w:szCs w:val="11"/>
                <w:color w:val="auto"/>
              </w:rPr>
            </w:pPr>
          </w:p>
        </w:tc>
        <w:tc>
          <w:tcPr>
            <w:tcW w:w="122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5"/>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(38,782)</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6,685</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16,151</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 and intangible asset impairment</w:t>
            </w:r>
          </w:p>
        </w:tc>
        <w:tc>
          <w:tcPr>
            <w:tcW w:w="22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29,338</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impairment charges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non-cash loss, net</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(4,354)</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(33,453)</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2,764</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(19,262)</w:t>
            </w:r>
          </w:p>
        </w:tc>
      </w:tr>
      <w:tr>
        <w:trPr>
          <w:trHeight w:val="196"/>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(36,758)</w:t>
            </w:r>
          </w:p>
        </w:tc>
      </w:tr>
      <w:tr>
        <w:trPr>
          <w:trHeight w:val="17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w:t>
            </w:r>
          </w:p>
        </w:tc>
      </w:tr>
      <w:tr>
        <w:trPr>
          <w:trHeight w:val="196"/>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Cash paid for business acquisition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w:t>
            </w:r>
          </w:p>
        </w:tc>
      </w:tr>
      <w:tr>
        <w:trPr>
          <w:trHeight w:val="17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withholdings for equity compensation</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(17,278)</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 to redeemable noncontrolling interest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r>
      <w:tr>
        <w:trPr>
          <w:trHeight w:val="19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(19,321)</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(63,199)</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88,436</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52,266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25,237</w:t>
            </w:r>
          </w:p>
        </w:tc>
      </w:tr>
      <w:tr>
        <w:trPr>
          <w:trHeight w:val="27"/>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8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8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20" w:type="dxa"/>
            <w:vAlign w:val="bottom"/>
          </w:tcPr>
          <w:p>
            <w:pPr>
              <w:spacing w:after="0"/>
              <w:rPr>
                <w:sz w:val="11"/>
                <w:szCs w:val="11"/>
                <w:color w:val="auto"/>
              </w:rPr>
            </w:pPr>
          </w:p>
        </w:tc>
        <w:tc>
          <w:tcPr>
            <w:tcW w:w="122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5"/>
        </w:trPr>
        <w:tc>
          <w:tcPr>
            <w:tcW w:w="8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(received) for income taxes, net</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(6,637)</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activity</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6"/>
        </w:trPr>
        <w:tc>
          <w:tcPr>
            <w:tcW w:w="82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October 28, 2023 and October 29, 2022</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1,174</w:t>
            </w: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1"/>
        </w:trPr>
        <w:tc>
          <w:tcPr>
            <w:tcW w:w="8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Expenditures incurred but not yet paid as of January 28, 2023 and January 29, 2022</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1"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On January 30, 2023, the Company purchased the remaining 25% interest in Pura Vida. Pura Vida, based in La Jolla, California, is a digitally native lifestyle brand that we believe deeply resonates with its loyal consumer following. The Pura Vida brand has a differentiated and expanding offering of bracelets, jewelry, and other lifestyle accessories.</w:t>
      </w:r>
    </w:p>
    <w:p>
      <w:pPr>
        <w:spacing w:after="0" w:line="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Vera Bradley Direct (“VB Direct”), Vera Bradley Indirect (“VB Indirect”), and Pura Vida.</w:t>
      </w:r>
    </w:p>
    <w:p>
      <w:pPr>
        <w:spacing w:after="0" w:line="103" w:lineRule="exact"/>
        <w:rPr>
          <w:rFonts w:ascii="Times New Roman" w:cs="Times New Roman" w:eastAsia="Times New Roman" w:hAnsi="Times New Roman"/>
          <w:sz w:val="18"/>
          <w:szCs w:val="18"/>
          <w:b w:val="1"/>
          <w:bCs w:val="1"/>
          <w:color w:val="auto"/>
        </w:rPr>
      </w:pPr>
    </w:p>
    <w:p>
      <w:pPr>
        <w:ind w:left="980" w:right="60" w:hanging="324"/>
        <w:spacing w:after="0" w:line="252"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segment consists of sales of Vera Bradley products through Vera Bradley full-line and outlet stores in the United States; verabradley.com; the Vera Bradley online outlet site; and the Vera Bradley annual outlet sale in Fort Wayne, Indiana. As of October 28, 2023, the Company operated 45 full-line stores and 81 outlet stores. In light of the COVID-19 pandemic, the Company cancelled its calendar year 2022 annual outlet sale. The sale resumed in June 2023.</w:t>
      </w:r>
    </w:p>
    <w:p>
      <w:pPr>
        <w:spacing w:after="0" w:line="1" w:lineRule="exact"/>
        <w:rPr>
          <w:rFonts w:ascii="Times New Roman" w:cs="Times New Roman" w:eastAsia="Times New Roman" w:hAnsi="Times New Roman"/>
          <w:sz w:val="18"/>
          <w:szCs w:val="18"/>
          <w:color w:val="auto"/>
        </w:rPr>
      </w:pPr>
    </w:p>
    <w:p>
      <w:pPr>
        <w:ind w:left="980" w:right="300" w:hanging="324"/>
        <w:spacing w:after="0" w:line="238"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segment consists of revenues generated through the distribution of Vera Bradley-branded products to specialty retailers representing approximately 1,600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63"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www.puravidabracelets.ca, and www.puravidabracelets.eu; through the distribution of Pura Vida-branded products to wholesale retailers, substantially all of which are located in the United States; and through its five retail stores.</w:t>
      </w:r>
    </w:p>
    <w:p>
      <w:pPr>
        <w:spacing w:after="0" w:line="54"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January 28, 2023, filed with the SEC.</w:t>
      </w:r>
    </w:p>
    <w:p>
      <w:pPr>
        <w:spacing w:after="0" w:line="66"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October 28, 2023, are not necessarily indicative of the results to be expected for the full fiscal year due to, in part, seasonal fluctuations in the business and the uncertainty of macroeconomic factors on future periods, including inflation and other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ind w:left="660" w:right="40"/>
        <w:spacing w:after="0" w:line="289"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the Company and its wholly owned subsidiaries, including Pura Vida. The Company has eliminated intercompany balances and transactions in consolidation. In the prior year, Pura Vida was a majority owned subsidiary and was included in the consolidated financial statements of the Company. Refer to Notes 4 and 12 herein for additional information.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October 28, 2023 and October 29, 2022 refer to the thirteen week periods ended on those dates.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There were no new accounting pronouncements issued or which became effective during the thirteen and thirty-nine weeks ended October 28, 2023, which had, or are expected to have, a significant impact on the Company's Consolidated Financial Statements.</w:t>
      </w:r>
    </w:p>
    <w:p>
      <w:pPr>
        <w:spacing w:after="0" w:line="185" w:lineRule="exact"/>
        <w:rPr>
          <w:sz w:val="20"/>
          <w:szCs w:val="20"/>
          <w:color w:val="auto"/>
        </w:rPr>
      </w:pPr>
    </w:p>
    <w:p>
      <w:pPr>
        <w:ind w:left="660" w:right="7260" w:hanging="652"/>
        <w:spacing w:after="0" w:line="52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thirteen and thirty-nine weeks ended October 28,</w:t>
      </w:r>
    </w:p>
    <w:p>
      <w:pPr>
        <w:spacing w:after="0" w:line="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2023 and October 29, 2022 (in thousands):</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32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114,987</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660" w:hanging="6"/>
        <w:spacing w:after="0" w:line="234"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 million of net revenues related to product sales recognized at a point in time and $0.5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34,492</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34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46,284</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37,953</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w:t>
            </w: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21,665</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124,040</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200" w:hanging="6"/>
        <w:spacing w:after="0" w:line="234"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 million of net revenues related to product sales recognized at a point in time and $0.6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89,267</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31,123</w:t>
            </w:r>
          </w:p>
        </w:tc>
        <w:tc>
          <w:tcPr>
            <w:tcW w:w="32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62,436</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25,846</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216,916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337,521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200" w:hanging="6"/>
        <w:spacing w:after="0" w:line="234"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$55.8 million of net revenues related to product sales recognized at a point in time and $1.9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17"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98,997</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30,615</w:t>
            </w:r>
          </w:p>
        </w:tc>
        <w:tc>
          <w:tcPr>
            <w:tcW w:w="34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130,685</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52,903</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63,115</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42,157</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111,742</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25,761</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11,806</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228,710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67,544</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352,870</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 million of net revenues related to product sales recognized at a point in time and $2.1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Contract liabilities as of October 28, 2023 and January 28, 2023, were $2.5 million and $3.2 million, respectively. The balance as of October 28, 2023 and January 28, 2023 consisted of unredeemed gift cards, unearned revenue related to the monthly bracelet and jewelry clubs of the Pura Vida segment, Pura Vida loyalty club points, and Pura Vida customer deposits and payments collected before shipment. These contract liabilities are recognized within other accrued liabilities on the Company’s Condensed Consolidated Balance Sheets. Substantially all contract liabilities are recognized within one year. The Company did not have contract assets as of October 28, 2023 and January 28, 2023.</w:t>
      </w:r>
    </w:p>
    <w:p>
      <w:pPr>
        <w:spacing w:after="0" w:line="48"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October 28, 2023 and January 28, 2023, was $25.0 million and $20.7 million, respectively, which is recognized within accounts receivable, net, on the Company’s Condensed Consolidated Balance Sheets. The provision for doubtful accounts was $0.9 million and $0.8 million as of October 28, 2023 and January 28, 2023,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October 28, 2023.</w:t>
      </w:r>
    </w:p>
    <w:p>
      <w:pPr>
        <w:spacing w:after="0" w:line="185" w:lineRule="exact"/>
        <w:rPr>
          <w:sz w:val="20"/>
          <w:szCs w:val="20"/>
          <w:color w:val="auto"/>
        </w:rPr>
      </w:pPr>
    </w:p>
    <w:p>
      <w:pPr>
        <w:ind w:left="660" w:right="9560" w:hanging="652"/>
        <w:spacing w:after="0" w:line="383" w:lineRule="auto"/>
        <w:tabs>
          <w:tab w:leader="none" w:pos="66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i w:val="1"/>
          <w:iCs w:val="1"/>
          <w:color w:val="auto"/>
        </w:rPr>
        <w:t>Discount Rate</w:t>
      </w:r>
    </w:p>
    <w:p>
      <w:pPr>
        <w:spacing w:after="0" w:line="1" w:lineRule="exact"/>
        <w:rPr>
          <w:rFonts w:ascii="Times New Roman" w:cs="Times New Roman" w:eastAsia="Times New Roman" w:hAnsi="Times New Roman"/>
          <w:sz w:val="17"/>
          <w:szCs w:val="17"/>
          <w:b w:val="1"/>
          <w:bCs w:val="1"/>
          <w:color w:val="auto"/>
        </w:rPr>
      </w:pPr>
    </w:p>
    <w:p>
      <w:pPr>
        <w:ind w:left="660" w:right="4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weighted-average discount rate as of October 28, 2023, and October 29, 2022 was 4.8% and 4.6%, respectively. The discount rate is not readily determinable in the lease; therefore, the Company estimated the incremental borrowing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rate, at the commencement date of each lease, which is the rate of interest it would have to borrow on a collateralized basis over a similar term with similar payments.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Leases Not Yet Commenced</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October 28, 2023, there were no executed leases in which the Company did not have control of the underlying asset.</w:t>
      </w: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10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Condensed Consolidated Statement of Operations for the thirteen and thirty-nine weeks ended October 28, 2023 and October 29, 2022 (in thousands):</w:t>
      </w:r>
    </w:p>
    <w:p>
      <w:pPr>
        <w:spacing w:after="0" w:line="7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344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0"/>
        </w:trPr>
        <w:tc>
          <w:tcPr>
            <w:tcW w:w="23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2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October 29, 2022</w:t>
            </w:r>
          </w:p>
        </w:tc>
      </w:tr>
      <w:tr>
        <w:trPr>
          <w:trHeight w:val="229"/>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w:t>
            </w: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3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9"/>
        </w:trPr>
        <w:tc>
          <w:tcPr>
            <w:tcW w:w="23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w:t>
            </w:r>
          </w:p>
        </w:tc>
      </w:tr>
    </w:tbl>
    <w:p>
      <w:pPr>
        <w:ind w:left="68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-121920</wp:posOffset>
            </wp:positionV>
            <wp:extent cx="4749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October 28, 2023 and October 29, 2022 was 5.4 years.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0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6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26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October 29, 2022</w:t>
            </w:r>
          </w:p>
        </w:tc>
      </w:tr>
      <w:tr>
        <w:trPr>
          <w:trHeight w:val="229"/>
        </w:trPr>
        <w:tc>
          <w:tcPr>
            <w:tcW w:w="6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Cash paid for amounts included in the measurement of operating lease liabilities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r>
      <w:tr>
        <w:trPr>
          <w:trHeight w:val="175"/>
        </w:trPr>
        <w:tc>
          <w:tcPr>
            <w:tcW w:w="6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257925"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57925" cy="266065"/>
                    </a:xfrm>
                    <a:prstGeom prst="rect">
                      <a:avLst/>
                    </a:prstGeom>
                    <a:noFill/>
                  </pic:spPr>
                </pic:pic>
              </a:graphicData>
            </a:graphic>
          </wp:anchor>
        </w:drawing>
      </w:r>
    </w:p>
    <w:p>
      <w:pPr>
        <w:ind w:left="680" w:right="660" w:hanging="6"/>
        <w:spacing w:after="0" w:line="234" w:lineRule="auto"/>
        <w:tabs>
          <w:tab w:leader="none" w:pos="9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of lease liabilities were recorded within accounts payable on the Company's Consolidated Balance Sheets as of October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07" w:lineRule="exact"/>
        <w:rPr>
          <w:rFonts w:ascii="Times New Roman" w:cs="Times New Roman" w:eastAsia="Times New Roman" w:hAnsi="Times New Roman"/>
          <w:sz w:val="18"/>
          <w:szCs w:val="18"/>
          <w:b w:val="1"/>
          <w:bCs w:val="1"/>
          <w:color w:val="auto"/>
        </w:rPr>
      </w:pPr>
    </w:p>
    <w:p>
      <w:pPr>
        <w:ind w:left="660" w:right="1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22"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redemption feature related to the Put/Call Agreement in the prior year, the Company recorded the prior year 25% noncontrolling interest as redeemable and classified it in temporary equity within its Condensed Consolidated Balance Sheets initially at its acquisition-date fair value. The noncontrolling interest was adjusted each reporting period for income (or loss) attributable to the noncontrolling interest. A measurement period adjustment, if any, was then made to adjust the noncontrolling interest to the higher of the redemption value or carrying value each reporting period. These adjustments were recognized through retained earnings and were not reflected in net income or net income attributable to Vera Bradley, Inc. When calculating earnings per share attributable to Vera Bradley, Inc., the Company adjusted the net income attributable to Vera Bradley, Inc. for the measurement period adjustment to the extent the redemption value exceeds the fair value of the noncontrolling interest on a cumulative basis. Refer to Note 12 for additional information regarding the purchase of the remaining 25% interest on January 30, 2023.</w:t>
      </w:r>
    </w:p>
    <w:p>
      <w:pPr>
        <w:spacing w:after="0" w:line="6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2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28"/>
        </w:trPr>
        <w:tc>
          <w:tcPr>
            <w:tcW w:w="5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54"/>
              <w:spacing w:after="0" w:line="129" w:lineRule="exact"/>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6"/>
        </w:trPr>
        <w:tc>
          <w:tcPr>
            <w:tcW w:w="50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(38,782)</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r>
      <w:tr>
        <w:trPr>
          <w:trHeight w:val="196"/>
        </w:trPr>
        <w:tc>
          <w:tcPr>
            <w:tcW w:w="50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5,118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5,167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9,693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(31,574)</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75"/>
        </w:trPr>
        <w:tc>
          <w:tcPr>
            <w:tcW w:w="5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Net income (loss) per share available to Vera Bradley, Inc.</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common shareholders: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63" w:lineRule="exact"/>
        <w:rPr>
          <w:sz w:val="20"/>
          <w:szCs w:val="20"/>
          <w:color w:val="auto"/>
        </w:rPr>
      </w:pPr>
    </w:p>
    <w:p>
      <w:pPr>
        <w:ind w:left="660" w:right="60"/>
        <w:spacing w:after="0" w:line="236" w:lineRule="auto"/>
        <w:rPr>
          <w:sz w:val="20"/>
          <w:szCs w:val="20"/>
          <w:color w:val="auto"/>
        </w:rPr>
      </w:pPr>
      <w:r>
        <w:rPr>
          <w:rFonts w:ascii="Times New Roman" w:cs="Times New Roman" w:eastAsia="Times New Roman" w:hAnsi="Times New Roman"/>
          <w:sz w:val="18"/>
          <w:szCs w:val="18"/>
          <w:color w:val="auto"/>
        </w:rPr>
        <w:t>For the thirteen and thirty-nine weeks ended October 28, 2023 and thirteen weeks ended October 29, 2022 there were an immaterial number of additional shares issuable upon the vesting of restricted stock units that were excluded from the diluted share calculations because they were anti-dilutive.</w:t>
      </w:r>
    </w:p>
    <w:p>
      <w:pPr>
        <w:spacing w:after="0" w:line="199" w:lineRule="exact"/>
        <w:rPr>
          <w:sz w:val="20"/>
          <w:szCs w:val="20"/>
          <w:color w:val="auto"/>
        </w:rPr>
      </w:pPr>
    </w:p>
    <w:p>
      <w:pPr>
        <w:ind w:left="660" w:right="320"/>
        <w:spacing w:after="0" w:line="266" w:lineRule="auto"/>
        <w:rPr>
          <w:sz w:val="20"/>
          <w:szCs w:val="20"/>
          <w:color w:val="auto"/>
        </w:rPr>
      </w:pPr>
      <w:r>
        <w:rPr>
          <w:rFonts w:ascii="Times New Roman" w:cs="Times New Roman" w:eastAsia="Times New Roman" w:hAnsi="Times New Roman"/>
          <w:sz w:val="18"/>
          <w:szCs w:val="18"/>
          <w:color w:val="auto"/>
        </w:rPr>
        <w:t>For the thirty-nine weeks ended October 29, 2022, all potential common shares were excluded from the diluted share calculation because they were anti-dilutive due to the net loss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7"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October 28, 2023 and January 28, 2023, approximated their fair values.</w:t>
      </w:r>
    </w:p>
    <w:p>
      <w:pPr>
        <w:spacing w:after="0" w:line="40" w:lineRule="exact"/>
        <w:rPr>
          <w:sz w:val="20"/>
          <w:szCs w:val="20"/>
          <w:color w:val="auto"/>
        </w:rPr>
      </w:pPr>
    </w:p>
    <w:p>
      <w:pPr>
        <w:ind w:left="660" w:right="820"/>
        <w:spacing w:after="0" w:line="270" w:lineRule="auto"/>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October 28, 2023 and January 28, 2023 (in thousands):</w:t>
      </w:r>
    </w:p>
    <w:tbl>
      <w:tblPr>
        <w:tblLayout w:type="fixed"/>
        <w:tblInd w:w="66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200" w:type="dxa"/>
            <w:vAlign w:val="bottom"/>
            <w:gridSpan w:val="6"/>
          </w:tcPr>
          <w:p>
            <w:pPr>
              <w:jc w:val="right"/>
              <w:ind w:right="97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9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1120" w:type="dxa"/>
            <w:vAlign w:val="bottom"/>
            <w:gridSpan w:val="3"/>
          </w:tcPr>
          <w:p>
            <w:pPr>
              <w:spacing w:after="0"/>
              <w:rPr>
                <w:sz w:val="2"/>
                <w:szCs w:val="2"/>
                <w:color w:val="auto"/>
              </w:rPr>
            </w:pPr>
          </w:p>
        </w:tc>
        <w:tc>
          <w:tcPr>
            <w:tcW w:w="110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128"/>
        </w:trPr>
        <w:tc>
          <w:tcPr>
            <w:tcW w:w="3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270"/>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88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250"/>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88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6"/>
        </w:trPr>
        <w:tc>
          <w:tcPr>
            <w:tcW w:w="3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2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bl>
    <w:p>
      <w:pPr>
        <w:spacing w:after="0" w:line="49" w:lineRule="exact"/>
        <w:rPr>
          <w:sz w:val="20"/>
          <w:szCs w:val="20"/>
          <w:color w:val="auto"/>
        </w:rPr>
      </w:pPr>
    </w:p>
    <w:p>
      <w:pPr>
        <w:ind w:left="680" w:right="940" w:hanging="6"/>
        <w:spacing w:after="0" w:line="237" w:lineRule="auto"/>
        <w:tabs>
          <w:tab w:leader="none" w:pos="9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primarily represent a money market fund that has a maturity of three months or less at the date of purchase. Due to the short maturity, the Company believes the carrying value approximates fair value.</w:t>
      </w:r>
    </w:p>
    <w:p>
      <w:pPr>
        <w:spacing w:after="0" w:line="172" w:lineRule="exact"/>
        <w:rPr>
          <w:sz w:val="20"/>
          <w:szCs w:val="20"/>
          <w:color w:val="auto"/>
        </w:rPr>
      </w:pPr>
    </w:p>
    <w:p>
      <w:pPr>
        <w:ind w:left="660" w:right="80"/>
        <w:spacing w:after="0" w:line="256"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There were no long-lived asset impairment charges for the thirteen and thirty-nine weeks ended October 28, 2023. The Company recorded $1.4 million for store property, plant, and equipment impairment charges and a corporate lease right-of-use asset impairment charge for the thirty-nine weeks ended October 29, 2022, respectively.</w:t>
      </w:r>
    </w:p>
    <w:p>
      <w:pPr>
        <w:spacing w:after="0" w:line="51"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66"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On a nonrecurring basis, assets recognized or disclosed at fair value on the consolidated financial statements include items such as property, plant, and equipment, including leasehold improvements, and operating lease assets, as well as assets related to the Pura Vida acquisition including goodwill (in the prior year) and intangible assets. These assets are measured at fair value if determined to be impaired. There were no goodwill or intangible asset impairment charges recorded during the thirteen and thirty-nine weeks ended October 28, 2023. During the thirty-nine weeks ended</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October 29, 2022, the Company recorded a $29.3 million impairment charge related to goodwill and the indefinite-lived Pura Vida brand asset in conjunction with its second quarter annual quantitative test. There were no goodwill or indefinite-lived assets impairment charges recorded during the thirteen weeks ended October 29, 2022. Refer to Note 13 herein for additional information.</w:t>
      </w:r>
    </w:p>
    <w:p>
      <w:pPr>
        <w:spacing w:after="0" w:line="280"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7" w:lineRule="exact"/>
        <w:rPr>
          <w:rFonts w:ascii="Times New Roman" w:cs="Times New Roman" w:eastAsia="Times New Roman" w:hAnsi="Times New Roman"/>
          <w:sz w:val="18"/>
          <w:szCs w:val="18"/>
          <w:b w:val="1"/>
          <w:bCs w:val="1"/>
          <w:color w:val="auto"/>
        </w:rPr>
      </w:pPr>
    </w:p>
    <w:p>
      <w:pPr>
        <w:ind w:left="66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3" w:lineRule="exact"/>
        <w:rPr>
          <w:rFonts w:ascii="Times New Roman" w:cs="Times New Roman" w:eastAsia="Times New Roman" w:hAnsi="Times New Roman"/>
          <w:sz w:val="18"/>
          <w:szCs w:val="18"/>
          <w:b w:val="1"/>
          <w:bCs w:val="1"/>
          <w:color w:val="auto"/>
        </w:rPr>
      </w:pPr>
    </w:p>
    <w:p>
      <w:pPr>
        <w:ind w:left="660"/>
        <w:spacing w:after="0" w:line="23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either (i) for Commercial LIBank Floating Rate (“CBFR") borrowings (including swingline loans), where the CBR is the prime rate which shall never be less than the adjusted one month London Interbank Offered Rate ("LIBOR") on such day, plus the Applicable Rate, where the Applicable Rate is a percentage spread ranging from -1.00% to -1.50% or (ii) for each eurodollar borrowing, the Adjusted LIBOR, where the Adjusted LIBOR is the LIBO rate for such interest period multiplied by the statutory reserve rate, for the interest period in effect for such borrowing, plus the Applicable Rate, where the Applicable Rate is a percentage ranging from 1.00% to 1.30%. The applicable CB Floating Rate, Adjusted LIBOR, or LIBOR shall be determined by the administrative agent. The Credit Agreement also requires VBD to pay a commitment fee for the unused portion of the revolving facility of up to 0.20% per annum.</w:t>
      </w:r>
    </w:p>
    <w:p>
      <w:pPr>
        <w:spacing w:after="0" w:line="80" w:lineRule="exact"/>
        <w:rPr>
          <w:rFonts w:ascii="Times New Roman" w:cs="Times New Roman" w:eastAsia="Times New Roman" w:hAnsi="Times New Roman"/>
          <w:sz w:val="18"/>
          <w:szCs w:val="18"/>
          <w:b w:val="1"/>
          <w:bCs w:val="1"/>
          <w:color w:val="auto"/>
        </w:rPr>
      </w:pPr>
    </w:p>
    <w:p>
      <w:pPr>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54" w:lineRule="exact"/>
        <w:rPr>
          <w:rFonts w:ascii="Times New Roman" w:cs="Times New Roman" w:eastAsia="Times New Roman" w:hAnsi="Times New Roman"/>
          <w:sz w:val="18"/>
          <w:szCs w:val="18"/>
          <w:b w:val="1"/>
          <w:bCs w:val="1"/>
          <w:color w:val="auto"/>
        </w:rPr>
      </w:pPr>
    </w:p>
    <w:p>
      <w:pPr>
        <w:ind w:left="6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48"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also requires the Loan Parties to maintain a minimum fixed charge coverage ratio of 1.00 during periods when borrowing availability is less than the greater of (A) approximately $7.5 million, and (B) 10% of the lesser of (i) the aggregate revolving commitment, and (ii) the borrowing base. The fixed charge coverage ratio, availability, aggregate revolving commitment, and the borrowing base are further defined in the Credit Agreement.</w:t>
      </w:r>
    </w:p>
    <w:p>
      <w:pPr>
        <w:spacing w:after="0" w:line="58" w:lineRule="exact"/>
        <w:rPr>
          <w:sz w:val="20"/>
          <w:szCs w:val="20"/>
          <w:color w:val="auto"/>
        </w:rPr>
      </w:pPr>
    </w:p>
    <w:p>
      <w:pPr>
        <w:ind w:left="660" w:right="80"/>
        <w:spacing w:after="0" w:line="272" w:lineRule="auto"/>
        <w:rPr>
          <w:sz w:val="20"/>
          <w:szCs w:val="20"/>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2" w:lineRule="exact"/>
        <w:rPr>
          <w:sz w:val="20"/>
          <w:szCs w:val="20"/>
          <w:color w:val="auto"/>
        </w:rPr>
      </w:pPr>
    </w:p>
    <w:p>
      <w:pPr>
        <w:ind w:left="660" w:right="420" w:hanging="4"/>
        <w:spacing w:after="0" w:line="255" w:lineRule="auto"/>
        <w:tabs>
          <w:tab w:leader="none" w:pos="9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64"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On August 3, 2023, certain subsidiaries of the Company, JP Morgan Chase Bank, N.A., as the administrative agent, and lenders from time to time party thereto, entered into a Third Amendment (the “Third Amendment”) to the Credit Agreement dated September 7, 2018.</w:t>
      </w:r>
    </w:p>
    <w:p>
      <w:pPr>
        <w:spacing w:after="0" w:line="27"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The Third Amendment amended the Credit Agreement to, among other things: extend the maturity date to May 2028; add Creative Genius, LLC as a borrower; increase an option for the borrowers to arrange with lenders to increase the aggregate principal amount by up to $50.0 million; update the commitment fee rate to 0.20% or 0.30% depending 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the average quarterly utilization; update the interest rate per annum for the CBFR to the greater of the prime rate or 2.5% and remove references to LIBOR (in the case of a CBFR borrowings including swingline loans); remove references to eurodollar borrowings and replace with term benchmark borrowings where the interest rate per annum is the adjusted term Secured Overnight Financing Rate (“SOFR”), as defined in the Third Amendment to the Credit Agreement; and add Risk-free Rate (RFR) borrowings where the interest rate per annum is the adjusted daily simple SOFR, as defined in the Third Amendment to the Credit Agreement.</w:t>
      </w:r>
    </w:p>
    <w:p>
      <w:pPr>
        <w:spacing w:after="0" w:line="48" w:lineRule="exact"/>
        <w:rPr>
          <w:sz w:val="20"/>
          <w:szCs w:val="20"/>
          <w:color w:val="auto"/>
        </w:rPr>
      </w:pPr>
    </w:p>
    <w:p>
      <w:pPr>
        <w:ind w:left="660" w:right="460"/>
        <w:spacing w:after="0" w:line="276" w:lineRule="auto"/>
        <w:rPr>
          <w:sz w:val="20"/>
          <w:szCs w:val="20"/>
          <w:color w:val="auto"/>
        </w:rPr>
      </w:pPr>
      <w:r>
        <w:rPr>
          <w:rFonts w:ascii="Times New Roman" w:cs="Times New Roman" w:eastAsia="Times New Roman" w:hAnsi="Times New Roman"/>
          <w:sz w:val="17"/>
          <w:szCs w:val="17"/>
          <w:color w:val="auto"/>
        </w:rPr>
        <w:t>The Third Amendment also modified the periods that the fixed charge coverage ratio is not permitted to be less than 1.00. The borrowers are required to maintain the fixed charge coverage ratio for periods when borrowing availability is less than the greater of (A) approximately</w:t>
      </w:r>
    </w:p>
    <w:p>
      <w:pPr>
        <w:spacing w:after="0" w:line="1" w:lineRule="exact"/>
        <w:rPr>
          <w:sz w:val="20"/>
          <w:szCs w:val="20"/>
          <w:color w:val="auto"/>
        </w:rPr>
      </w:pPr>
    </w:p>
    <w:p>
      <w:pPr>
        <w:ind w:left="660" w:right="80"/>
        <w:spacing w:after="0" w:line="260" w:lineRule="auto"/>
        <w:rPr>
          <w:sz w:val="20"/>
          <w:szCs w:val="20"/>
          <w:color w:val="auto"/>
        </w:rPr>
      </w:pPr>
      <w:r>
        <w:rPr>
          <w:rFonts w:ascii="Times New Roman" w:cs="Times New Roman" w:eastAsia="Times New Roman" w:hAnsi="Times New Roman"/>
          <w:sz w:val="18"/>
          <w:szCs w:val="18"/>
          <w:color w:val="auto"/>
        </w:rPr>
        <w:t>$9.4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60" w:lineRule="exact"/>
        <w:rPr>
          <w:sz w:val="20"/>
          <w:szCs w:val="20"/>
          <w:color w:val="auto"/>
        </w:rPr>
      </w:pPr>
    </w:p>
    <w:p>
      <w:pPr>
        <w:ind w:left="660" w:right="380"/>
        <w:spacing w:after="0" w:line="282" w:lineRule="auto"/>
        <w:rPr>
          <w:sz w:val="20"/>
          <w:szCs w:val="20"/>
          <w:color w:val="auto"/>
        </w:rPr>
      </w:pPr>
      <w:r>
        <w:rPr>
          <w:rFonts w:ascii="Times New Roman" w:cs="Times New Roman" w:eastAsia="Times New Roman" w:hAnsi="Times New Roman"/>
          <w:sz w:val="18"/>
          <w:szCs w:val="18"/>
          <w:color w:val="auto"/>
        </w:rPr>
        <w:t>As of October 28, 2023 and January 28, 2023, the Company had no borrowings outstanding and availability of $75.0 million under the Credit Agreement.</w:t>
      </w:r>
    </w:p>
    <w:p>
      <w:pPr>
        <w:spacing w:after="0" w:line="18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6" w:lineRule="exact"/>
        <w:rPr>
          <w:rFonts w:ascii="Times New Roman" w:cs="Times New Roman" w:eastAsia="Times New Roman" w:hAnsi="Times New Roman"/>
          <w:sz w:val="18"/>
          <w:szCs w:val="18"/>
          <w:b w:val="1"/>
          <w:bCs w:val="1"/>
          <w:color w:val="auto"/>
        </w:rPr>
      </w:pPr>
    </w:p>
    <w:p>
      <w:pPr>
        <w:ind w:left="660" w:right="3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October 28, 2023, was 27.6%, compared to 18.4% for the thirteen weeks ended October 29, 2022. The year-over-year effective tax rate increase was primarily due to the relative impact of permanent items in the current-year period compared to the prior-year period, primarily as a result of noncontrolling interest in the prior-year period and non-deductible executive compensation.</w:t>
      </w:r>
    </w:p>
    <w:p>
      <w:pPr>
        <w:spacing w:after="0" w:line="58"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thirty-nine weeks ended October 28, 2023, was 28.3%, compared to 14.2% for the thirty-nine weeks ended October 29, 2022. The year-over-year effective tax rate increase was primarily due to the relative impact of permanent and discrete items in the current-year period compared to the prior-year period, primarily as a result of stock-based compensation, noncontrolling interest in the prior-year period, and non-deductible executive compensation.</w:t>
      </w:r>
    </w:p>
    <w:p>
      <w:pPr>
        <w:spacing w:after="0" w:line="58" w:lineRule="exact"/>
        <w:rPr>
          <w:rFonts w:ascii="Times New Roman" w:cs="Times New Roman" w:eastAsia="Times New Roman" w:hAnsi="Times New Roman"/>
          <w:sz w:val="18"/>
          <w:szCs w:val="18"/>
          <w:b w:val="1"/>
          <w:bCs w:val="1"/>
          <w:color w:val="auto"/>
        </w:rPr>
      </w:pPr>
    </w:p>
    <w:p>
      <w:pPr>
        <w:ind w:left="6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 to Note 12 herein for information regarding the deferred income tax adjustment associated with the purchase of the remaining 25% interest in Pura Vida on January 30, 2023.</w:t>
      </w:r>
    </w:p>
    <w:p>
      <w:pPr>
        <w:spacing w:after="0" w:line="26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0"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6,000,000 shares of common stock for issuance or transfer under the 2020 Equity and Incentive Plan, as amended, which allows for grants of restricted stock units, as well as other equity awards. The Company maintains the 2010 Equity and Incentive Plan for awards granted prior to the effectiveness of the 2020 Equity and Incentive Plan.</w:t>
      </w:r>
    </w:p>
    <w:p>
      <w:pPr>
        <w:spacing w:after="0" w:line="20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348" w:lineRule="exact"/>
        <w:rPr>
          <w:rFonts w:ascii="Times New Roman" w:cs="Times New Roman" w:eastAsia="Times New Roman" w:hAnsi="Times New Roman"/>
          <w:sz w:val="18"/>
          <w:szCs w:val="18"/>
          <w:b w:val="1"/>
          <w:bCs w:val="1"/>
          <w:color w:val="auto"/>
        </w:rPr>
      </w:pPr>
    </w:p>
    <w:p>
      <w:pPr>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thirteen weeks ended October 28, 2023, the Company granted 15,267 time-based and performance-based restricted stock units with an aggregate fair value of $0.1 million to certain employees under the 2020 Equity and Incentive Plan. The company did not grant restricted stock units during the thirteen weeks ended October 29, 2022.</w:t>
      </w:r>
    </w:p>
    <w:p>
      <w:pPr>
        <w:spacing w:after="0" w:line="216" w:lineRule="exact"/>
        <w:rPr>
          <w:rFonts w:ascii="Times New Roman" w:cs="Times New Roman" w:eastAsia="Times New Roman" w:hAnsi="Times New Roman"/>
          <w:sz w:val="18"/>
          <w:szCs w:val="18"/>
          <w:b w:val="1"/>
          <w:bCs w:val="1"/>
          <w:color w:val="auto"/>
        </w:rPr>
      </w:pPr>
    </w:p>
    <w:p>
      <w:pPr>
        <w:ind w:left="66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the thirty-nine weeks ended October 28, 2023, the Company granted 753,454 time-based and performance-based restricted stock units with an aggregate fair value of $4.4 million to certain employees and non-employee directors under the 2020 Equity and Incentive Plan compared to 841,369 time-based and performance-based restricted stock units with an aggregate fair value of $6.3 million in the same period of the prior year.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The majority of the time-based restricted stock units vest and settle in shares of the Company’s common stock, on a one-for-one basis,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6"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thirty-nine weeks ended October 28, 2023 (units in thousands):</w:t>
      </w:r>
    </w:p>
    <w:p>
      <w:pPr>
        <w:spacing w:after="0" w:line="2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2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28, 2023</w:t>
            </w:r>
          </w:p>
        </w:tc>
        <w:tc>
          <w:tcPr>
            <w:tcW w:w="1260" w:type="dxa"/>
            <w:vAlign w:val="bottom"/>
            <w:tcBorders>
              <w:top w:val="single" w:sz="8" w:color="auto"/>
            </w:tcBorders>
            <w:shd w:val="clear" w:color="auto" w:fill="CCEEFF"/>
          </w:tcPr>
          <w:p>
            <w:pPr>
              <w:jc w:val="center"/>
              <w:ind w:left="758"/>
              <w:spacing w:after="0"/>
              <w:rPr>
                <w:sz w:val="20"/>
                <w:szCs w:val="20"/>
                <w:color w:val="auto"/>
              </w:rPr>
            </w:pPr>
            <w:r>
              <w:rPr>
                <w:rFonts w:ascii="Times New Roman" w:cs="Times New Roman" w:eastAsia="Times New Roman" w:hAnsi="Times New Roman"/>
                <w:sz w:val="18"/>
                <w:szCs w:val="18"/>
                <w:color w:val="auto"/>
                <w:w w:val="96"/>
              </w:rPr>
              <w:t>965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center"/>
              <w:ind w:left="758"/>
              <w:spacing w:after="0"/>
              <w:rPr>
                <w:sz w:val="20"/>
                <w:szCs w:val="20"/>
                <w:color w:val="auto"/>
              </w:rPr>
            </w:pPr>
            <w:r>
              <w:rPr>
                <w:rFonts w:ascii="Times New Roman" w:cs="Times New Roman" w:eastAsia="Times New Roman" w:hAnsi="Times New Roman"/>
                <w:sz w:val="18"/>
                <w:szCs w:val="18"/>
                <w:color w:val="auto"/>
                <w:w w:val="96"/>
              </w:rPr>
              <w:t>438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center"/>
              <w:ind w:left="738"/>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center"/>
              <w:ind w:left="738"/>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October 28, 2023</w:t>
            </w:r>
          </w:p>
        </w:tc>
        <w:tc>
          <w:tcPr>
            <w:tcW w:w="1260" w:type="dxa"/>
            <w:vAlign w:val="bottom"/>
            <w:tcBorders>
              <w:bottom w:val="single" w:sz="8" w:color="auto"/>
            </w:tcBorders>
            <w:shd w:val="clear" w:color="auto" w:fill="CCEEFF"/>
          </w:tcPr>
          <w:p>
            <w:pPr>
              <w:jc w:val="center"/>
              <w:ind w:left="758"/>
              <w:spacing w:after="0"/>
              <w:rPr>
                <w:sz w:val="20"/>
                <w:szCs w:val="20"/>
                <w:color w:val="auto"/>
              </w:rPr>
            </w:pPr>
            <w:r>
              <w:rPr>
                <w:rFonts w:ascii="Times New Roman" w:cs="Times New Roman" w:eastAsia="Times New Roman" w:hAnsi="Times New Roman"/>
                <w:sz w:val="18"/>
                <w:szCs w:val="18"/>
                <w:color w:val="auto"/>
                <w:w w:val="96"/>
              </w:rPr>
              <w:t>833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As of October 28, 2023, there was $5.1 million of total unrecognized compensation cost, net of estimated forfeitures, related to nonvested restricted stock units. That cost is expected to be recognized over a weighted-average period of 2.0 years, subject to meeting performance conditions.</w:t>
      </w:r>
    </w:p>
    <w:p>
      <w:pPr>
        <w:spacing w:after="0" w:line="280"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7"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65"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sought damages in an amount not less than $10.0 million for punitive damages, attorney fees, prejudgment interest, and any other additional relief. In November 2019, the Company filed a counterclaim against the principals of Vesi as personal guarantors for monies owed to the Company by Vesi. The Company filed a motion for summary judgement asking the Court to dismiss all claims with prejudice and grant judgement on its counterclaim. On January 4, 2023, the District Court granted the Company’s motion for summary judgment dismissing Vesi’s claims and also granted judgment on the Company’s counterclaims against the principals of Vesi for an immaterial amount. Vesi appealed this decision. On November 9, 2023 the United States Court of Appeals for the Sixth Circuit issued an opinion affirming the District Court’s judgment in favor of the Company dismissing Vesi’s claims and granting the Company’s counterclaims.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07"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the Company's board of directors approved a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40"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320,127 shares at an average price of $5.94 per share, excluding commissions, for an aggregate amount of $1.9 million during the thirty-nine weeks ended October 28, 2023 under the 2021 Share Repurchase Program. There was $25.8 million remaining available to repurchase shares of the Company's common stock under the 2021 Share Repurchase Program as of October 28, 2023.</w:t>
      </w:r>
    </w:p>
    <w:p>
      <w:pPr>
        <w:spacing w:after="0" w:line="54" w:lineRule="exact"/>
        <w:rPr>
          <w:rFonts w:ascii="Times New Roman" w:cs="Times New Roman" w:eastAsia="Times New Roman" w:hAnsi="Times New Roman"/>
          <w:sz w:val="18"/>
          <w:szCs w:val="18"/>
          <w:b w:val="1"/>
          <w:bCs w:val="1"/>
          <w:color w:val="auto"/>
        </w:rPr>
      </w:pPr>
    </w:p>
    <w:p>
      <w:pPr>
        <w:ind w:left="660" w:right="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October 28, 2023, the Company held as treasury shares 12,399,817 shares of its common stock at an average price of $10.87 per share, excluding commissions, for an aggregate carrying amount of $134.8 million. The Company’s treasury shares may be issued under the 2010 Equity and Incentive Plan (with respect to outstanding awards under that plan), under the 2020 Equity and Incentive Plan, or for other corporate purposes.</w:t>
      </w:r>
    </w:p>
    <w:p>
      <w:pPr>
        <w:spacing w:after="0" w:line="275"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Cloud Computing Arrangements</w:t>
      </w:r>
    </w:p>
    <w:p>
      <w:pPr>
        <w:spacing w:after="0" w:line="94" w:lineRule="exact"/>
        <w:rPr>
          <w:rFonts w:ascii="Times New Roman" w:cs="Times New Roman" w:eastAsia="Times New Roman" w:hAnsi="Times New Roman"/>
          <w:sz w:val="18"/>
          <w:szCs w:val="18"/>
          <w:b w:val="1"/>
          <w:bCs w:val="1"/>
          <w:color w:val="auto"/>
        </w:rPr>
      </w:pPr>
    </w:p>
    <w:p>
      <w:pPr>
        <w:ind w:left="66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$4.3 million and $6.4 million as of October 28, 2023 and January 28, 2023, respectively. Of this total, $2.7 million and $3.0 million was recorded within prepaid expenses and other current assets and $1.6 million and $3.4 million was recorded within other assets on the Company's Condensed Consolidated Balance Sheets as of October 28, 2023 and January 28, 2023, respectively. The CCA implementation costs are recorded within operating activities in the Company's Condensed Consolidated Statements of Cash Flows.</w:t>
      </w:r>
    </w:p>
    <w:p>
      <w:pPr>
        <w:spacing w:after="0" w:line="6"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85"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Redeemable noncontrolling interest represented the remaining twenty-five percent (25%) interest in Pura Vida not acquired by the Company until January 30, 2023.</w:t>
      </w:r>
    </w:p>
    <w:p>
      <w:pPr>
        <w:spacing w:after="0" w:line="40"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the Company purchased 75% of Pura Vida's outstanding equity interest and entered into a Put/Call Agreement with the Sellers (the “Put/Call Agreement”) providing for certain rights with respect to the purchase by the Company and sale by the Sellers of the Remaining Pura Vida Interests. On January 23, 2023, the Company and certain of its subsidiaries entered into an Interest Purchase Agreement (the “Interest Purchase Agreement”) with Creative Genius Holdings, Inc. a California corporation, Creative Genius Investments, Inc., a California corporation, Griffin Thall, and Paul Goodman (collectively “Sellers”) to purchase the remaining 25% of the outstanding membership interests (the “Remaining Pura Vida Interests”) of Creative Genius, LLC, a California limited liability company (“Pura Vida”).</w:t>
      </w:r>
    </w:p>
    <w:p>
      <w:pPr>
        <w:spacing w:after="0" w:line="52" w:lineRule="exact"/>
        <w:rPr>
          <w:rFonts w:ascii="Times New Roman" w:cs="Times New Roman" w:eastAsia="Times New Roman" w:hAnsi="Times New Roman"/>
          <w:sz w:val="18"/>
          <w:szCs w:val="18"/>
          <w:b w:val="1"/>
          <w:bCs w:val="1"/>
          <w:color w:val="auto"/>
        </w:rPr>
      </w:pPr>
    </w:p>
    <w:p>
      <w:pPr>
        <w:ind w:left="6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Pursuant to the Interest Purchase Agreement, and subject to the terms and conditions thereof, on the closing date (January 30, 2023), the Company acquired the Remaining Pura Vida Interests (the “Transaction”) in exchange for cash consideration consisting of $10.0 million paid at closing, subject to certain adjustments. The Transaction was not subject to financing conditions. The Company’s existing available cash and cash equivalents funded the purchase price. Following completion of the Transaction, the Company owns 100% of the ownership interests in Pura Vida.</w:t>
      </w:r>
    </w:p>
    <w:p>
      <w:pPr>
        <w:spacing w:after="0" w:line="42" w:lineRule="exact"/>
        <w:rPr>
          <w:rFonts w:ascii="Times New Roman" w:cs="Times New Roman" w:eastAsia="Times New Roman" w:hAnsi="Times New Roman"/>
          <w:sz w:val="18"/>
          <w:szCs w:val="18"/>
          <w:b w:val="1"/>
          <w:bCs w:val="1"/>
          <w:color w:val="auto"/>
        </w:rPr>
      </w:pPr>
    </w:p>
    <w:p>
      <w:pPr>
        <w:ind w:left="6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Purchase Agreement provides that, as of the closing of the Transaction, all rights and obligations of the Company and the Sellers under any agreements among the parties, including the Put/Call Agreement, were terminated.</w:t>
      </w:r>
    </w:p>
    <w:p>
      <w:pPr>
        <w:spacing w:after="0" w:line="40"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Transaction, the Company recorded a decrease to redeemable noncontrolling interest of $10.7 million. The difference between the fair value of the consideration paid and the balance of the redeemable noncontrolling interest resulted in $0.7 million recognized in additional paid-in capital (“APIC”) during the thirteen weeks ended April 29, 2023. In addition, there was an APIC adjustment of $0.6 million related to deferred income taxes for the purchase of the redeemable noncontrolling interest. The total APIC adjustment for this matter during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thirteen weeks ended April 29, 2023, was $1.3 million. Changes in redeemable noncontrolling interest for the thirty-nine weeks ended October 28, 2023, were as follows (in thousands):</w:t>
      </w:r>
    </w:p>
    <w:p>
      <w:pPr>
        <w:spacing w:after="0" w:line="7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28, 2023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10,712</w:t>
            </w: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for purchase of noncontrolling interest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(10,712)</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29, 2023, July 29, 2023, and October 28, 2023</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redeemable noncontrolling interest for the thirteen and thirty-nine weeks ended October 29, 2022, were as follows (in thousands):</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30,974</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30, 2022</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31,092</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July 30, 2022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23,491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540" w:type="dxa"/>
            <w:vAlign w:val="bottom"/>
            <w:tcBorders>
              <w:bottom w:val="single" w:sz="8" w:color="CCEEFF"/>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29, 2022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23,153</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94" w:lineRule="exact"/>
        <w:rPr>
          <w:rFonts w:ascii="Times New Roman" w:cs="Times New Roman" w:eastAsia="Times New Roman" w:hAnsi="Times New Roman"/>
          <w:sz w:val="18"/>
          <w:szCs w:val="18"/>
          <w:b w:val="1"/>
          <w:bCs w:val="1"/>
          <w:color w:val="auto"/>
        </w:rPr>
      </w:pPr>
    </w:p>
    <w:p>
      <w:pPr>
        <w:ind w:left="660"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detail the carrying value of the Company's intangible assets other than goodwill related to the acquisition of a majority interest in Pura Vida. On January 30, 2023, the Company purchased the remaining 25% interest in Pura Vida.</w:t>
      </w:r>
    </w:p>
    <w:p>
      <w:pPr>
        <w:spacing w:after="0" w:line="7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Amortization</w:t>
            </w:r>
            <w:r>
              <w:rPr>
                <w:rFonts w:ascii="Times New Roman" w:cs="Times New Roman" w:eastAsia="Times New Roman" w:hAnsi="Times New Roman"/>
                <w:sz w:val="18"/>
                <w:szCs w:val="18"/>
                <w:b w:val="1"/>
                <w:bCs w:val="1"/>
                <w:color w:val="auto"/>
                <w:w w:val="99"/>
                <w:vertAlign w:val="superscript"/>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Pura Vida Brand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is recorded within the Pura Vida segment.</w:t>
      </w:r>
    </w:p>
    <w:p>
      <w:pPr>
        <w:spacing w:after="0" w:line="27" w:lineRule="exact"/>
        <w:rPr>
          <w:rFonts w:ascii="Times New Roman" w:cs="Times New Roman" w:eastAsia="Times New Roman" w:hAnsi="Times New Roman"/>
          <w:sz w:val="18"/>
          <w:szCs w:val="18"/>
          <w:color w:val="auto"/>
        </w:rPr>
      </w:pPr>
    </w:p>
    <w:p>
      <w:pPr>
        <w:ind w:left="680" w:right="1040" w:hanging="6"/>
        <w:spacing w:after="0" w:line="234" w:lineRule="auto"/>
        <w:tabs>
          <w:tab w:leader="none" w:pos="9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of $9.9 million and $15.1 million were recorded within the Pura Vida segment during the second and fourth quarters of fiscal 2023.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Pura Vida Brand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is recorded within the Pura Vida segment.</w:t>
      </w:r>
    </w:p>
    <w:p>
      <w:pPr>
        <w:spacing w:after="0" w:line="27" w:lineRule="exact"/>
        <w:rPr>
          <w:rFonts w:ascii="Times New Roman" w:cs="Times New Roman" w:eastAsia="Times New Roman" w:hAnsi="Times New Roman"/>
          <w:sz w:val="18"/>
          <w:szCs w:val="18"/>
          <w:color w:val="auto"/>
        </w:rPr>
      </w:pPr>
    </w:p>
    <w:p>
      <w:pPr>
        <w:ind w:left="680" w:right="1080" w:hanging="6"/>
        <w:spacing w:after="0" w:line="234" w:lineRule="auto"/>
        <w:tabs>
          <w:tab w:leader="none" w:pos="9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of $9.9 million and $15.1 million were recorded within the Pura Vida segment during the second and fourth quarters of fiscal 2023.</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is recorded within selling, general, and administrative expenses in the Company's Condensed Consolidated Statement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Operations. The future amortization expense for intangible assets is as follows (in thousands):</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7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 (remaining three months)</w:t>
            </w:r>
          </w:p>
        </w:tc>
        <w:tc>
          <w:tcPr>
            <w:tcW w:w="2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goodwill balance as of October 28, 2023 and January 28, 2023 due to impairment charges recorded during fiscal 2023.</w:t>
      </w:r>
    </w:p>
    <w:p>
      <w:pPr>
        <w:spacing w:after="0" w:line="10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performs its annual impairment test of the indefinite-lived Pura Vida brand during the second quarter of each fiscal year. The annual test included goodwill in prior years.</w:t>
      </w:r>
    </w:p>
    <w:p>
      <w:pPr>
        <w:spacing w:after="0" w:line="27" w:lineRule="exact"/>
        <w:rPr>
          <w:sz w:val="20"/>
          <w:szCs w:val="20"/>
          <w:color w:val="auto"/>
        </w:rPr>
      </w:pPr>
    </w:p>
    <w:p>
      <w:pPr>
        <w:ind w:left="660" w:right="100"/>
        <w:spacing w:after="0" w:line="312" w:lineRule="auto"/>
        <w:rPr>
          <w:sz w:val="20"/>
          <w:szCs w:val="20"/>
          <w:color w:val="auto"/>
        </w:rPr>
      </w:pPr>
      <w:r>
        <w:rPr>
          <w:rFonts w:ascii="Times New Roman" w:cs="Times New Roman" w:eastAsia="Times New Roman" w:hAnsi="Times New Roman"/>
          <w:sz w:val="17"/>
          <w:szCs w:val="17"/>
          <w:color w:val="auto"/>
        </w:rPr>
        <w:t>The fair value of the Pura Vida brand was estimated using a relief-from-royalty method. The estimates and assumptions used in the determination of the fair value of the Pura Vida brand included the projected revenue growth, long-term growth rate, the royalty rate, and discount rate.</w:t>
      </w:r>
    </w:p>
    <w:p>
      <w:pPr>
        <w:spacing w:after="0" w:line="1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For the prior year test, the fair value of the Pura Vida reporting unit was determined using a combination of an income-based approach (discounted cash flows) and a market-based approach (guideline transaction method). The discounted cash flow method involved subjective estimates and assumptions such as projected revenue growth, operating profit, and the discount rate. The guideline transaction method involved transaction multiples derived from the acquisition of controlling interests in stocks of companies that are engaged in the same or similar lines of business as the reporting unit.</w:t>
      </w:r>
    </w:p>
    <w:p>
      <w:pPr>
        <w:spacing w:after="0" w:line="48"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During the assessment for the fiscal 2024 test which was performed during the second quarter, it was determined that the fair value of the Pura Vida brand exceeded its carrying value and no impairment charge was recorded. During the prior year test, the Company recorded an impairment charge of $9.9 million and $19.4 million for the Pura Vida brand and goodwill, respectively, during the second quarter of fiscal 2023 within the Pura Vida segment.</w:t>
      </w:r>
    </w:p>
    <w:p>
      <w:pPr>
        <w:spacing w:after="0" w:line="58" w:lineRule="exact"/>
        <w:rPr>
          <w:sz w:val="20"/>
          <w:szCs w:val="20"/>
          <w:color w:val="auto"/>
        </w:rPr>
      </w:pPr>
    </w:p>
    <w:p>
      <w:pPr>
        <w:jc w:val="both"/>
        <w:ind w:left="660" w:right="180"/>
        <w:spacing w:after="0" w:line="281" w:lineRule="auto"/>
        <w:rPr>
          <w:sz w:val="20"/>
          <w:szCs w:val="20"/>
          <w:color w:val="auto"/>
        </w:rPr>
      </w:pPr>
      <w:r>
        <w:rPr>
          <w:rFonts w:ascii="Times New Roman" w:cs="Times New Roman" w:eastAsia="Times New Roman" w:hAnsi="Times New Roman"/>
          <w:sz w:val="17"/>
          <w:szCs w:val="17"/>
          <w:color w:val="auto"/>
        </w:rPr>
        <w:t>Due to the operating loss incurred by the Pura Vida segment during the third quarter, the Company determined there was a triggering event and performed additional analysis on the valuation of the Pura Vida brand as of October 28, 2023. As of October 28, 2023, the Company determined that the fair value of the Pura Vida brand exceeded its carrying value by a nominal amount and concluded that no additional impairment existed for the brand asset. There were no impairment charges recorded for the thirteen and thirty-nine weeks ended October 28, 2023.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200"/>
        <w:spacing w:after="0" w:line="261" w:lineRule="auto"/>
        <w:rPr>
          <w:sz w:val="20"/>
          <w:szCs w:val="20"/>
          <w:color w:val="auto"/>
        </w:rPr>
      </w:pPr>
      <w:r>
        <w:rPr>
          <w:rFonts w:ascii="Times New Roman" w:cs="Times New Roman" w:eastAsia="Times New Roman" w:hAnsi="Times New Roman"/>
          <w:sz w:val="18"/>
          <w:szCs w:val="18"/>
          <w:color w:val="auto"/>
        </w:rPr>
        <w:t>The Company recognizes that any changes to actual fourth quarter results within the Pura Vida segment for fiscal 2024 or projected fiscal 2025 results could potentially have a material impact on our assessment of the Pura Vida brand impairment. The Company will continue to monitor actual performance against expectations. Should any indicators of impairment arise in subsequent periods, the Company will be required to perform additional analysis to determine whether additional impairment of the brand asset exists.</w:t>
      </w:r>
    </w:p>
    <w:p>
      <w:pPr>
        <w:spacing w:after="0" w:line="45"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While we consider our assumptions in the determination of the fair value of these assets to be reasonable, they are complex and highly subjective. Adverse changes in key assumptions in future periods may result in further declines in the fair value estimates of the Pura Vida brand below its carrying value resulting in additional impairment charges, which could be material. Our key assumptions (as described above in the valuation methodologies used in the determination of fair value) may be impacted by macroeconomic conditions, including inflationary pressures and the impact on consumer discretionary spending, as well as a sustained decline in stock price and potential changes in business strategy. Refer to Note 5 herein for additional information regarding the fair value measurement.</w:t>
      </w:r>
    </w:p>
    <w:p>
      <w:pPr>
        <w:spacing w:after="0" w:line="62" w:lineRule="exact"/>
        <w:rPr>
          <w:sz w:val="20"/>
          <w:szCs w:val="20"/>
          <w:color w:val="auto"/>
        </w:rPr>
      </w:pPr>
    </w:p>
    <w:p>
      <w:pPr>
        <w:ind w:left="660" w:right="7060" w:hanging="652"/>
        <w:spacing w:after="0" w:line="375" w:lineRule="auto"/>
        <w:tabs>
          <w:tab w:leader="none" w:pos="655"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spacing w:after="0" w:line="1" w:lineRule="exact"/>
        <w:rPr>
          <w:sz w:val="20"/>
          <w:szCs w:val="20"/>
          <w:color w:val="auto"/>
        </w:rPr>
      </w:pPr>
    </w:p>
    <w:p>
      <w:pPr>
        <w:jc w:val="both"/>
        <w:ind w:left="660" w:right="340"/>
        <w:spacing w:after="0" w:line="266" w:lineRule="auto"/>
        <w:rPr>
          <w:sz w:val="20"/>
          <w:szCs w:val="20"/>
          <w:color w:val="auto"/>
        </w:rPr>
      </w:pPr>
      <w:r>
        <w:rPr>
          <w:rFonts w:ascii="Times New Roman" w:cs="Times New Roman" w:eastAsia="Times New Roman" w:hAnsi="Times New Roman"/>
          <w:sz w:val="18"/>
          <w:szCs w:val="18"/>
          <w:color w:val="auto"/>
        </w:rPr>
        <w:t>During fiscal 2023, the Company began implementation of its targeted cost reductions, which are expected to be fully realized in fiscal 2025. Expense savings are being derived across various areas of the Company, including retail store efficiencies, marketing expenses, information technology contracts, professional services, logistics and operational costs, and corporate payroll.</w:t>
      </w:r>
    </w:p>
    <w:p>
      <w:pPr>
        <w:spacing w:after="0" w:line="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thirteen weeks ended October 28, 2023 (in thousands):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5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4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Consulting fees and other</w:t>
            </w: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p>
        </w:tc>
        <w:tc>
          <w:tcPr>
            <w:tcW w:w="114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4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selling, general, and administrative ("SG&amp;A") expenses</w:t>
      </w:r>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thirteen weeks ended October 29, 2022 (in thousands):</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4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Consulting fees and other</w:t>
            </w: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(1)</w:t>
            </w:r>
          </w:p>
        </w:tc>
        <w:tc>
          <w:tcPr>
            <w:tcW w:w="1140" w:type="dxa"/>
            <w:vAlign w:val="bottom"/>
          </w:tcPr>
          <w:p>
            <w:pPr>
              <w:spacing w:after="0"/>
              <w:rPr>
                <w:sz w:val="21"/>
                <w:szCs w:val="21"/>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(2)</w:t>
            </w:r>
          </w:p>
        </w:tc>
        <w:tc>
          <w:tcPr>
            <w:tcW w:w="114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 million for fees related to cost savings initiatives and CEO search and $0.1 million for concept brand exit costs</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within SG&amp;A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thirty-nine weeks ended October 28, 2023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Severance charges </w:t>
            </w:r>
            <w:r>
              <w:rPr>
                <w:rFonts w:ascii="Times New Roman" w:cs="Times New Roman" w:eastAsia="Times New Roman" w:hAnsi="Times New Roman"/>
                <w:sz w:val="23"/>
                <w:szCs w:val="23"/>
                <w:color w:val="auto"/>
                <w:vertAlign w:val="superscript"/>
              </w:rPr>
              <w:t>(1)</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181"/>
        </w:trPr>
        <w:tc>
          <w:tcPr>
            <w:tcW w:w="2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Consulting fees and other</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(2)</w:t>
            </w:r>
          </w:p>
        </w:tc>
        <w:tc>
          <w:tcPr>
            <w:tcW w:w="110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former CFO severance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professional fees</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within SG&amp;A expenses</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thirty-nine weeks ended October 29, 2022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98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6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5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19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98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Severance charges </w:t>
            </w:r>
            <w:r>
              <w:rPr>
                <w:rFonts w:ascii="Times New Roman" w:cs="Times New Roman" w:eastAsia="Times New Roman" w:hAnsi="Times New Roman"/>
                <w:sz w:val="23"/>
                <w:szCs w:val="23"/>
                <w:color w:val="auto"/>
                <w:vertAlign w:val="superscript"/>
              </w:rPr>
              <w:t>(1)</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0" w:type="dxa"/>
            <w:vAlign w:val="bottom"/>
          </w:tcPr>
          <w:p>
            <w:pPr>
              <w:spacing w:after="0"/>
              <w:rPr>
                <w:sz w:val="1"/>
                <w:szCs w:val="1"/>
                <w:color w:val="auto"/>
              </w:rPr>
            </w:pPr>
          </w:p>
        </w:tc>
      </w:tr>
      <w:tr>
        <w:trPr>
          <w:trHeight w:val="181"/>
        </w:trPr>
        <w:tc>
          <w:tcPr>
            <w:tcW w:w="19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Consulting fees and other</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8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(2)</w:t>
            </w:r>
          </w:p>
        </w:tc>
        <w:tc>
          <w:tcPr>
            <w:tcW w:w="1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48"/>
        </w:trPr>
        <w:tc>
          <w:tcPr>
            <w:tcW w:w="198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CEO retirement severance</w:t>
      </w:r>
    </w:p>
    <w:p>
      <w:pPr>
        <w:spacing w:after="0" w:line="27" w:lineRule="exact"/>
        <w:rPr>
          <w:rFonts w:ascii="Times New Roman" w:cs="Times New Roman" w:eastAsia="Times New Roman" w:hAnsi="Times New Roman"/>
          <w:sz w:val="18"/>
          <w:szCs w:val="18"/>
          <w:color w:val="auto"/>
        </w:rPr>
      </w:pPr>
    </w:p>
    <w:p>
      <w:pPr>
        <w:ind w:left="680" w:right="460" w:hanging="6"/>
        <w:spacing w:after="0" w:line="242" w:lineRule="auto"/>
        <w:tabs>
          <w:tab w:leader="none" w:pos="9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 million for fees related to cost savings initiatives and CEO search and $0.3 million for concept brand exit costs; and $0.1 million for certain Pura Vida professional fees</w:t>
      </w:r>
    </w:p>
    <w:p>
      <w:pPr>
        <w:spacing w:after="0" w:line="1"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million of the charges are recorded within SG&amp;A expenses and $0.2 million are recorded within cost of sales</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charges and related liabilities associated with the cost savings initiatives and severance charges are as follows (in thousands):</w:t>
      </w:r>
    </w:p>
    <w:p>
      <w:pPr>
        <w:spacing w:after="0" w:line="27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140" w:type="dxa"/>
            <w:vAlign w:val="bottom"/>
          </w:tcPr>
          <w:p>
            <w:pPr>
              <w:spacing w:after="0"/>
              <w:rPr>
                <w:sz w:val="13"/>
                <w:szCs w:val="13"/>
                <w:color w:val="auto"/>
              </w:rPr>
            </w:pPr>
          </w:p>
        </w:tc>
        <w:tc>
          <w:tcPr>
            <w:tcW w:w="18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Consulting Fees and Other</w:t>
            </w:r>
          </w:p>
        </w:tc>
        <w:tc>
          <w:tcPr>
            <w:tcW w:w="0" w:type="dxa"/>
            <w:vAlign w:val="bottom"/>
          </w:tcPr>
          <w:p>
            <w:pPr>
              <w:spacing w:after="0"/>
              <w:rPr>
                <w:sz w:val="1"/>
                <w:szCs w:val="1"/>
                <w:color w:val="auto"/>
              </w:rPr>
            </w:pPr>
          </w:p>
        </w:tc>
      </w:tr>
      <w:tr>
        <w:trPr>
          <w:trHeight w:val="146"/>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Retention Payment</w:t>
            </w:r>
          </w:p>
        </w:tc>
        <w:tc>
          <w:tcPr>
            <w:tcW w:w="1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Acceleration Charges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7"/>
                <w:szCs w:val="17"/>
                <w:color w:val="auto"/>
              </w:rPr>
            </w:pPr>
          </w:p>
        </w:tc>
        <w:tc>
          <w:tcPr>
            <w:tcW w:w="1840" w:type="dxa"/>
            <w:vAlign w:val="bottom"/>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Costs</w:t>
            </w:r>
          </w:p>
        </w:tc>
        <w:tc>
          <w:tcPr>
            <w:tcW w:w="0" w:type="dxa"/>
            <w:vAlign w:val="bottom"/>
          </w:tcPr>
          <w:p>
            <w:pPr>
              <w:spacing w:after="0"/>
              <w:rPr>
                <w:sz w:val="1"/>
                <w:szCs w:val="1"/>
                <w:color w:val="auto"/>
              </w:rPr>
            </w:pPr>
          </w:p>
        </w:tc>
      </w:tr>
      <w:tr>
        <w:trPr>
          <w:trHeight w:val="228"/>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January 28,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 charges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charges and adjustments</w:t>
            </w:r>
          </w:p>
        </w:tc>
        <w:tc>
          <w:tcPr>
            <w:tcW w:w="18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October 28,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accrued employment costs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7" w:right="8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Charges</w:t>
      </w:r>
    </w:p>
    <w:p>
      <w:pPr>
        <w:spacing w:after="0" w:line="92" w:lineRule="exact"/>
        <w:rPr>
          <w:sz w:val="20"/>
          <w:szCs w:val="20"/>
          <w:color w:val="auto"/>
        </w:rPr>
      </w:pPr>
    </w:p>
    <w:p>
      <w:pPr>
        <w:ind w:left="660" w:right="50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October 29, 2022, the Company recorded a benefit of $0.3 million within cost of sales in its Condensed Consolidated Statement of Operations for a reversal of certain purchase order cancellation fees. $0.2 million was recorded within the Direct segment and $0.1 million was recorded within the Indirect segment.</w:t>
      </w:r>
    </w:p>
    <w:p>
      <w:pPr>
        <w:spacing w:after="0" w:line="54"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During the thirty-nine weeks ended October 29, 2022, the Company recorded $5.9 million of non-cash inventory adjustments related to the exit of certain technology products and excess mask products and $0.8 million for purchase order cancellation fees within cost of sales in its Condensed Consolidated Statement of Operations. Collectively, $5.3 million was recorded within the Direct segment, $1.1 million was recorded within the Indirect segment, and $0.9 million was recorded within the Pura Vida segment. There were no similar charges during the thirteen and thirty-nine weeks ended October 28, 2023.</w:t>
      </w:r>
    </w:p>
    <w:p>
      <w:pPr>
        <w:spacing w:after="0" w:line="301"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94"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54" w:lineRule="exact"/>
        <w:rPr>
          <w:rFonts w:ascii="Times New Roman" w:cs="Times New Roman" w:eastAsia="Times New Roman" w:hAnsi="Times New Roman"/>
          <w:sz w:val="18"/>
          <w:szCs w:val="18"/>
          <w:b w:val="1"/>
          <w:bCs w:val="1"/>
          <w:color w:val="auto"/>
        </w:rPr>
      </w:pPr>
    </w:p>
    <w:p>
      <w:pPr>
        <w:ind w:left="6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Direct segment includes Vera Bradley full-line and outlet stores; the Vera Bradley website, verabradley.com; the Vera Bradley online outlet site; and the Vera Bradley annual outlet sale. Revenues generated from this segment are driven through the sale of Vera Bradley-branded products from Vera Bradley to end consumers.</w:t>
      </w:r>
    </w:p>
    <w:p>
      <w:pPr>
        <w:spacing w:after="0" w:line="54" w:lineRule="exact"/>
        <w:rPr>
          <w:rFonts w:ascii="Times New Roman" w:cs="Times New Roman" w:eastAsia="Times New Roman" w:hAnsi="Times New Roman"/>
          <w:sz w:val="18"/>
          <w:szCs w:val="18"/>
          <w:b w:val="1"/>
          <w:bCs w:val="1"/>
          <w:color w:val="auto"/>
        </w:rPr>
      </w:pPr>
    </w:p>
    <w:p>
      <w:pPr>
        <w:ind w:left="660" w:right="2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1,600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44"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www.puravidabracelets.ca, and www.puravidabracelets.eu; through the distribution of Pura Vida-branded products to wholesale retailers, substantially all of which are located in the United States; and through the Pura Vida retail stores.</w:t>
      </w:r>
    </w:p>
    <w:p>
      <w:pPr>
        <w:spacing w:after="0" w:line="54" w:lineRule="exact"/>
        <w:rPr>
          <w:rFonts w:ascii="Times New Roman" w:cs="Times New Roman" w:eastAsia="Times New Roman" w:hAnsi="Times New Roman"/>
          <w:sz w:val="18"/>
          <w:szCs w:val="18"/>
          <w:b w:val="1"/>
          <w:bCs w:val="1"/>
          <w:color w:val="auto"/>
        </w:rPr>
      </w:pPr>
    </w:p>
    <w:p>
      <w:pPr>
        <w:ind w:left="6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7"/>
          <w:szCs w:val="17"/>
          <w:color w:val="auto"/>
        </w:rPr>
        <w:t>Company management evaluates segment operating results based on several indicators. The primary or key performance indicators for each segment are net revenues and operating income. Net revenues and operating income information for the Company’s reportable segments during the thirteen and thirty-nine weeks ended October 28, 2023 and October 29, 2022, respectively, consisted of the following (in thousands):</w:t>
      </w:r>
    </w:p>
    <w:tbl>
      <w:tblPr>
        <w:tblLayout w:type="fixed"/>
        <w:tblInd w:w="66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6"/>
                <w:szCs w:val="16"/>
                <w:color w:val="auto"/>
              </w:rPr>
            </w:pPr>
          </w:p>
        </w:tc>
        <w:tc>
          <w:tcPr>
            <w:tcW w:w="29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13"/>
              <w:spacing w:after="0" w:line="12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13"/>
              <w:spacing w:after="0" w:line="129"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216,916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228,710</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56,616</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67,544</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352,870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32,607</w:t>
            </w: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18,409</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0" w:type="dxa"/>
            <w:vAlign w:val="bottom"/>
          </w:tcPr>
          <w:p>
            <w:pPr>
              <w:spacing w:after="0"/>
              <w:rPr>
                <w:sz w:val="1"/>
                <w:szCs w:val="1"/>
                <w:color w:val="auto"/>
              </w:rPr>
            </w:pPr>
          </w:p>
        </w:tc>
      </w:tr>
      <w:tr>
        <w:trPr>
          <w:trHeight w:val="223"/>
        </w:trPr>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(67,281)</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and thirty-nine weeks ended October 28, 2023 and October 29, 2022. The following discussion should be read in conjunction with our Annual Report on Form 10-K for the fiscal year ended January 28, 2023, and our unaudited condensed consolidated financial statements and the related notes included in Item 1 of this Quarterly Report. The results of operations for the thirteen and thirty-nine weeks ended October 28, 2023, are not necessarily indicative of the results to be expected for the full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Progress, Macroeconomic Factors, and Other Factors Impacting our Financial Condition and Results of Operations</w:t>
      </w:r>
    </w:p>
    <w:p>
      <w:pPr>
        <w:spacing w:after="0" w:line="10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Strategic Progress</w:t>
      </w:r>
      <w:r>
        <w:rPr>
          <w:rFonts w:ascii="Times New Roman" w:cs="Times New Roman" w:eastAsia="Times New Roman" w:hAnsi="Times New Roman"/>
          <w:sz w:val="18"/>
          <w:szCs w:val="18"/>
          <w:color w:val="auto"/>
        </w:rPr>
        <w:t>. In the third quarter of fiscal 2024, we continued work on Project Restoration, which is focused on four key pillars of the business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brand to help drive long-term profitable growth. These pillars are: Consumer, Brand, Product, and Channel.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we continued with product innovation and collaborations at both brands.</w:t>
      </w:r>
    </w:p>
    <w:p>
      <w:pPr>
        <w:spacing w:after="0" w:line="9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we continued to identify cost reductions as part of our overall plan to right-size the expense structure of our Company and lay the groundwork for success to help drive long-term profitable growth.</w:t>
      </w:r>
    </w:p>
    <w:p>
      <w:pPr>
        <w:spacing w:after="0" w:line="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These expense savings are expected to be fully realized in fiscal 2025. Savings are being derived across various areas of the Company, including retail store efficiencies, marketing expenses, information technology contracts, professional services, logistics and operational costs, and corporate payroll. We will continue to review our expense structure for additional cost reduction opportunities.</w:t>
      </w:r>
    </w:p>
    <w:p>
      <w:pPr>
        <w:spacing w:after="0" w:line="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Macroeconomic and Other Factors</w:t>
      </w:r>
      <w:r>
        <w:rPr>
          <w:rFonts w:ascii="Times New Roman" w:cs="Times New Roman" w:eastAsia="Times New Roman" w:hAnsi="Times New Roman"/>
          <w:sz w:val="18"/>
          <w:szCs w:val="18"/>
          <w:color w:val="auto"/>
        </w:rPr>
        <w:t>. We have been impacted by higher tariffs from previously duty-free countries, where we source products,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expiration of the Generalized System of Preferences (“GSP”) duty-free status at the end of calendar year 2020. In addition, the macroeconomic environment has been further challenged by inflationary pressures, including high gas prices, and other related factors that have impacted consumer discretionary spending. We continued to see weakness in the Vera Bradley outlet store business in the third quarter, which was partially offset by the return of the Vera Bradley annual outlet sale in the second quarter of fiscal 2024.</w:t>
      </w:r>
    </w:p>
    <w:p>
      <w:pPr>
        <w:spacing w:after="0" w:line="5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Within our supply chain, the COVID-19 pandemic caused disruptions that have resulted in delivery delays and increased inbound and outbound shipping costs. However, these supply chain disruptions began to stabilize towards the end of fiscal 2023 and we continued to see favorability in our operating results associated with the reduction in these costs in the third quarter of fiscal 2024 compared to the prior-year period.</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implemented strategic price increases across both of our brands to mitigate some of these inflationary and supply chain pressures in late fiscal 2022 and early fiscal 2023. We will continue to monitor our pricing as it relates to the current macroeconomic trends.</w:t>
      </w:r>
    </w:p>
    <w:p>
      <w:pPr>
        <w:spacing w:after="0" w:line="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While we continue to actively monitor this rapidly evolving macroeconomic environment and are working to mitigate the situation, these matters could have a material adverse effect on our liquidity, operating results,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outlet stores; the Vera Bradley website, verabradley.com; the Vera Bradley online outlet site; and the Vera Bradley annual outlet sale. The Vera Bradley annual outlet sale was cancelled in the prior year but resumed in June 2023. Revenues for the VB Indirect segment reflect sales of Vera Bradley-branded products to specialty retail partners; key accounts consisting of department stores, national accounts, third-party e-commerce sites, and third-party inventory liquidators; and royalties recognized through licensing agreements related to the Vera Bradley brand. Revenues for the Pura Vida segment reflect revenues generated through the Pura Vida websites, www.puravidabracelets.com, www.puravidabracelets.ca, and www.puravidabracelets.eu; through the distribution of Pura Vida-branded products to wholesale retailers; and through Pura Vida retail stores.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Vera Bradley e-commerce operations.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and our investors to evaluate how our store base and e-commerce operations are performing. Various factors affect our comparable sales, including:</w:t>
      </w:r>
    </w:p>
    <w:p>
      <w:pPr>
        <w:spacing w:after="0" w:line="4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as well as timing and level of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duties, all inbound freight costs incurred, and inventory adjustments, if any. The components of our reported cost of sales may not be comparable to those of other retail and wholesale companies.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inbound freight and other logistical costs; operational efficiencies, such as leveraging of fixed costs; promotional activities, including free shipping; commodity prices, such as for cotton; tariffs; and labor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90"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business expenses primarily related to employee compensation and store expenses.</w:t>
      </w:r>
    </w:p>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14 to the Notes to the Condensed Consolidated Financial Statements herein.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1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Operating income (loss) is equal to gross profit less SG&amp;A expenses plus other income, net. Operating income (loss) excludes interest income, interest expense,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is equal to operating income (loss) plus interest income less interest expense and income taxes.</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Vera Bradley,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Vera Bradley, Inc. is equal to net income (loss) less net loss attributable to redeemable noncontrolling interest.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 our annual impairment test of the indefinite-lived Pura Vida brand (and goodwill in prior years) during the second quarter of each fiscal year.</w:t>
      </w:r>
    </w:p>
    <w:p>
      <w:pPr>
        <w:spacing w:after="0" w:line="23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7"/>
          <w:szCs w:val="17"/>
          <w:color w:val="auto"/>
        </w:rPr>
        <w:t>Due to the operating loss incurred by the Pura Vida segment during the third quarter, the Company determined there was a triggering event and performed additional analysis on the valuation of the Pura Vida brand as of October 28, 2023. As of October 28, 2023, the Company determined that the fair value of the Pura Vida brand exceeded its carrying values by a nominal amount and concluded that no additional impairment existed for the brand asset.</w:t>
      </w:r>
    </w:p>
    <w:p>
      <w:pPr>
        <w:spacing w:after="0" w:line="281"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The Company recognizes that any changes to actual fourth quarter results within the Pura Vida segment for fiscal 2024 or projected fiscal 2025 results could potentially have a material impact on our assessment of the Pura Vida brand impairment. The Company will continue to monitor actual performance against expectations. Should any indicators of impairment arise in subsequent periods, the Company will be required to perform additional analysis to determine whether additional impairment of the brand asset exists.</w:t>
      </w:r>
    </w:p>
    <w:p>
      <w:pPr>
        <w:spacing w:after="0" w:line="293"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8"/>
          <w:szCs w:val="18"/>
          <w:color w:val="auto"/>
        </w:rPr>
        <w:t>There were no impairment charges recorded during the thirteen and thirty-nine weeks ended October 28, 2023. During the second quarter of fiscal 2023, impairment charges of $9.9 million and $19.4 million for the Pura Vida brand and goodwill, respectively, were recorded within the Pura Vida segment. There were no impairment charges recorded during the thirteen weeks ended October 29, 2022. Refer to Note 13 herein, as well as Note 15 to the Notes to the Consolidated Financial Statements filed with the SEC on Form 10-K for the fiscal year ended January 28, 2023, for additional information regarding the goodwill and indefinite-lived intangible assets impairment tests and impairment charges recorded during fiscal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79"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There were no impairment charges recorded during the thirteen and thirty-nine weeks ended October 28, 2023, or the thirteen weeks ended October 29, 2022. Impairment charges of $1.4 million were recognized during the thirty-nine weeks ended October 29, 2022, for store-related property, plant, and equipment and a lease right-of-use asset which are included in SG&amp;A expenses in the Condensed Consolidated Statements of Operations and in other impairment charges in the Condensed Consolidated Statements of Cash Flows. $0.8 million of the impairment charge is included in the Direct segment for the thirty-nine weeks ended October 29, 2022, and $0.6 million of the impairment charge is included in corporate unallocated expenses for the thirty-nine weeks ended October 29, 2022. We are unable to predict the extent of the impact that the inflationary environment could have on our operations, the economy, or other factors; therefore, it is possible additional impairments could be identified in future periods, and such amounts could be material.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6"/>
                <w:szCs w:val="16"/>
                <w:color w:val="auto"/>
              </w:rPr>
            </w:pPr>
          </w:p>
        </w:tc>
        <w:tc>
          <w:tcPr>
            <w:tcW w:w="288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11"/>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11"/>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114,987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337,521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352,870</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51,980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58,164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150,749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173,963</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63,007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186,772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178,907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60,059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174,274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195,015</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29,338</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(45,096)</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(45,211)</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(6,429)</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(38,782)</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26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(7,208)</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(31,574)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redeemable noncontrolling interest</w:t>
            </w: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(loss) by operating segment, both in dollars and as a percentage of associated net revenues, and store data for the periods indicated ($ in thousands, except as otherwise indicated):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72,309</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80,061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216,916</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228,710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24,986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22,314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57,722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17,692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62,883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67,544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114,987</w:t>
            </w: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124,040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337,521</w:t>
            </w: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352,870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80" w:type="dxa"/>
            <w:vAlign w:val="bottom"/>
            <w:gridSpan w:val="7"/>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c>
          <w:tcPr>
            <w:tcW w:w="0" w:type="dxa"/>
            <w:vAlign w:val="bottom"/>
          </w:tcPr>
          <w:p>
            <w:pPr>
              <w:spacing w:after="0"/>
              <w:rPr>
                <w:sz w:val="1"/>
                <w:szCs w:val="1"/>
                <w:color w:val="auto"/>
              </w:rPr>
            </w:pPr>
          </w:p>
        </w:tc>
      </w:tr>
      <w:tr>
        <w:trPr>
          <w:trHeight w:val="194"/>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15,708</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17,060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43,669</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32,607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8,967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19,877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(28,831)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(17,309)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(18,761)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(55,257)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(67,281)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6,786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5,958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(45,096)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Operating Income (Loss) as a Percentage of Net Revenues by</w:t>
            </w: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379,576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401,239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379,576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401,239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(2)</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0" w:hanging="552"/>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outlet stores. These figures do not include Pura Vida retail locations or Pura Vida e-commerce operations.</w:t>
      </w:r>
    </w:p>
    <w:p>
      <w:pPr>
        <w:spacing w:after="0" w:line="27"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1" w:lineRule="exact"/>
        <w:rPr>
          <w:rFonts w:ascii="Times New Roman" w:cs="Times New Roman" w:eastAsia="Times New Roman" w:hAnsi="Times New Roman"/>
          <w:sz w:val="18"/>
          <w:szCs w:val="18"/>
          <w:color w:val="auto"/>
        </w:rPr>
      </w:pPr>
    </w:p>
    <w:p>
      <w:pPr>
        <w:ind w:left="580" w:right="220" w:hanging="572"/>
        <w:spacing w:after="0" w:line="253" w:lineRule="auto"/>
        <w:tabs>
          <w:tab w:leader="none" w:pos="5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Comparable sales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October 28, 2023, Compared to Thirteen Weeks Ended October 29, 2022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thirteen weeks ended October 28, 2023, net revenues decreased $9.0 million, or 7.3%, to $115.0 million, from $124.0 million in the comparable prior-year period.</w:t>
      </w:r>
    </w:p>
    <w:p>
      <w:pPr>
        <w:spacing w:after="0" w:line="10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October 28, 2023, net revenues in the VB Direct segment decreased $7.8 million, or 9.7%, to $72.3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$80.1 million in the comparable prior-year period. Vera Bradley comparable sales decreased 8.2%, which includes a 11.3% decrease in comparable store sales and a 2.1% decrease in e-commerce sales. In addition, non-comparable store revenue decreased $1.4 million. Closed retail store locations were partially offset by three outlet stores opened in the current year. The decrease in comparable sales and comparable store sales was impacted by reduced conversion and units sold primarily in the outlet channel.</w:t>
      </w:r>
    </w:p>
    <w:p>
      <w:pPr>
        <w:spacing w:after="0" w:line="13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October 28, 2023, net revenues in the VB Indirect segment increased $2.7 million, or 12.0%, to $25.0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$22.3 million in the comparable prior-year period. The increase was primarily due to a significant one-time key account order that did not take place in the prior period.</w:t>
      </w:r>
    </w:p>
    <w:p>
      <w:pPr>
        <w:spacing w:after="0" w:line="13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October 28, 2023, net revenues in the Pura Vida segment decreased $4.0 million, or 18.3%, to $17.7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$21.7 million in the comparable prior-year period. The decrease was primarily due to a decline in wholesale and e-commerce sales, partially offset by an increase in retail store sales associated with three non-comparable retail stores opened in the prior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For the thirteen weeks ended October 28, 2023, gross profit decreased $2.9 million, or 4.4%, to $63.0 million, from $65.9 million in the comparable prior-year period. As a percentage of net revenues, gross profit increased to 54.8% for the thirteen weeks ended October 28, 2023, from 53.1% in the comparable prior-year period. Current year gross margin was favorably impacted by lower year-over-year inbound and outbound freight expense and the sell-through of previously-reserved inventory, partially offset by an increase in promotional activity.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auto"/>
        </w:rPr>
        <w:t>For the thirteen weeks ended October 28, 2023, SG&amp;A expenses decreased $3.7 million, or 6.2%, to $56.4 million, from $60.1 million in the comparable prior-year period. As a percentage of net revenues, SG&amp;A expenses increased to 49.0% for the thirteen weeks ended October 28, 2023, from 48.4% in the comparable prior-year period. SG&amp;A expenses related to Vera Bradley and corporate unallocated were $45.0 million compared to $46.6 million in the comparable prior-year period. SG&amp;A expenses related to Pura Vida were $11.4 million compared to $13.5 million in the comparable prior-year period. The decrease in consolidated SG&amp;A expenses for the thirteen weeks ended October 28, 2023 was primarily due to a $1.6 million decrease in employee-related expenses due to a reduction in headcount, partially offset by an increase in incentive compensation due to Company performance estimates; a $0.9 million decrease in expenses associated with cost savings initiatives and other professional fees; and $1.2 million in other net expense reductions which included spending reductions related to information technology contracts, visual merchandising, certain professional fees, and other expenses. SG&amp;A expenses as a percentage of net revenues increased primarily due to SG&amp;A expense deleverage associated with a decrease in sales.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charges of goodwill and intangible assets for the thirteen weeks ended October 28, 2023 and October 29, 2022. For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information, refer to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herein.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October 28, 2023, net other income totaled $0.1 million, consistent with the comparable prior-year period.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0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For the thirteen weeks ended October 28, 2023, operating income increased $0.8 million, or 13.9%, to $6.8 million in the current-year period, from $6.0 million in the comparable prior-year period. As a percentage of net revenues, operating income was 5.9% and 4.8% for the thirteen weeks ended October 28, 2023 and October 29, 2022, respectively. Operating income increased due to the factors described in the captions above.</w:t>
      </w:r>
    </w:p>
    <w:p>
      <w:pPr>
        <w:spacing w:after="0" w:line="12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October 28, 2023, operating income in the VB Direct segment decreased $1.4 million, or 7.9%, to $15.7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$17.1 million in the comparable prior-year period. As a percentage of VB Direct segment net revenues, operating income in the VB Direct segment was 21.7% and 21.3% for the thirteen weeks ended October 28, 2023 and October 29, 2022, respectively. Income as a percentage of VB Direct segment revenues was essentially flat for the current year thirteen weeks ended as compared to the same period of the prior year primarily due to an increase in gross margin as a percentage of net revenues as described above. These increases were partially offset by SG&amp;A expense deleverage associated with decreased sales.</w:t>
      </w:r>
    </w:p>
    <w:p>
      <w:pPr>
        <w:spacing w:after="0" w:line="12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October 28, 2023, operating income in the VB Indirect segment totaled $9.0 million, consistent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prior-year period. As a percentage of VB Indirect segment net revenues, operating income in the VB Indirect segment was 35.9% and 40.4% for the thirteen weeks ended October 28, 2023 and October 29, 2022, respectively. The decrease in operating income as a percentage of VB Indirect segment net revenues was primarily due to a decrease in margin resulting from a large key account order in the current year.</w:t>
      </w:r>
    </w:p>
    <w:p>
      <w:pPr>
        <w:spacing w:after="0" w:line="12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October 28, 2023, operating loss in the Pura Vida segment decreased $0.8 million, or 57.1%, to $(0.6)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$(1.4) million in the comparable prior-year period. As a percentage of Pura Vida segment net revenues, operating loss in the Pura Vida segment was (3.3)% and (6.2)% for the thirteen weeks ended October 28, 2023 and October 29, 2022, respectively. The decrease in operating loss as a percentage of Pura Vida net revenues was primarily due to an increase in gross margin as a percentage of net revenues as described above, a decrease in marketing and advertising spend, as well as employee-related expenses as compared to the prior year period.</w:t>
      </w:r>
    </w:p>
    <w:p>
      <w:pPr>
        <w:spacing w:after="0" w:line="1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October 28, 2023, unallocated expenses decreased $1.5 million, or 7.7%, to $17.3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$18.8 million in the comparable prior-year period. The decrease in unallocated expenses was primarily due to prior year consulting fees of $0.8 million associated with cost savings initiatives and other professional fees; a decrease in employee-related expenses of $0.6 million; and $0.4 million in other net expense reductions which included spending reductions related to information technology contracts, visual merchandising, certain professional fees, and other expenses, partially offset by an increase in advertising spend of $0.3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0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thirteen weeks ended October 28, 2023, was 27.6%, compared to 18.4% for the thirteen weeks ended October 29, 2022. The year-over year effective tax rate increase was primarily due to the relative impact of permanent items in the current-year period compared to the prior-year period, primarily as a result of noncontrolling interest in the prior-year period and non-deductible executive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thirteen weeks ended October 28, 2023, net income increased $0.3 million to $5.1 million from $4.8 million in the comparable prior-year period due to the factors described in the captions above</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Redeemable Noncontrolling Interest</w:t>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thirteen weeks ended October 29, 2022, net loss attributable to redeemable noncontrolling interest was $(0.3) million. This represents the allocation of the Pura Vida net loss to the noncontrolling interest. On January 30, 2023, we purchased the remaining 25% interest in Pura Vida resulting in 100% ownership. As a result, there was no noncontrolling interest for the current-year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Vera Bradley, Inc.</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thirteen weeks ended October 28, 2023, net income attributable to Vera Bradley, Inc. decreased $0.1 million to $5.1 million from $5.2 million in the comparable prior-year period due to the factors described in the captions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Thirty-Nine Weeks Ended October 28, 2023, Compared to Thirty-Nine Weeks Ended October 29,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thirty-nine weeks ended October 28, 2023, net revenues decreased $15.4 million, or 4.4%, to $337.5 million, from $352.9 million in the comparable prior-year period.</w:t>
      </w:r>
    </w:p>
    <w:p>
      <w:pPr>
        <w:spacing w:after="0" w:line="10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thirty-nine weeks ended October 28, 2023, net revenues in the VB Direct segment decreased $11.8 million, or 5.2%, to $216.9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$228.7 million in the comparable prior-year period. Vera Bradley comparable sales decreased 5.8%, which includes a 8.5% decrease in comparable store sales. E-commerce sales were flat compared to the prior-year period. In addition, non-comparable store revenue decreased $3.1 million. Closed retail store locations were partially offset by three outlet stores opened in the current year. The decrease in comparable sales and comparable store sales was impacted by reduced traffic, conversion, and units sold primarily in the outlet channel. These decreases were partially offset by sales from the Vera Bradley annual outlet sale held during the current-year period but not in the comparable prior-year period.</w:t>
      </w:r>
    </w:p>
    <w:p>
      <w:pPr>
        <w:spacing w:after="0" w:line="14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thirty-nine weeks ended October 28, 2023, net revenues in the VB Indirect segment increased $1.1 million, or 2.0%, to $57.7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$56.6 million in the comparable prior-year period. The increase was primarily due to an increase in certain key account orders in the current year period.</w:t>
      </w:r>
    </w:p>
    <w:p>
      <w:pPr>
        <w:spacing w:after="0" w:line="13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thirty-nine weeks ended October 28, 2023, net revenues in the Pura Vida segment decreased $4.6 million, or 6.9%, to $62.9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$67.5 million in the comparable prior-year period. The decrease was primarily due to a decline in wholesale and e-commerce sales, partially offset by an increase in retail store sales associated with three non-comparable retail stores opened in the prior year.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thirty-nine weeks ended October 28, 2023, gross profit increased $7.9 million, or 4.4%, to $186.8 million, from $178.9 million in the comparable prior-year period. As a percentage of net revenues, gross profit increased to 55.3% for the thirty-nine weeks ended October 28, 2023, from 50.7% in the comparable prior-year period. Current year gross margin was favorably impacted by lower year-over-year inbound and outbound freight expense and the sell-through of previously-reserved inventory, partially offset by an increase in promotional activity.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thirty-nine weeks ended October 28, 2023, SG&amp;A expenses decreased $20.7 million, or 10.6%, to $174.3 million, from $195.0 million in the</w:t>
      </w:r>
    </w:p>
    <w:p>
      <w:pPr>
        <w:spacing w:after="0" w:line="237" w:lineRule="auto"/>
        <w:rPr>
          <w:sz w:val="20"/>
          <w:szCs w:val="20"/>
          <w:color w:val="auto"/>
        </w:rPr>
      </w:pPr>
      <w:r>
        <w:rPr>
          <w:rFonts w:ascii="Times New Roman" w:cs="Times New Roman" w:eastAsia="Times New Roman" w:hAnsi="Times New Roman"/>
          <w:sz w:val="18"/>
          <w:szCs w:val="18"/>
          <w:color w:val="auto"/>
        </w:rPr>
        <w:t>comparable prior-year period. As a percentage of net revenues, SG&amp;A expenses decreased to 51.6% for the thirty-nine weeks ended October 28, 2023,</w:t>
      </w:r>
    </w:p>
    <w:p>
      <w:pPr>
        <w:spacing w:after="0" w:line="219" w:lineRule="auto"/>
        <w:rPr>
          <w:sz w:val="20"/>
          <w:szCs w:val="20"/>
          <w:color w:val="auto"/>
        </w:rPr>
      </w:pPr>
      <w:r>
        <w:rPr>
          <w:rFonts w:ascii="Times New Roman" w:cs="Times New Roman" w:eastAsia="Times New Roman" w:hAnsi="Times New Roman"/>
          <w:sz w:val="18"/>
          <w:szCs w:val="18"/>
          <w:color w:val="auto"/>
        </w:rPr>
        <w:t>from 55.3% in the comparable prior-year period. SG&amp;A expenses related to Vera Bradley and corporate unallocated were $140.5 million compared to</w:t>
      </w:r>
    </w:p>
    <w:p>
      <w:pPr>
        <w:spacing w:after="0" w:line="219" w:lineRule="auto"/>
        <w:rPr>
          <w:sz w:val="20"/>
          <w:szCs w:val="20"/>
          <w:color w:val="auto"/>
        </w:rPr>
      </w:pPr>
      <w:r>
        <w:rPr>
          <w:rFonts w:ascii="Times New Roman" w:cs="Times New Roman" w:eastAsia="Times New Roman" w:hAnsi="Times New Roman"/>
          <w:sz w:val="18"/>
          <w:szCs w:val="18"/>
          <w:color w:val="auto"/>
        </w:rPr>
        <w:t>$157.6 million in the comparable prior-year period. SG&amp;A expenses related to Pura Vida were $33.7 million compared to $37.4 million in the comparable</w:t>
      </w:r>
    </w:p>
    <w:p>
      <w:pPr>
        <w:spacing w:after="0" w:line="235" w:lineRule="auto"/>
        <w:rPr>
          <w:sz w:val="20"/>
          <w:szCs w:val="20"/>
          <w:color w:val="auto"/>
        </w:rPr>
      </w:pPr>
      <w:r>
        <w:rPr>
          <w:rFonts w:ascii="Times New Roman" w:cs="Times New Roman" w:eastAsia="Times New Roman" w:hAnsi="Times New Roman"/>
          <w:sz w:val="18"/>
          <w:szCs w:val="18"/>
          <w:color w:val="auto"/>
        </w:rPr>
        <w:t>prior-year period. The decrease in consolidated SG&amp;A expenses for the thirty-nine weeks ended October 28, 2023 was primarily due to a decrease in</w:t>
      </w:r>
    </w:p>
    <w:p>
      <w:pPr>
        <w:spacing w:after="0" w:line="219" w:lineRule="auto"/>
        <w:rPr>
          <w:sz w:val="20"/>
          <w:szCs w:val="20"/>
          <w:color w:val="auto"/>
        </w:rPr>
      </w:pPr>
      <w:r>
        <w:rPr>
          <w:rFonts w:ascii="Times New Roman" w:cs="Times New Roman" w:eastAsia="Times New Roman" w:hAnsi="Times New Roman"/>
          <w:sz w:val="18"/>
          <w:szCs w:val="18"/>
          <w:color w:val="auto"/>
        </w:rPr>
        <w:t>employee-related expenses of $5.6 million due to a reduction in headcount, partially offset by an increase in incentive compensation due to Company</w:t>
      </w:r>
    </w:p>
    <w:p>
      <w:pPr>
        <w:spacing w:after="0" w:line="219" w:lineRule="auto"/>
        <w:rPr>
          <w:sz w:val="20"/>
          <w:szCs w:val="20"/>
          <w:color w:val="auto"/>
        </w:rPr>
      </w:pPr>
      <w:r>
        <w:rPr>
          <w:rFonts w:ascii="Times New Roman" w:cs="Times New Roman" w:eastAsia="Times New Roman" w:hAnsi="Times New Roman"/>
          <w:sz w:val="18"/>
          <w:szCs w:val="18"/>
          <w:color w:val="auto"/>
        </w:rPr>
        <w:t>performance estimates; a decrease in severance charges of $3.7 million, which includes severance related to our CFO transition in the current year more</w:t>
      </w:r>
    </w:p>
    <w:p>
      <w:pPr>
        <w:spacing w:after="0" w:line="219" w:lineRule="auto"/>
        <w:rPr>
          <w:sz w:val="20"/>
          <w:szCs w:val="20"/>
          <w:color w:val="auto"/>
        </w:rPr>
      </w:pPr>
      <w:r>
        <w:rPr>
          <w:rFonts w:ascii="Times New Roman" w:cs="Times New Roman" w:eastAsia="Times New Roman" w:hAnsi="Times New Roman"/>
          <w:sz w:val="18"/>
          <w:szCs w:val="18"/>
          <w:color w:val="auto"/>
        </w:rPr>
        <w:t>than offset by the retirement severance related to our former CEO in the prior year; a $3.9 million decrease in professional expenses, a portion of which</w:t>
      </w:r>
    </w:p>
    <w:p>
      <w:pPr>
        <w:spacing w:after="0" w:line="235" w:lineRule="auto"/>
        <w:rPr>
          <w:sz w:val="20"/>
          <w:szCs w:val="20"/>
          <w:color w:val="auto"/>
        </w:rPr>
      </w:pPr>
      <w:r>
        <w:rPr>
          <w:rFonts w:ascii="Times New Roman" w:cs="Times New Roman" w:eastAsia="Times New Roman" w:hAnsi="Times New Roman"/>
          <w:sz w:val="18"/>
          <w:szCs w:val="18"/>
          <w:color w:val="auto"/>
        </w:rPr>
        <w:t>were associated with cost savings initiatives and other professional fees that did not recur in the current year; a $2.5 million reduction in marketing spend;</w:t>
      </w:r>
    </w:p>
    <w:p>
      <w:pPr>
        <w:spacing w:after="0" w:line="219" w:lineRule="auto"/>
        <w:rPr>
          <w:sz w:val="20"/>
          <w:szCs w:val="20"/>
          <w:color w:val="auto"/>
        </w:rPr>
      </w:pPr>
      <w:r>
        <w:rPr>
          <w:rFonts w:ascii="Times New Roman" w:cs="Times New Roman" w:eastAsia="Times New Roman" w:hAnsi="Times New Roman"/>
          <w:sz w:val="18"/>
          <w:szCs w:val="18"/>
          <w:color w:val="auto"/>
        </w:rPr>
        <w:t>$1.4 million related to store and lease right-of-use asset impairment charges in the prior year that did not recur in the current year; and $3.6 million in other</w:t>
      </w:r>
    </w:p>
    <w:p>
      <w:pPr>
        <w:spacing w:after="0" w:line="219" w:lineRule="auto"/>
        <w:rPr>
          <w:sz w:val="20"/>
          <w:szCs w:val="20"/>
          <w:color w:val="auto"/>
        </w:rPr>
      </w:pPr>
      <w:r>
        <w:rPr>
          <w:rFonts w:ascii="Times New Roman" w:cs="Times New Roman" w:eastAsia="Times New Roman" w:hAnsi="Times New Roman"/>
          <w:sz w:val="18"/>
          <w:szCs w:val="18"/>
          <w:color w:val="auto"/>
        </w:rPr>
        <w:t>net expense reductions which included spending reductions related to information technology contracts, visual merchandising, certain professional fees,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other expenses.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charges of goodwill and intangible assets for the thirty-nine weeks ended October 28, 2023. For the thirty-nine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2022, impairment of goodwill and intangible assets totaled $29.3 million. These charges related to Pura Vida goodwill and the indefinite-lived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Pura Vida brand asset and are reflected within the Pura Vida segment. For additional information, refer to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herein.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9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For the thirty-nine weeks ended October 28, 2023, net other income increased $0.4 million to $0.8 million compared to $0.4 million in the comparable prior-year period. The increase in net other income was primarily due to a legal settlement in the current year that did not occur in the prior year, ticket sales from the Vera Bradley annual outlet sale, and sublease income.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1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thirty-nine weeks ended October 28, 2023, operating income increased $58.4 million, or 129.4%, to $13.3 million in the current-year period, from an operating loss of $(45.1) million in the comparable prior-year period. As a percentage of net revenues, operating income (loss) was 3.9% and (12.8)% for the thirty-nine weeks ended October 28, 2023 and October 29, 2022, respectively. Operating income increased due to the factors described in the captions above.</w:t>
      </w:r>
    </w:p>
    <w:p>
      <w:pPr>
        <w:spacing w:after="0" w:line="12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thirty-nine weeks ended October 28, 2023, operating income in the VB Direct segment increased $11.1 million, or 33.9%, to $43.7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$32.6 million in the comparable prior-year period. As a percentage of VB Direct segment net revenues, operating income in the VB Direct segment was 20.1% and 14.3% for the thirty-nine weeks ended October 28, 2023 and October 29, 2022, respectively. The increase in operating income as a percentage of VB Direct segment net revenues was primarily due to an increase in gross margin as a percentage of net revenues as described above; a decrease in employee-related expenses due to closed stores and cost savings initiatives; store impairment charges in the prior year that did not recur in the current year; and a reduction in spending associated with visual merchandising, professional fees, and other variable expenses.</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thirty-nine weeks ended October 28, 2023, operating income in the VB Indirect segment increased $1.5 million, or 8.0%, to $19.9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$18.4 million in the comparable prior-year period. As a percentage of VB Indirect segment net revenues, operating income in the VB Indirect segment was 34.4% and 32.5% for the thirty-nine weeks ended October 28, 2023 and October 29, 2022, respectively. The increase in operating income as a percentage of VB Indirect segment net revenues was due to an increase in gross margin as a percentage of net revenues as described above, as well as decreased SG&amp;A expenses.</w:t>
      </w:r>
    </w:p>
    <w:p>
      <w:pPr>
        <w:spacing w:after="0" w:line="1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thirty-nine weeks ended October 28, 2023, operating income in the Pura Vida segment increased $33.8 million, or 117.3%, to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a net loss of $(28.8) million in the comparable prior-year period. As a percentage of Pura Vida segment net revenues, operating income (loss) in the Pura Vida segment was 7.9% and (42.7)% for the thirty-nine weeks ended October 28, 2023 and October 29, 2022, respectively. The increase in operating income as a percentage of Pura Vida net revenues was primarily due to goodwill and indefinite-lived Pura Vida brand impairment charges in the prior-year period of $19.4 million and $9.9 million, respectively; a decrease in marketing and advertising expenses; a decrease in employee-related expenses due to headcount reductions and cost savings initiatives; and an increase in gross margin as a percentage of net revenues as described above.</w:t>
      </w:r>
    </w:p>
    <w:p>
      <w:pPr>
        <w:spacing w:after="0" w:line="12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thirty-nine weeks ended October 28, 2023, unallocated expenses decreased $12.0 million, or 17.9%, to $55.3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$67.3 million in the comparable prior-year period. The decrease in unallocated expenses was primarily due to a reduction in severance charges of</w:t>
      </w:r>
    </w:p>
    <w:p>
      <w:pPr>
        <w:ind w:right="20"/>
        <w:spacing w:after="0" w:line="252" w:lineRule="auto"/>
        <w:rPr>
          <w:sz w:val="20"/>
          <w:szCs w:val="20"/>
          <w:color w:val="auto"/>
        </w:rPr>
      </w:pPr>
      <w:r>
        <w:rPr>
          <w:rFonts w:ascii="Times New Roman" w:cs="Times New Roman" w:eastAsia="Times New Roman" w:hAnsi="Times New Roman"/>
          <w:sz w:val="18"/>
          <w:szCs w:val="18"/>
          <w:color w:val="auto"/>
        </w:rPr>
        <w:t>$3.7 million which included severance related to our CFO transition in the current year more than offset by severance associated with the retirement of our former CEO in the prior year that did not recur in the current year; prior year consulting fees of $3.3 million associated with cost savings initiatives and other professional fees that did not recur in the current year; a reduction in employee-related expenses of $2.5 million primarily related to lower headcount, partially offset by an increase in incentive compensation expense as a result of Company performance estimates; $0.6 million for a lease right-of-use asset charge in the prior year that did not recur in the current year; and $1.9 million in other net corporate expense reductions including a reduction in information technology contracts, corporate advertising expense, and other corporate expenses.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thirty-nine weeks ended October 28, 2023, was 28.3%, compared to 14.2% for the thirty-nine weeks ended October 29, 2022. The year-over year effective tax rate increase was primarily due to the relative impact of permanent and discrete items in the current-year period compared to the prior-year period, primarily as a result of stock-based compensation, noncontrolling interest in the prior-year period, and non-deductible executive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thirty-nine weeks ended October 28, 2023, net income increased $48.5 million to $9.7 million from a net loss of $(38.8) million in the comparable prior-year period due to the factors described in the captions above</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Redeemable Noncontrolling Interest</w:t>
      </w:r>
    </w:p>
    <w:p>
      <w:pPr>
        <w:spacing w:after="0" w:line="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thirty-nine weeks ended October 29, 2022, net loss attributable to redeemable noncontrolling interest was $(7.2) million. This represents the allocation of the Pura Vida net loss to the noncontrolling interest. On January 30, 2023, we purchased the remaining 25% interest in Pura Vida resulting in 100% ownership. As a result, there was no noncontrolling interest for the current-year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Vera Bradley, Inc.</w:t>
      </w:r>
    </w:p>
    <w:p>
      <w:pPr>
        <w:spacing w:after="0" w:line="10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the thirty-nine weeks ended October 28, 2023, net income attributable to Vera Bradley, Inc. increased $41.3 million to $9.7 million from net loss attributable to Vera Bradley, Inc. of $(31.6) million in the comparable prior-year period due to the factors described in the captions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There was no debt outstanding as of October 28, 2023.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40" w:type="dxa"/>
            <w:vAlign w:val="bottom"/>
          </w:tcPr>
          <w:p>
            <w:pPr>
              <w:spacing w:after="0"/>
              <w:rPr>
                <w:sz w:val="11"/>
                <w:szCs w:val="11"/>
                <w:color w:val="auto"/>
              </w:rPr>
            </w:pPr>
          </w:p>
        </w:tc>
        <w:tc>
          <w:tcPr>
            <w:tcW w:w="120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October 29,</w:t>
            </w:r>
          </w:p>
        </w:tc>
      </w:tr>
      <w:tr>
        <w:trPr>
          <w:trHeight w:val="195"/>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(19,321)</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(used in) operating activities consists primarily of net income (loss)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for the thirty-nine weeks ended October 28, 2023 was $21.1 million compared to net cash used in operating activities of $36.8 million for the thirty-nine weeks ended October 29, 2022. The increase in cash provided by operating activities was primarily related to an increase in net income of $48.5 million, partially offset by the change in non-cash items of $23.4 million, as well as the change in assets and liabilities. A source of cash was provided by lower inventory receipts; the timing of collection of tenant allowances associated with our store leases; a lower accounts receivable change due to lower sales and timing; and an increase in incentive compensation liability in the current-year period compared to the prior-year period. These sources of cash were partially offset by a lower amount of accrued liabilities for severance and cost savings initiatives; timing of accounts payable; and the change in income taxes. There was a net income tax refund of $6.6 million in the prior-year period compared to net cash payments of $0.7 million in the current-year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and capital expenditures related to new store openings, buildings, operational equipment, and information technology investments.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$12.5 million for the thirty-nine weeks ended October 28, 2023 compared to $7.0 million for the thirty-nine weeks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October 29, 2022. The increase in cash used in investing activities was a result of the purchase of the remaining 25% interest in Pura Vida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partially offset by a decline in property, plant, and equipment spending primarily as a result of a lower amount of new store construction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year and Vera Bradley store relocations in the prior year that did not recur.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expenditures for fiscal 2024 are expected to be approximately $4.0 million.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$2.9 million for the thirty-nine weeks ended October 28, 2023 compared to $19.3 million for the thirty-nine weeks ended October 29, 2022. The decrease in cash used in financing activities was primarily due to $1.9 million of common stock repurchases in the current-year period compared to $17.3 million in the comparable prior-year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and Vera Bradley Sales, LLC (collectively, the “Named Subsidiaries”). The Credit Agreement also contains an option for VBD to arrange with lenders to increase the aggregate principal amount by up to $25.0 million.</w:t>
      </w:r>
    </w:p>
    <w:p>
      <w:pPr>
        <w:spacing w:after="0" w:line="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August 3, 2023, certain subsidiaries of the Company, JP Morgan Chase Bank, N.A., as the administrative agent, and lenders from time to time party thereto, entered into a Third Amendment (the “Third Amendment”) to the Credit Agreement.</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 Credit Agreement and the Third Amendment, please see Note 6 of the Notes to Condensed Consolidated Financial Statements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October 28, 2023, there were no material changes outside the ordinary course of business to material cash requirements, as disclosed in our Annual Report on Form 10-K for the fiscal year ended January 28,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January 28, 2023.</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January 28, 2023. There were no significant changes to any of the critical accounting policies and estimates described in the Annual Report as of October 28,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October 28, 2023, there was no material change in the market risks described in “Quantitative and Qualitative Disclosures About Market Risks” in the Company’s Annual Report on Form 10-K for the fiscal year ended January 28, 2023.</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October 28, 2023.</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sought damages in an amount not less than $10.0 million for punitive damages, attorney fees, prejudgment interest, and any other additional relief. In November 2019, the Company filed a counterclaim against the principals of Vesi as personal guarantors for monies owed to the Company by Vesi. The Company filed a motion for summary judgement asking the Court to dismiss all claims with prejudice and grant judgement on its counterclaim. On January 4, 2023, the District Court granted the Company’s motion for summary judgment dismissing Vesi’s claims and also granted judgment on the Company’s counterclaims against the principals of Vesi for an immaterial amount. Vesi appealed this decision. On November 9, 2023 the United States Court of Appeals for the Sixth Circuit issued an opinion affirming the District Court’s judgment in favor of the Company dismissing Vesi’s claims and granting the Company’s counterclaims.</w:t>
      </w:r>
    </w:p>
    <w:p>
      <w:pPr>
        <w:spacing w:after="0" w:line="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set forth in the Company’s Annual Report on Form 10-K for the fiscal year ended January 28, 2023.</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0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was effective beginning December 13, 2021 and expires in December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program during the thirteen weeks ended October 28, 2023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6"/>
        </w:trPr>
        <w:tc>
          <w:tcPr>
            <w:tcW w:w="354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98"/>
        </w:trPr>
        <w:tc>
          <w:tcPr>
            <w:tcW w:w="3540" w:type="dxa"/>
            <w:vAlign w:val="bottom"/>
            <w:vMerge w:val="continue"/>
          </w:tcPr>
          <w:p>
            <w:pPr>
              <w:spacing w:after="0"/>
              <w:rPr>
                <w:sz w:val="17"/>
                <w:szCs w:val="17"/>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7"/>
                <w:szCs w:val="17"/>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 Program</w:t>
            </w:r>
          </w:p>
        </w:tc>
        <w:tc>
          <w:tcPr>
            <w:tcW w:w="0" w:type="dxa"/>
            <w:vAlign w:val="bottom"/>
          </w:tcPr>
          <w:p>
            <w:pPr>
              <w:spacing w:after="0"/>
              <w:rPr>
                <w:sz w:val="1"/>
                <w:szCs w:val="1"/>
                <w:color w:val="auto"/>
              </w:rPr>
            </w:pPr>
          </w:p>
        </w:tc>
      </w:tr>
      <w:tr>
        <w:trPr>
          <w:trHeight w:val="228"/>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30, 2023 - August 26, 2023</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26,165,760</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27, 2023 - September 30, 2023</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25,975,768</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 October 28, 2023</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25,829,670</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October 28, 2023,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9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80" w:type="dxa"/>
            <w:vAlign w:val="bottom"/>
            <w:gridSpan w:val="2"/>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20" w:type="dxa"/>
            <w:vAlign w:val="bottom"/>
            <w:tcBorders>
              <w:bottom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CEO Section 302 Certification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CFO Section 302 Certification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Section 906 Certifications*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20" w:hanging="69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2023</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Schwindle</w:t>
            </w:r>
          </w:p>
        </w:tc>
      </w:tr>
      <w:tr>
        <w:trPr>
          <w:trHeight w:val="218"/>
        </w:trPr>
        <w:tc>
          <w:tcPr>
            <w:tcW w:w="56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Michael Schwindle</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17" w:right="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Jacqueline Ardrey, certify that:</w:t>
      </w:r>
    </w:p>
    <w:p>
      <w:pPr>
        <w:spacing w:after="0" w:line="104"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2023</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Jacqueline Ardrey</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Jacqueline Ardrey</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Schwindle, certify that:</w:t>
      </w:r>
    </w:p>
    <w:p>
      <w:pPr>
        <w:spacing w:after="0" w:line="104"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6, 2023</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Schwindle</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Schwindle</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Jacqueline Ardrey, the Chief Executive Officer of Vera Bradley, Inc., certify that (i) the quarterly report on Form 10-Q for the fiscal quarter ended October 28, 2023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December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47"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Michael Schwindle, the Chief Financial Officer of Vera Bradley, Inc., certify that (i) the quarterly report on Form 10-Q for the fiscal quarter ended October 28, 2023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Michael Schwindle</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December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lvl w:ilvl="1">
      <w:lvlJc w:val="left"/>
      <w:lvlText w:val="•"/>
      <w:numFmt w:val="bullet"/>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1"/>
    </w:lvl>
  </w:abstractNum>
  <w:abstractNum w:abstractNumId="9">
    <w:nsid w:val="721DA317"/>
    <w:multiLevelType w:val="hybridMultilevel"/>
    <w:lvl w:ilvl="0">
      <w:lvlJc w:val="left"/>
      <w:lvlText w:val="%1."/>
      <w:numFmt w:val="decimal"/>
      <w:start w:val="3"/>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4"/>
    </w:lvl>
  </w:abstractNum>
  <w:abstractNum w:abstractNumId="12">
    <w:nsid w:val="6763845E"/>
    <w:multiLevelType w:val="hybridMultilevel"/>
    <w:lvl w:ilvl="0">
      <w:lvlJc w:val="left"/>
      <w:lvlText w:val="%1."/>
      <w:numFmt w:val="decimal"/>
      <w:start w:val="5"/>
    </w:lvl>
    <w:lvl w:ilvl="1">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6"/>
    </w:lvl>
  </w:abstractNum>
  <w:abstractNum w:abstractNumId="15">
    <w:nsid w:val="79838CB2"/>
    <w:multiLevelType w:val="hybridMultilevel"/>
    <w:lvl w:ilvl="0">
      <w:lvlJc w:val="left"/>
      <w:lvlText w:val="(%1)"/>
      <w:numFmt w:val="lowerRoman"/>
      <w:start w:val="5"/>
    </w:lvl>
  </w:abstractNum>
  <w:abstractNum w:abstractNumId="16">
    <w:nsid w:val="4353D0CD"/>
    <w:multiLevelType w:val="hybridMultilevel"/>
    <w:lvl w:ilvl="0">
      <w:lvlJc w:val="left"/>
      <w:lvlText w:val="%1."/>
      <w:numFmt w:val="decimal"/>
      <w:start w:val="7"/>
    </w:lvl>
  </w:abstractNum>
  <w:abstractNum w:abstractNumId="17">
    <w:nsid w:val="B03E0C6"/>
    <w:multiLevelType w:val="hybridMultilevel"/>
    <w:lvl w:ilvl="0">
      <w:lvlJc w:val="left"/>
      <w:lvlText w:val="%1."/>
      <w:numFmt w:val="decimal"/>
      <w:start w:val="9"/>
    </w:lvl>
  </w:abstractNum>
  <w:abstractNum w:abstractNumId="18">
    <w:nsid w:val="189A769B"/>
    <w:multiLevelType w:val="hybridMultilevel"/>
    <w:lvl w:ilvl="0">
      <w:lvlJc w:val="left"/>
      <w:lvlText w:val="%1."/>
      <w:numFmt w:val="decimal"/>
      <w:start w:val="10"/>
    </w:lvl>
  </w:abstractNum>
  <w:abstractNum w:abstractNumId="19">
    <w:nsid w:val="54E49EB4"/>
    <w:multiLevelType w:val="hybridMultilevel"/>
    <w:lvl w:ilvl="0">
      <w:lvlJc w:val="left"/>
      <w:lvlText w:val="%1."/>
      <w:numFmt w:val="decimal"/>
      <w:start w:val="13"/>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4"/>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5"/>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2023-12-06T13:42:24Z</dcterms:created>
  <dcterms:modified xsi:type="dcterms:W3CDTF">2023-12-06T13:42:24Z</dcterms:modified>
</cp:coreProperties>
</file>