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240" w:space="600"/>
            <w:col w:w="45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 BRADLEY,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00" w:type="dxa"/>
        <w:tblCellMar>
          <w:top w:w="0" w:type="dxa"/>
          <w:left w:w="0" w:type="dxa"/>
          <w:bottom w:w="0" w:type="dxa"/>
          <w:right w:w="0" w:type="dxa"/>
        </w:tblCellMar>
      </w:tblPr>
      <w:tr>
        <w:trPr>
          <w:trHeight w:val="218"/>
        </w:trPr>
        <w:tc>
          <w:tcPr>
            <w:tcW w:w="6920" w:type="dxa"/>
            <w:vAlign w:val="bottom"/>
          </w:tcPr>
          <w:p>
            <w:pPr>
              <w:jc w:val="center"/>
              <w:ind w:right="3503"/>
              <w:spacing w:after="0"/>
              <w:rPr>
                <w:sz w:val="20"/>
                <w:szCs w:val="20"/>
                <w:color w:val="auto"/>
              </w:rPr>
            </w:pPr>
            <w:r>
              <w:rPr>
                <w:rFonts w:ascii="Arial" w:cs="Arial" w:eastAsia="Arial" w:hAnsi="Arial"/>
                <w:sz w:val="18"/>
                <w:szCs w:val="18"/>
                <w:b w:val="1"/>
                <w:bCs w:val="1"/>
                <w:color w:val="auto"/>
                <w:w w:val="91"/>
              </w:rPr>
              <w:t>Indiana</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27-2935063</w:t>
            </w:r>
          </w:p>
        </w:tc>
      </w:tr>
      <w:tr>
        <w:trPr>
          <w:trHeight w:val="149"/>
        </w:trPr>
        <w:tc>
          <w:tcPr>
            <w:tcW w:w="6920" w:type="dxa"/>
            <w:vAlign w:val="bottom"/>
          </w:tcPr>
          <w:p>
            <w:pPr>
              <w:jc w:val="center"/>
              <w:ind w:right="3523"/>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920" w:type="dxa"/>
            <w:vAlign w:val="bottom"/>
          </w:tcPr>
          <w:p>
            <w:pPr>
              <w:jc w:val="center"/>
              <w:ind w:right="3523"/>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920" w:type="dxa"/>
            <w:vAlign w:val="bottom"/>
          </w:tcPr>
          <w:p>
            <w:pPr>
              <w:jc w:val="center"/>
              <w:ind w:right="3523"/>
              <w:spacing w:after="0"/>
              <w:rPr>
                <w:sz w:val="20"/>
                <w:szCs w:val="20"/>
                <w:color w:val="auto"/>
              </w:rPr>
            </w:pPr>
            <w:r>
              <w:rPr>
                <w:rFonts w:ascii="Arial" w:cs="Arial" w:eastAsia="Arial" w:hAnsi="Arial"/>
                <w:sz w:val="18"/>
                <w:szCs w:val="18"/>
                <w:b w:val="1"/>
                <w:bCs w:val="1"/>
                <w:color w:val="auto"/>
                <w:w w:val="89"/>
              </w:rPr>
              <w:t>2208 Production Road, Fort Wayne, Indiana</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46808</w:t>
            </w:r>
          </w:p>
        </w:tc>
      </w:tr>
      <w:tr>
        <w:trPr>
          <w:trHeight w:val="174"/>
        </w:trPr>
        <w:tc>
          <w:tcPr>
            <w:tcW w:w="6920" w:type="dxa"/>
            <w:vAlign w:val="bottom"/>
          </w:tcPr>
          <w:p>
            <w:pPr>
              <w:jc w:val="center"/>
              <w:ind w:right="352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920" w:type="dxa"/>
            <w:vAlign w:val="bottom"/>
          </w:tcPr>
          <w:p>
            <w:pPr>
              <w:jc w:val="center"/>
              <w:ind w:left="2023"/>
              <w:spacing w:after="0"/>
              <w:rPr>
                <w:sz w:val="20"/>
                <w:szCs w:val="20"/>
                <w:color w:val="auto"/>
              </w:rPr>
            </w:pPr>
            <w:r>
              <w:rPr>
                <w:rFonts w:ascii="Arial" w:cs="Arial" w:eastAsia="Arial" w:hAnsi="Arial"/>
                <w:sz w:val="18"/>
                <w:szCs w:val="18"/>
                <w:b w:val="1"/>
                <w:bCs w:val="1"/>
                <w:color w:val="auto"/>
                <w:w w:val="89"/>
              </w:rPr>
              <w:t>(877) 708-8372</w:t>
            </w:r>
          </w:p>
        </w:tc>
        <w:tc>
          <w:tcPr>
            <w:tcW w:w="1100" w:type="dxa"/>
            <w:vAlign w:val="bottom"/>
          </w:tcPr>
          <w:p>
            <w:pPr>
              <w:spacing w:after="0"/>
              <w:rPr>
                <w:sz w:val="24"/>
                <w:szCs w:val="24"/>
                <w:color w:val="auto"/>
              </w:rPr>
            </w:pPr>
          </w:p>
        </w:tc>
      </w:tr>
      <w:tr>
        <w:trPr>
          <w:trHeight w:val="174"/>
        </w:trPr>
        <w:tc>
          <w:tcPr>
            <w:tcW w:w="6920" w:type="dxa"/>
            <w:vAlign w:val="bottom"/>
          </w:tcPr>
          <w:p>
            <w:pPr>
              <w:jc w:val="center"/>
              <w:ind w:left="202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352"/>
        </w:trPr>
        <w:tc>
          <w:tcPr>
            <w:tcW w:w="6920" w:type="dxa"/>
            <w:vAlign w:val="bottom"/>
          </w:tcPr>
          <w:p>
            <w:pPr>
              <w:jc w:val="center"/>
              <w:ind w:left="2023"/>
              <w:spacing w:after="0"/>
              <w:rPr>
                <w:sz w:val="20"/>
                <w:szCs w:val="20"/>
                <w:color w:val="auto"/>
              </w:rPr>
            </w:pPr>
            <w:r>
              <w:rPr>
                <w:rFonts w:ascii="Arial" w:cs="Arial" w:eastAsia="Arial" w:hAnsi="Arial"/>
                <w:sz w:val="18"/>
                <w:szCs w:val="18"/>
                <w:b w:val="1"/>
                <w:bCs w:val="1"/>
                <w:color w:val="auto"/>
                <w:w w:val="84"/>
              </w:rPr>
              <w:t>None</w:t>
            </w:r>
          </w:p>
        </w:tc>
        <w:tc>
          <w:tcPr>
            <w:tcW w:w="1100" w:type="dxa"/>
            <w:vAlign w:val="bottom"/>
          </w:tcPr>
          <w:p>
            <w:pPr>
              <w:spacing w:after="0"/>
              <w:rPr>
                <w:sz w:val="24"/>
                <w:szCs w:val="24"/>
                <w:color w:val="auto"/>
              </w:rPr>
            </w:pPr>
          </w:p>
        </w:tc>
      </w:tr>
      <w:tr>
        <w:trPr>
          <w:trHeight w:val="174"/>
        </w:trPr>
        <w:tc>
          <w:tcPr>
            <w:tcW w:w="6920" w:type="dxa"/>
            <w:vAlign w:val="bottom"/>
          </w:tcPr>
          <w:p>
            <w:pPr>
              <w:jc w:val="center"/>
              <w:ind w:left="202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registrant had 40,506,670 shares of its common stock outstanding as of September 12, 2011.</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gridSpan w:val="7"/>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19"/>
                <w:szCs w:val="19"/>
                <w:color w:val="auto"/>
              </w:rPr>
            </w:pPr>
          </w:p>
        </w:tc>
      </w:tr>
      <w:tr>
        <w:trPr>
          <w:trHeight w:val="380"/>
        </w:trPr>
        <w:tc>
          <w:tcPr>
            <w:tcW w:w="300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FINANCIAL INFORMATION</w:t>
              </w:r>
            </w:hyperlink>
          </w:p>
        </w:tc>
        <w:tc>
          <w:tcPr>
            <w:tcW w:w="7080" w:type="dxa"/>
            <w:vAlign w:val="bottom"/>
            <w:gridSpan w:val="10"/>
          </w:tcPr>
          <w:p>
            <w:pPr>
              <w:spacing w:after="0"/>
              <w:rPr>
                <w:sz w:val="24"/>
                <w:szCs w:val="24"/>
                <w:color w:val="auto"/>
              </w:rPr>
            </w:pPr>
          </w:p>
        </w:tc>
        <w:tc>
          <w:tcPr>
            <w:tcW w:w="124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24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50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July 30, 2011, and January 29, 2011</w:t>
              </w:r>
            </w:hyperlink>
          </w:p>
        </w:tc>
        <w:tc>
          <w:tcPr>
            <w:tcW w:w="4200" w:type="dxa"/>
            <w:vAlign w:val="bottom"/>
            <w:gridSpan w:val="5"/>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80" w:type="dxa"/>
            <w:vAlign w:val="bottom"/>
          </w:tcPr>
          <w:p>
            <w:pPr>
              <w:spacing w:after="0"/>
              <w:rPr>
                <w:sz w:val="24"/>
                <w:szCs w:val="24"/>
                <w:color w:val="auto"/>
              </w:rPr>
            </w:pPr>
          </w:p>
        </w:tc>
        <w:tc>
          <w:tcPr>
            <w:tcW w:w="81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Income for the Thirteen and Twenty-Six Weeks Ended July 30, 2011, and July 31, 2010</w:t>
              </w:r>
            </w:hyperlink>
          </w:p>
        </w:tc>
        <w:tc>
          <w:tcPr>
            <w:tcW w:w="10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80" w:type="dxa"/>
            <w:vAlign w:val="bottom"/>
          </w:tcPr>
          <w:p>
            <w:pPr>
              <w:spacing w:after="0"/>
              <w:rPr>
                <w:sz w:val="24"/>
                <w:szCs w:val="24"/>
                <w:color w:val="auto"/>
              </w:rPr>
            </w:pPr>
          </w:p>
        </w:tc>
        <w:tc>
          <w:tcPr>
            <w:tcW w:w="75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Cash Flows for the Twenty-Six Weeks Ended July 30, 2011, and July 31, 2010</w:t>
              </w:r>
            </w:hyperlink>
          </w:p>
        </w:tc>
        <w:tc>
          <w:tcPr>
            <w:tcW w:w="1700" w:type="dxa"/>
            <w:vAlign w:val="bottom"/>
            <w:gridSpan w:val="2"/>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80" w:type="dxa"/>
            <w:vAlign w:val="bottom"/>
          </w:tcPr>
          <w:p>
            <w:pPr>
              <w:spacing w:after="0"/>
              <w:rPr>
                <w:sz w:val="24"/>
                <w:szCs w:val="24"/>
                <w:color w:val="auto"/>
              </w:rPr>
            </w:pPr>
          </w:p>
        </w:tc>
        <w:tc>
          <w:tcPr>
            <w:tcW w:w="33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the Consolidated Financial Statements</w:t>
              </w:r>
            </w:hyperlink>
          </w:p>
        </w:tc>
        <w:tc>
          <w:tcPr>
            <w:tcW w:w="5860" w:type="dxa"/>
            <w:vAlign w:val="bottom"/>
            <w:gridSpan w:val="8"/>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2900" w:type="dxa"/>
            <w:vAlign w:val="bottom"/>
            <w:gridSpan w:val="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21">
              <w:r>
                <w:rPr>
                  <w:rFonts w:ascii="Arial" w:cs="Arial" w:eastAsia="Arial" w:hAnsi="Arial"/>
                  <w:sz w:val="18"/>
                  <w:szCs w:val="18"/>
                  <w:color w:val="0000EE"/>
                  <w:w w:val="86"/>
                </w:rPr>
                <w:t>Controls and Procedures</w:t>
              </w:r>
            </w:hyperlink>
          </w:p>
        </w:tc>
        <w:tc>
          <w:tcPr>
            <w:tcW w:w="7460" w:type="dxa"/>
            <w:vAlign w:val="bottom"/>
            <w:gridSpan w:val="12"/>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0080" w:type="dxa"/>
            <w:vAlign w:val="bottom"/>
            <w:gridSpan w:val="16"/>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1240" w:type="dxa"/>
            <w:vAlign w:val="bottom"/>
          </w:tcPr>
          <w:p>
            <w:pPr>
              <w:spacing w:after="0"/>
              <w:rPr>
                <w:sz w:val="24"/>
                <w:szCs w:val="24"/>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1A.</w:t>
            </w: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7380" w:type="dxa"/>
            <w:vAlign w:val="bottom"/>
            <w:gridSpan w:val="11"/>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8320" w:type="dxa"/>
            <w:vAlign w:val="bottom"/>
            <w:gridSpan w:val="1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3"/>
        </w:trPr>
        <w:tc>
          <w:tcPr>
            <w:tcW w:w="880" w:type="dxa"/>
            <w:vAlign w:val="bottom"/>
          </w:tcPr>
          <w:p>
            <w:pPr>
              <w:spacing w:after="0"/>
              <w:rPr>
                <w:sz w:val="24"/>
                <w:szCs w:val="24"/>
                <w:color w:val="auto"/>
              </w:rPr>
            </w:pPr>
          </w:p>
        </w:tc>
        <w:tc>
          <w:tcPr>
            <w:tcW w:w="5000" w:type="dxa"/>
            <w:vAlign w:val="bottom"/>
            <w:gridSpan w:val="10"/>
          </w:tcPr>
          <w:p>
            <w:pPr>
              <w:ind w:left="480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ORWARD</w:t>
      </w:r>
      <w:r>
        <w:rPr>
          <w:rFonts w:ascii="Arial" w:cs="Arial" w:eastAsia="Arial" w:hAnsi="Arial"/>
          <w:sz w:val="18"/>
          <w:szCs w:val="18"/>
          <w:b w:val="1"/>
          <w:bCs w:val="1"/>
          <w:color w:val="auto"/>
        </w:rPr>
        <w:t>-</w:t>
      </w:r>
      <w:r>
        <w:rPr>
          <w:rFonts w:ascii="Arial" w:cs="Arial" w:eastAsia="Arial" w:hAnsi="Arial"/>
          <w:sz w:val="14"/>
          <w:szCs w:val="14"/>
          <w:b w:val="1"/>
          <w:bCs w:val="1"/>
          <w:color w:val="auto"/>
        </w:rPr>
        <w:t>LOOKING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For a discussion of these risks and other risks and uncertainties that could cause actual results to differ materially from those contained in our forward-looking statements, please refer to “Risk Factors” beginning on page 16 of the Company’s Annual Report on Form 10-K for the fiscal year ended January 29, 2011.</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July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118,105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180,597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160,467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of accumulated depreciation and amortization of $37,246 and $32,808,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226,730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206,039</w:t>
            </w:r>
          </w:p>
        </w:tc>
        <w:tc>
          <w:tcPr>
            <w:tcW w:w="0" w:type="dxa"/>
            <w:vAlign w:val="bottom"/>
          </w:tcPr>
          <w:p>
            <w:pPr>
              <w:spacing w:after="0"/>
              <w:rPr>
                <w:sz w:val="1"/>
                <w:szCs w:val="1"/>
                <w:color w:val="auto"/>
              </w:rPr>
            </w:pPr>
          </w:p>
        </w:tc>
      </w:tr>
      <w:tr>
        <w:trPr>
          <w:trHeight w:val="20"/>
        </w:trPr>
        <w:tc>
          <w:tcPr>
            <w:tcW w:w="9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30,924</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employment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68,548</w:t>
            </w:r>
          </w:p>
        </w:tc>
        <w:tc>
          <w:tcPr>
            <w:tcW w:w="0" w:type="dxa"/>
            <w:vAlign w:val="bottom"/>
          </w:tcPr>
          <w:p>
            <w:pPr>
              <w:spacing w:after="0"/>
              <w:rPr>
                <w:sz w:val="1"/>
                <w:szCs w:val="1"/>
                <w:color w:val="auto"/>
              </w:rPr>
            </w:pPr>
          </w:p>
        </w:tc>
      </w:tr>
      <w:tr>
        <w:trPr>
          <w:trHeight w:val="322"/>
        </w:trPr>
        <w:tc>
          <w:tcPr>
            <w:tcW w:w="96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71,590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66,934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136,739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141,717</w:t>
            </w:r>
          </w:p>
        </w:tc>
        <w:tc>
          <w:tcPr>
            <w:tcW w:w="0" w:type="dxa"/>
            <w:vAlign w:val="bottom"/>
          </w:tcPr>
          <w:p>
            <w:pPr>
              <w:spacing w:after="0"/>
              <w:rPr>
                <w:sz w:val="1"/>
                <w:szCs w:val="1"/>
                <w:color w:val="auto"/>
              </w:rPr>
            </w:pPr>
          </w:p>
        </w:tc>
      </w:tr>
      <w:tr>
        <w:trPr>
          <w:trHeight w:val="329"/>
        </w:trPr>
        <w:tc>
          <w:tcPr>
            <w:tcW w:w="96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w w:val="98"/>
              </w:rPr>
              <w:t>Preferred stock; July 30, 2011, and January 29, 2011 – 5,000,000 shares authorized, no shares issued or outstanding</w:t>
            </w:r>
          </w:p>
        </w:tc>
        <w:tc>
          <w:tcPr>
            <w:tcW w:w="10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without par value; July 30, 2011, and January 29, 2011 – 200,000,000 shares authorized, 40,506,670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20" w:type="dxa"/>
            <w:vAlign w:val="bottom"/>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226,730</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206,039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Thirteen Weeks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ind w:left="3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July 30,</w:t>
            </w: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July 31,</w:t>
            </w: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July 30,</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July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205,179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Cost of sales</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44,161</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89,107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116,072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39,120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9,663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41,986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22,597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9,327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41,341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13,633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9,170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24,857</w:t>
            </w:r>
          </w:p>
        </w:tc>
        <w:tc>
          <w:tcPr>
            <w:tcW w:w="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40,506,670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35,440,547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40,506,670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40,541,467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35,440,613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40,536,818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0.61</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distributions per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00" w:type="dxa"/>
            <w:vAlign w:val="bottom"/>
            <w:gridSpan w:val="2"/>
          </w:tcPr>
          <w:p>
            <w:pPr>
              <w:spacing w:after="0"/>
              <w:rPr>
                <w:sz w:val="20"/>
                <w:szCs w:val="20"/>
                <w:color w:val="auto"/>
              </w:rPr>
            </w:pPr>
            <w:r>
              <w:rPr>
                <w:rFonts w:ascii="Arial" w:cs="Arial" w:eastAsia="Arial" w:hAnsi="Arial"/>
                <w:sz w:val="18"/>
                <w:szCs w:val="18"/>
                <w:color w:val="auto"/>
              </w:rPr>
              <w:t>Pro forma income information (Notes 1 and 6):</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 forma income tax expense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100" w:type="dxa"/>
            <w:vAlign w:val="bottom"/>
            <w:gridSpan w:val="2"/>
          </w:tcPr>
          <w:p>
            <w:pPr>
              <w:spacing w:after="0"/>
              <w:rPr>
                <w:sz w:val="20"/>
                <w:szCs w:val="20"/>
                <w:color w:val="auto"/>
              </w:rPr>
            </w:pPr>
            <w:r>
              <w:rPr>
                <w:rFonts w:ascii="Arial" w:cs="Arial" w:eastAsia="Arial" w:hAnsi="Arial"/>
                <w:sz w:val="18"/>
                <w:szCs w:val="18"/>
                <w:color w:val="auto"/>
              </w:rPr>
              <w:t>Pro forma basic weighted-average shares outstanding</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35,440,547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weighted-average shares outstanding</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35,440,613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35,440,580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 forma basic net income per share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net income per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July 30,</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5"/>
              </w:rPr>
              <w:t>July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24,857</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plant, and equipment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(10,495)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(21,388)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Accrued and other liabilities</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(11,778)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23,051</w:t>
            </w:r>
          </w:p>
        </w:tc>
        <w:tc>
          <w:tcPr>
            <w:tcW w:w="0" w:type="dxa"/>
            <w:vAlign w:val="bottom"/>
          </w:tcPr>
          <w:p>
            <w:pPr>
              <w:spacing w:after="0"/>
              <w:rPr>
                <w:sz w:val="1"/>
                <w:szCs w:val="1"/>
                <w:color w:val="auto"/>
              </w:rPr>
            </w:pPr>
          </w:p>
        </w:tc>
      </w:tr>
      <w:tr>
        <w:trPr>
          <w:trHeight w:val="3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(6,526)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Payments on financial-institution debt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on financial-institution debt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Payments on vendor-financed debt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bank overdraft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Payments of distributions</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(17,173)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(13,165)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6"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Vera Bradley, Inc. was formed as an Indiana corporation on June 23, 2010, for the purpose of reorganizing the corporate structure of Vera Bradley Designs, Inc. On October 3, 2010, the shareholders of Vera Bradley Designs, Inc. contributed all of their shares of Class A Voting Common Stock and Class B Non-Voting Common Stock of Vera Bradley Designs, Inc. to Vera Bradley, Inc. in return for shares of Vera Bradley, Inc. Class A Voting Common Stock and Class B Non-Voting Common Stock on a one-for-one basis. In addition, effective October 3, 2010, Vera Bradley Designs, Inc. converted from an “S” Corporation to a “C” Corporation for income tax purposes. Further, on October 18, 2010, Vera Bradley, Inc. recapitalized all of its Class A Voting Common Stock and Class B Non-Voting Common Stock into a single class of common stock and effectuated a 35.437-for-1 stock split of all outstanding shares of its common stock. These events collectively are referred to as the “Reorganization.” As a result of the Reorganization, Vera Bradley Designs, Inc. became a wholly-owned subsidiary of Vera Bradley, Inc. Except where context requires or where otherwise indicated, the terms “Company” and “Vera Bradley” refer to Vera Bradley Designs, Inc. and its subsidiaries before the Reorganization and to Vera Bradley, Inc. and its subsidiaries, including Vera Bradley Designs, Inc., after the Reorganization. All historical common stock and per share common stock information has been changed to reflect the stock split.</w:t>
      </w:r>
    </w:p>
    <w:p>
      <w:pPr>
        <w:spacing w:after="0" w:line="28" w:lineRule="exact"/>
        <w:rPr>
          <w:rFonts w:ascii="Arial" w:cs="Arial" w:eastAsia="Arial" w:hAnsi="Arial"/>
          <w:sz w:val="18"/>
          <w:szCs w:val="18"/>
          <w:b w:val="1"/>
          <w:bCs w:val="1"/>
          <w:color w:val="auto"/>
        </w:rPr>
      </w:pPr>
    </w:p>
    <w:p>
      <w:pPr>
        <w:ind w:left="46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Vera Bradley is a leading designer, producer, marketer, and retailer of stylish, highly functional accessories for women. The Company’s products include a wide offering of handbags, accessories, and travel and leisure items. The Company generates net revenues by selling products through two reportable segments: Indirect and Direct. The Indirect business consists of sales of Vera Bradley products to approximately 3,300 independent retailers, substantially all of which are located in the United States, as well as select national retailers and third-party e-commerce sites. The Direct business consists of sales of Vera Bradley products through the Company’s full-price, outlet, and Japanese pop-up stores, its websites, verabradley.com and verabradley.co.jp, and its annual outlet sale in Fort Wayne, Indiana. As of July 30, 2011, the Company operated 43 full-price stores and six outlet stores.</w:t>
      </w:r>
    </w:p>
    <w:p>
      <w:pPr>
        <w:spacing w:after="0" w:line="39" w:lineRule="exact"/>
        <w:rPr>
          <w:rFonts w:ascii="Arial" w:cs="Arial" w:eastAsia="Arial" w:hAnsi="Arial"/>
          <w:sz w:val="18"/>
          <w:szCs w:val="18"/>
          <w:b w:val="1"/>
          <w:bCs w:val="1"/>
          <w:color w:val="auto"/>
        </w:rPr>
      </w:pPr>
    </w:p>
    <w:p>
      <w:pPr>
        <w:ind w:left="460"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January 29, 2011, filed with the SEC.</w:t>
      </w:r>
    </w:p>
    <w:p>
      <w:pPr>
        <w:spacing w:after="0" w:line="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July 30, 2011, are not necessarily indicative of the results to be expected for the full fiscal year.</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wholly-owned subsidiaries. The Company has eliminated intercompany balances and transactions in consolidation.</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July 30, 2011, and July 31, 2010, refer to the thirteen-week periods ended on those dates.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Certain prior-year amounts have been reclassified to conform to the current-year presentation.</w:t>
      </w:r>
    </w:p>
    <w:p>
      <w:pPr>
        <w:spacing w:after="0" w:line="2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 Forma Income Statement Information</w:t>
      </w:r>
    </w:p>
    <w:p>
      <w:pPr>
        <w:spacing w:after="0" w:line="96" w:lineRule="exact"/>
        <w:rPr>
          <w:rFonts w:ascii="Arial" w:cs="Arial" w:eastAsia="Arial" w:hAnsi="Arial"/>
          <w:sz w:val="18"/>
          <w:szCs w:val="18"/>
          <w:b w:val="1"/>
          <w:bCs w:val="1"/>
          <w:color w:val="auto"/>
        </w:rPr>
      </w:pPr>
    </w:p>
    <w:p>
      <w:pPr>
        <w:ind w:left="460" w:right="4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Prior to the Reorganization, the Company was taxed as an “S” Corporation for purposes of federal and state income taxes. Accordingly, each of the Company’s shareholders was required to include his or her portion of the Company’s taxable income or loss on his or her federal and state income tax returns. As part of the Reorganization, the Company’s “S” Corporation status automatically terminated and the Company became subject to increased taxes.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unaudited pro forma income statement information for the thirteen and twenty-six weeks ended July 31, 2010, gives effect to an adjustment for income tax expense as if the Company had been a “C” Corporation as of the beginning of the fiscal year ended January 29, 2011, at an assumed combined federal, state, and local effective tax rate of 40.0%.</w:t>
      </w:r>
    </w:p>
    <w:p>
      <w:pPr>
        <w:spacing w:after="0" w:line="25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Net income per share is computed under the provisions of ASC 260, Earnings Per Share. Basic net income per share is computed based on the weighted-average number of common shares outstanding during the period. Diluted net income per share is computed based on the weighted-average number of common shares plus the effect of dilutive potential common shares outstanding during the period using the treasury stock method. Dilutive potential common shares represent outstanding restricted stock units. The components of basic and diluted net income per share were as follows ($ in thousands, except per share amounts):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July 30,</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July 31,</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July 30,</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July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Weighted-average number of common shares (basic)</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40,506,670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40,506,670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 (diluted)</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40,541,467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35,440,613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40,536,818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share: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carrying amounts reflected on the consolidated balance sheets for cash and cash equivalents, receivables, prepaid expenses and other current assets, debt, and payables as of July 30, 2011, and January 29, 2011, approximated their fair values.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ind w:right="39"/>
              <w:spacing w:after="0"/>
              <w:rPr>
                <w:sz w:val="20"/>
                <w:szCs w:val="20"/>
                <w:color w:val="auto"/>
              </w:rPr>
            </w:pPr>
            <w:r>
              <w:rPr>
                <w:rFonts w:ascii="Arial" w:cs="Arial" w:eastAsia="Arial" w:hAnsi="Arial"/>
                <w:sz w:val="14"/>
                <w:szCs w:val="14"/>
                <w:b w:val="1"/>
                <w:bCs w:val="1"/>
                <w:color w:val="auto"/>
                <w:w w:val="85"/>
              </w:rPr>
              <w:t>July 30,</w:t>
            </w:r>
          </w:p>
        </w:tc>
        <w:tc>
          <w:tcPr>
            <w:tcW w:w="1300" w:type="dxa"/>
            <w:vAlign w:val="bottom"/>
            <w:gridSpan w:val="4"/>
          </w:tcPr>
          <w:p>
            <w:pPr>
              <w:ind w:left="500"/>
              <w:spacing w:after="0"/>
              <w:rPr>
                <w:sz w:val="20"/>
                <w:szCs w:val="20"/>
                <w:color w:val="auto"/>
              </w:rPr>
            </w:pPr>
            <w:r>
              <w:rPr>
                <w:rFonts w:ascii="Arial" w:cs="Arial" w:eastAsia="Arial" w:hAnsi="Arial"/>
                <w:sz w:val="14"/>
                <w:szCs w:val="14"/>
                <w:b w:val="1"/>
                <w:bCs w:val="1"/>
                <w:color w:val="auto"/>
              </w:rPr>
              <w:t>January 29,</w:t>
            </w:r>
          </w:p>
        </w:tc>
      </w:tr>
      <w:tr>
        <w:trPr>
          <w:trHeight w:val="161"/>
        </w:trPr>
        <w:tc>
          <w:tcPr>
            <w:tcW w:w="6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Work in process,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net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103,711</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86,193</w:t>
            </w:r>
          </w:p>
        </w:tc>
        <w:tc>
          <w:tcPr>
            <w:tcW w:w="100" w:type="dxa"/>
            <w:vAlign w:val="bottom"/>
            <w:shd w:val="clear" w:color="auto" w:fill="CCEEFF"/>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 inventories, net</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118,105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96,717</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July 30, 2011, and January 29, 2011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3"/>
              </w:rPr>
              <w:t>July 30,</w:t>
            </w:r>
          </w:p>
        </w:tc>
        <w:tc>
          <w:tcPr>
            <w:tcW w:w="1300" w:type="dxa"/>
            <w:vAlign w:val="bottom"/>
            <w:gridSpan w:val="4"/>
          </w:tcPr>
          <w:p>
            <w:pPr>
              <w:ind w:left="500"/>
              <w:spacing w:after="0"/>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384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Amended and restated credit agreement</w:t>
            </w:r>
          </w:p>
        </w:tc>
        <w:tc>
          <w:tcPr>
            <w:tcW w:w="3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$71,450</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Vendor-financed debt</w:t>
            </w:r>
          </w:p>
        </w:tc>
        <w:tc>
          <w:tcPr>
            <w:tcW w:w="3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5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326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71,590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60" w:type="dxa"/>
            <w:vAlign w:val="bottom"/>
            <w:vMerge w:val="restart"/>
          </w:tcPr>
          <w:p>
            <w:pPr>
              <w:jc w:val="right"/>
              <w:ind w:right="2337"/>
              <w:spacing w:after="0"/>
              <w:rPr>
                <w:sz w:val="20"/>
                <w:szCs w:val="20"/>
                <w:color w:val="auto"/>
              </w:rPr>
            </w:pPr>
            <w:r>
              <w:rPr>
                <w:rFonts w:ascii="Arial" w:cs="Arial" w:eastAsia="Arial" w:hAnsi="Arial"/>
                <w:sz w:val="18"/>
                <w:szCs w:val="18"/>
                <w:color w:val="auto"/>
              </w:rPr>
              <w:t>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At July 30, 2011, the weighted-average interest rate on outstanding borrowings under the Company’s $125 million amended and restated credit agreement was 1.2749%, and the Company had borrowing availability of $53.6 million under the agreement.</w:t>
      </w:r>
    </w:p>
    <w:p>
      <w:pPr>
        <w:spacing w:after="0" w:line="24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Prior to October 3, 2010, Vera Bradley Designs, Inc. was taxed as an “S” Corporation for federal income tax purposes under Section 1362 of the Internal Revenue Code, and therefore was not subject to federal and state income taxes (subject to exception in a limited number of state and local jurisdictions that do not recognize the “S” Corporation status). On October 3, 2010, as part of the Reorganization, the Company’s “S” Corporation status automatically terminated and the Company became subject to corporate-level federal and state income taxes at prevailing corporate rates.</w:t>
      </w:r>
    </w:p>
    <w:p>
      <w:pPr>
        <w:spacing w:after="0" w:line="31" w:lineRule="exact"/>
        <w:rPr>
          <w:rFonts w:ascii="Arial" w:cs="Arial" w:eastAsia="Arial" w:hAnsi="Arial"/>
          <w:sz w:val="18"/>
          <w:szCs w:val="18"/>
          <w:b w:val="1"/>
          <w:bCs w:val="1"/>
          <w:color w:val="auto"/>
        </w:rPr>
      </w:pPr>
    </w:p>
    <w:p>
      <w:pPr>
        <w:ind w:left="460" w:right="2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provision for income taxes for interim periods is based on an estimate of the annual effective tax rate adjusted to reflect the impact of discrete items. Significant management judgment is required in projecting ordinary income (loss) to estimate the Company’s annual effective tax rate.</w:t>
      </w:r>
    </w:p>
    <w:p>
      <w:pPr>
        <w:spacing w:after="0" w:line="4" w:lineRule="exact"/>
        <w:rPr>
          <w:rFonts w:ascii="Arial" w:cs="Arial" w:eastAsia="Arial" w:hAnsi="Arial"/>
          <w:sz w:val="18"/>
          <w:szCs w:val="18"/>
          <w:b w:val="1"/>
          <w:bCs w:val="1"/>
          <w:color w:val="auto"/>
        </w:rPr>
      </w:pPr>
    </w:p>
    <w:p>
      <w:pPr>
        <w:ind w:left="46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The effective tax rate for the thirteen weeks ended July 30, 2011, was 39.6%, compared to 1.7% for the thirteen weeks ended July 31, 2010. The increase in the effective tax rate resulted primarily from the Company’s conversion to a “C” Corporation in connection with its initial public offering in October 2010. The Company’s effective tax rate for the thirteen weeks ended July 30, 2011, was negatively impacted by the net operating loss incurred by the Company’s recently formed Japanese subsidiary, for which no tax benefit was recorded. The valuation allowance recorded against the deferred tax asset arising from the net operating loss of the Company’s Japanese subsidiary increased the effective tax rate by 1.9% for the thirteen weeks ended July 30, 2011.</w:t>
      </w:r>
    </w:p>
    <w:p>
      <w:pPr>
        <w:spacing w:after="0" w:line="18" w:lineRule="exact"/>
        <w:rPr>
          <w:rFonts w:ascii="Arial" w:cs="Arial" w:eastAsia="Arial" w:hAnsi="Arial"/>
          <w:sz w:val="18"/>
          <w:szCs w:val="18"/>
          <w:b w:val="1"/>
          <w:bCs w:val="1"/>
          <w:color w:val="auto"/>
        </w:rPr>
      </w:pPr>
    </w:p>
    <w:p>
      <w:pPr>
        <w:ind w:left="460"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effective tax rate for the twenty-six weeks ended July 30, 2011, was 39.9%, compared to 1.4% for the twenty-six weeks ended July 31, 2010. The increase in the effective tax rate resulted primarily from the Company’s conversion to a “C” Corporation in connection with its initial public offering in October 2010. The Company’s effective tax rate for the twenty-six weeks ended July 30, 2011, was negatively impacted by the non-deductibility of expenses related to the April 2011 secondary offering and by the net operating loss incurred by the Company’s recently formed Japanese subsidiary, for which no tax benefit was recorded. The non-deductibility of the secondary offering expenses increased the effective tax rate by approximately 0.5% for the twenty-six weeks ended July 30, 2011. The secondary offering expenses were recorded as a discrete event in the effective tax rate in the thirteen weeks ended April 30, 2011. The valuation allowance recorded against the deferred tax asset arising from the net operating loss of the Company’s Japanese subsidiary increased the effective tax rate by 1.5% for the twenty-six weeks ended July 30, 2011.</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comprehensive income were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20" w:type="dxa"/>
            <w:vAlign w:val="bottom"/>
            <w:gridSpan w:val="4"/>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17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w w:val="97"/>
              </w:rPr>
              <w:t>July 30,</w:t>
            </w:r>
          </w:p>
        </w:tc>
        <w:tc>
          <w:tcPr>
            <w:tcW w:w="3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3"/>
              </w:rPr>
              <w:t>July 31,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July 30,</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5"/>
              </w:rPr>
              <w:t>July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96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94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8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$ 13,633</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$ 9,170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$ 24,857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25,964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40" w:type="dxa"/>
            <w:vAlign w:val="bottom"/>
            <w:gridSpan w:val="2"/>
          </w:tcPr>
          <w:p>
            <w:pPr>
              <w:spacing w:after="0"/>
              <w:rPr>
                <w:sz w:val="20"/>
                <w:szCs w:val="20"/>
                <w:color w:val="auto"/>
              </w:rPr>
            </w:pPr>
            <w:r>
              <w:rPr>
                <w:rFonts w:ascii="Arial" w:cs="Arial" w:eastAsia="Arial" w:hAnsi="Arial"/>
                <w:sz w:val="18"/>
                <w:szCs w:val="18"/>
                <w:color w:val="auto"/>
              </w:rPr>
              <w:t>Foreign translation</w:t>
            </w:r>
          </w:p>
        </w:tc>
        <w:tc>
          <w:tcPr>
            <w:tcW w:w="336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24"/>
                <w:szCs w:val="24"/>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$ 13,707</w:t>
            </w:r>
          </w:p>
        </w:tc>
        <w:tc>
          <w:tcPr>
            <w:tcW w:w="1120" w:type="dxa"/>
            <w:vAlign w:val="bottom"/>
            <w:gridSpan w:val="3"/>
            <w:shd w:val="clear" w:color="auto" w:fill="CCEEFF"/>
          </w:tcPr>
          <w:p>
            <w:pPr>
              <w:jc w:val="center"/>
              <w:ind w:left="122"/>
              <w:spacing w:after="0"/>
              <w:rPr>
                <w:sz w:val="20"/>
                <w:szCs w:val="20"/>
                <w:color w:val="auto"/>
              </w:rPr>
            </w:pPr>
            <w:r>
              <w:rPr>
                <w:rFonts w:ascii="Arial" w:cs="Arial" w:eastAsia="Arial" w:hAnsi="Arial"/>
                <w:sz w:val="18"/>
                <w:szCs w:val="18"/>
                <w:color w:val="auto"/>
                <w:w w:val="93"/>
              </w:rPr>
              <w:t>$ 9,170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$ 24,931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25,964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360" w:type="dxa"/>
            <w:vAlign w:val="bottom"/>
            <w:vMerge w:val="restart"/>
          </w:tcPr>
          <w:p>
            <w:pPr>
              <w:jc w:val="right"/>
              <w:ind w:right="1419"/>
              <w:spacing w:after="0"/>
              <w:rPr>
                <w:sz w:val="20"/>
                <w:szCs w:val="20"/>
                <w:color w:val="auto"/>
              </w:rPr>
            </w:pPr>
            <w:r>
              <w:rPr>
                <w:rFonts w:ascii="Arial" w:cs="Arial" w:eastAsia="Arial" w:hAnsi="Arial"/>
                <w:sz w:val="18"/>
                <w:szCs w:val="18"/>
                <w:color w:val="auto"/>
              </w:rPr>
              <w:t>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rFonts w:ascii="Arial" w:cs="Arial" w:eastAsia="Arial" w:hAnsi="Arial"/>
          <w:sz w:val="18"/>
          <w:szCs w:val="18"/>
          <w:b w:val="1"/>
          <w:bCs w:val="1"/>
          <w:color w:val="auto"/>
        </w:rPr>
      </w:pPr>
    </w:p>
    <w:p>
      <w:pPr>
        <w:ind w:left="4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stock-based compensation under the fair-value recognition provisions of ASC 718, Stock Compensation. Under these provisions, for its awards of restricted stock and restricted stock units, the Company recognizes share-based compensation expense in an amount equal to the fair market value of the underlying stock on the grant date of the respective award. This expense, net of estimated forfeitures, is recognized on a straight-line basis over the requisite service period.</w:t>
      </w:r>
    </w:p>
    <w:p>
      <w:pPr>
        <w:spacing w:after="0" w:line="62"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has reserved 6,076,001 shares of common stock for issuance or transfer under the 2010 Equity and Incentive Plan, which allows for grants of restricted stock units as well as other equity awards.</w:t>
      </w:r>
    </w:p>
    <w:p>
      <w:pPr>
        <w:spacing w:after="0" w:line="21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90" w:lineRule="exact"/>
        <w:rPr>
          <w:rFonts w:ascii="Arial" w:cs="Arial" w:eastAsia="Arial" w:hAnsi="Arial"/>
          <w:sz w:val="18"/>
          <w:szCs w:val="18"/>
          <w:b w:val="1"/>
          <w:bCs w:val="1"/>
          <w:color w:val="auto"/>
        </w:rPr>
      </w:pPr>
    </w:p>
    <w:p>
      <w:pPr>
        <w:ind w:left="460" w:right="2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During the thirteen weeks ended July 30, 2011, the Company granted a total of 3,213 restricted stock units with an aggregate fair value of $0.1 million to certain employees under the 2010 Equity and Incentive Plan. During the thirteen weeks ended April 30, 2011, the Company granted a total of 106,889 restricted stock units with an aggregate fair value of $4.4 million to certain employees and non-employee directors under the 2010 Equity and Incentive Plan. These restricted stock units vest and settle in shares of the Company’s common stock, on a one-for-one basis, in equal installments on each of the first three anniversaries of the grant date. The Company is recognizing the expense relating to these awards, net of estimated forfeitures, on a straight-line basis over three years. The Company determined the fair value of the awards based on the closing price of the Company’s common stock on the grant date.</w:t>
      </w:r>
    </w:p>
    <w:p>
      <w:pPr>
        <w:spacing w:after="0" w:line="2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a summary of restricted stock unit activity for the period ended July 30,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4"/>
          </w:tcPr>
          <w:p>
            <w:pPr>
              <w:jc w:val="center"/>
              <w:ind w:left="82"/>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(per unit)</w:t>
            </w: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units outstanding at January 29, 2011</w:t>
            </w:r>
          </w:p>
        </w:tc>
        <w:tc>
          <w:tcPr>
            <w:tcW w:w="1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110,102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(7,262)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outstanding at July 30, 2011</w:t>
            </w:r>
          </w:p>
        </w:tc>
        <w:tc>
          <w:tcPr>
            <w:tcW w:w="16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157,065</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jc w:val="both"/>
        <w:ind w:left="460" w:right="5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June 2011, the Company sold certain life insurance policies on the lives of its founders, who are also directors and officers of the Company, to the insureds at the fair market value of $0.7 million. The cash surrender value of the policies was $0.6 million, resulting in a $0.1 million gain. The cash surrender value was included in other assets prior to the sale and the gain on the sale was recorded in other income. Other life insurance policies not purchased by the insureds were terminated.</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adverse effect on the Company’s financial condition, results of operations, or cash flows.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60" w:right="2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The Indirect segment represents activity driven by revenues generated through the distribution of Company-branded products to approximately 3,300 independent retailers across the United States. The Direct segment includes the Company’s full-price, outlet, and Japanese pop-up stores, e-commerce activity driven by the Company’s websites, and the annual outlet sale. Revenues generated through this segment are driven by the sale of Company-branded products from Vera Bradley to end customers.</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IT, and various other corporate-level-activity-related expenses. All intercompany-related activities are eliminated in consolidation and are excluded from the segment reporting.</w:t>
      </w:r>
    </w:p>
    <w:p>
      <w:pPr>
        <w:spacing w:after="0" w:line="5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chief operating decision maker evaluates segment operating results based on several indicators. The primary or key performance indicators for each segment are net revenues and operating income. The table below represents key financial information for each of the Company’s reportable segments: Indirect and Direct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3"/>
              </w:rPr>
              <w:t>Thirteen Weeks Ended</w:t>
            </w:r>
          </w:p>
        </w:tc>
        <w:tc>
          <w:tcPr>
            <w:tcW w:w="80" w:type="dxa"/>
            <w:vAlign w:val="bottom"/>
          </w:tcPr>
          <w:p>
            <w:pPr>
              <w:spacing w:after="0"/>
              <w:rPr>
                <w:sz w:val="14"/>
                <w:szCs w:val="14"/>
                <w:color w:val="auto"/>
              </w:rPr>
            </w:pPr>
          </w:p>
        </w:tc>
        <w:tc>
          <w:tcPr>
            <w:tcW w:w="17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8"/>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5"/>
              </w:rPr>
              <w:t>July 30,</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5"/>
              </w:rPr>
              <w:t>July 31,</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9"/>
              </w:rPr>
              <w:t>July 30,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5"/>
              </w:rPr>
              <w:t>July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net revenues: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Indirect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55,918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47,358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113,167</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32,718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103,789</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80,076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205,179</w:t>
            </w:r>
          </w:p>
        </w:tc>
        <w:tc>
          <w:tcPr>
            <w:tcW w:w="24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165,078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Indirect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24,049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21,684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45,788</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37,094</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31,006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71,193</w:t>
            </w:r>
          </w:p>
        </w:tc>
        <w:tc>
          <w:tcPr>
            <w:tcW w:w="24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37,094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31,006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71,193</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(14,168)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(21,343)</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(29,207)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(36,299)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outside of the United States were insignificant.</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and twenty-six weeks ended July 30, 2011, and July 31, 2010. The following discussion should be read in conjunction with our Annual Report on Form 10-K for the fiscal year ended January 29, 2011, and our unaudited consolidated financial statements and the related notes included in Item 1. of this Quarterly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Vera Bradley is a leading designer, producer, marketer, and retailer of stylish, highly functional accessories for women. Our products include a wide offering of handbags, accessories, and travel and leisure items. Over our 29-year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generate revenues by selling products through two reportable segments: Indirect and Direct. As of July 30, 2011, our Indirect business consisted of sales of Vera Bradley products to approximately 3,300 independent retailers, substantially all of which are located in the United States, and to select national retailers and independent e-commerce sites. As of July 30, 2011, our Direct business consisted of sales of Vera Bradley products through our full-price, outlet, and Japanese pop-up stores, our websites, verabradley.com and verabradley.co.jp, and our annual outlet sale in Fort Wayne, Indiana. In the United States we operated 43 full-price and six outlet stores as of July 30, 2011, compared to 31 full-price stores and two outlet stores as of July 31, 2010.</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thirteen weeks ended July 30, 2011, we continued to experience strong demand for our brand across all of our sales channels, as reflected in our net revenue growth of 29.6%. In our Indirect segment, net revenues increased 18.1%, driven primarily by the strong demand of our fall product assortment and strong sales of carryover patterns from prior releases. In our Direct segment, net revenues increased 46.3%, including an increase of $9.8 million in revenues related to the opening of new stores, a $5.3 million increase in e-commerce revenues, and a comparable-store sales increase of 10.5%. Additionally, we achieved a 137.3% increase in operating income of $22.9 million for the thirteen weeks ended July 30, 2011, compared to $9.7 million in the thirteen weeks ended July 31, 2010. Operating income for the thirteen weeks ended July 31, 2010, included $6.1 million of expense associated with bonuses paid to recipients of restricted-stock awards.</w:t>
      </w:r>
    </w:p>
    <w:p>
      <w:pPr>
        <w:spacing w:after="0" w:line="14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During the twenty-six weeks, we remained focused on executing our growth strategies, which include growing in underpenetrated markets and expanding our store base and product offerings. In doing so, we opened eight full-price stores and two outlet stores. We also introduced our brand in Japan through a combination of pop-up stores and the launch of a Japanese-language website. We believe the combination of our expanding product offerings and continued growth in underpenetrated markets will lead to meaningful growth opportunities throughout the remainder of fiscal 2012.</w:t>
      </w:r>
    </w:p>
    <w:p>
      <w:pPr>
        <w:spacing w:after="0" w:line="11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Although we believe that our strategies will continue to offer significant opportunities, they also present risks and challenges. These risks and challenges include that we may not be able to effectively predict and respond to changing fashion trends and customer preferences, that we may not be able to find desirable locations for new stores, and that we may not be able to effectively manage our future growth. Addressing these risks could divert our attention from continuing to build on the strengths that we believe have driven the growth of our business, but we believe that our focus on brand identity, customer loyalty, a distinctive shopping experience, product development expertise, and company culture will contribute positively to our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Net revenues represent revenues from the sale of our merchandise and from distribution and shipping and handling fees, less returns and discounts. Revenues for the Indirect segment represent revenues from sales to our independent retailers, select national retailers, and independent e-commerce sites. Revenues for the Direct segment represent revenues from sales through our full-price, outlet, and Japanese pop-up stores, our websites, and our annual outlet sale.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Store traffic;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Gross profit is equal to our net revenues less our cost of sales. Gross margin measures gross profit as a percentage of our net revenues. Cost of sales includes the direct cost of purchased merchandise, manufactured merchandise, distribution center costs, operations overhead, duty, and all inbound freight costs incurred. The components of our reported cost of sales may not be comparable to those of other retail and wholesale companies.</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Gross profit can be impacted by changes in volume, operational efficiencies, such as leveraging of fixed costs, promotional activities, such as free shipping, and fluctuations in pricing structures.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SG&amp;A expenses fall into three categories: (1) selling; (2) advertising, marketing, and product development; and (3)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and charitable donations. SG&amp;A expenses increase as the number of stores increases, but not in the same proportion as the associated increase in revenues.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 and the gain on the sale of certain life insurance policies.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Operating income equals gross profit less SG&amp;A expenses and plus other income. Operating income excludes interest income, interest expense, and income taxes.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Prior to October 3, 2010, we were taxed as an “S” Corporation for federal income tax purposes under Section 1362 of the Internal Revenue Code, and therefore were not subject to federal and state income taxes (subject to exception in a limited number of state and local jurisdictions that do not recognize the “S” Corporation status). On October 3, 2010, our “S” Corporation status automatically terminated and we became subject to corporate-level federal and state income taxes at prevailing corporate rates.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provisions for income taxes for interim reporting periods are based on an estimate of the effective tax rate for each of the periods presented. The computation of the effective tax rate includes a forecast of our estimated ordinary income (loss), which is the annual income (loss) from operations before income tax, excluding unusual or infrequently occurring (or discrete)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97"/>
              </w:rPr>
              <w:t>Thirteen Weeks Ended</w:t>
            </w:r>
          </w:p>
        </w:tc>
        <w:tc>
          <w:tcPr>
            <w:tcW w:w="100" w:type="dxa"/>
            <w:vAlign w:val="bottom"/>
          </w:tcPr>
          <w:p>
            <w:pPr>
              <w:spacing w:after="0"/>
              <w:rPr>
                <w:sz w:val="14"/>
                <w:szCs w:val="14"/>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July 30,</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1"/>
              </w:rPr>
              <w:t>July 31,</w:t>
            </w: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5"/>
              </w:rPr>
              <w:t>July 30,</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85"/>
              </w:rPr>
              <w:t>July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87"/>
              </w:rPr>
              <w:t>(unaudited)</w:t>
            </w:r>
          </w:p>
        </w:tc>
        <w:tc>
          <w:tcPr>
            <w:tcW w:w="5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84"/>
              </w:rPr>
              <w:t>(unaudited)</w:t>
            </w:r>
          </w:p>
        </w:tc>
        <w:tc>
          <w:tcPr>
            <w:tcW w:w="5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w w:val="87"/>
              </w:rPr>
              <w:t>(unaudited)</w:t>
            </w:r>
          </w:p>
        </w:tc>
        <w:tc>
          <w:tcPr>
            <w:tcW w:w="5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0"/>
              </w:rPr>
              <w:t>(unaudited)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41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revenues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103,789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80,076</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205,179</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165,078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33,252</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89,107</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59,628</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46,824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116,072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39,120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38,697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79,109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22,926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41,986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22,597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16,484</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24,857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Percentage of Net Revenues:</w:t>
            </w: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18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0" w:type="dxa"/>
            <w:vAlign w:val="bottom"/>
            <w:vMerge w:val="restart"/>
          </w:tcPr>
          <w:p>
            <w:pPr>
              <w:jc w:val="right"/>
              <w:ind w:right="55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store data for the periods indicated ($ in thousands, except as otherwise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7"/>
              </w:rPr>
              <w:t>Thirteen Weeks Ended</w:t>
            </w:r>
          </w:p>
        </w:tc>
        <w:tc>
          <w:tcPr>
            <w:tcW w:w="100" w:type="dxa"/>
            <w:vAlign w:val="bottom"/>
          </w:tcPr>
          <w:p>
            <w:pPr>
              <w:spacing w:after="0"/>
              <w:rPr>
                <w:sz w:val="14"/>
                <w:szCs w:val="14"/>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July 30,</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July 31,</w:t>
            </w: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July 30,</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July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87"/>
              </w:rPr>
              <w:t>(unaudited)</w:t>
            </w:r>
          </w:p>
        </w:tc>
        <w:tc>
          <w:tcPr>
            <w:tcW w:w="540" w:type="dxa"/>
            <w:vAlign w:val="bottom"/>
            <w:gridSpan w:val="2"/>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87"/>
              </w:rPr>
              <w:t>(unaudited)</w:t>
            </w:r>
          </w:p>
        </w:tc>
        <w:tc>
          <w:tcPr>
            <w:tcW w:w="5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7"/>
              </w:rPr>
              <w:t>(unaudited)</w:t>
            </w:r>
          </w:p>
        </w:tc>
        <w:tc>
          <w:tcPr>
            <w:tcW w:w="5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0"/>
              </w:rPr>
              <w:t>(unaudited)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by Segment: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Indirect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55,918</w:t>
            </w:r>
          </w:p>
        </w:tc>
        <w:tc>
          <w:tcPr>
            <w:tcW w:w="5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$ 47,358</w:t>
            </w:r>
          </w:p>
        </w:tc>
        <w:tc>
          <w:tcPr>
            <w:tcW w:w="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$ 113,167</w:t>
            </w:r>
          </w:p>
        </w:tc>
        <w:tc>
          <w:tcPr>
            <w:tcW w:w="5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$101,532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32,718</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92,012</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103,789</w:t>
            </w:r>
          </w:p>
        </w:tc>
        <w:tc>
          <w:tcPr>
            <w:tcW w:w="5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$ 80,076</w:t>
            </w:r>
          </w:p>
        </w:tc>
        <w:tc>
          <w:tcPr>
            <w:tcW w:w="56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205,179</w:t>
            </w:r>
          </w:p>
        </w:tc>
        <w:tc>
          <w:tcPr>
            <w:tcW w:w="5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165,078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7"/>
              </w:rPr>
              <w:t>Thirteen Weeks Ended</w:t>
            </w:r>
          </w:p>
        </w:tc>
        <w:tc>
          <w:tcPr>
            <w:tcW w:w="100" w:type="dxa"/>
            <w:vAlign w:val="bottom"/>
          </w:tcPr>
          <w:p>
            <w:pPr>
              <w:spacing w:after="0"/>
              <w:rPr>
                <w:sz w:val="24"/>
                <w:szCs w:val="24"/>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July 30,</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July 31,</w:t>
            </w: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July 30,</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July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87"/>
              </w:rPr>
              <w:t>(unaudited)</w:t>
            </w:r>
          </w:p>
        </w:tc>
        <w:tc>
          <w:tcPr>
            <w:tcW w:w="540" w:type="dxa"/>
            <w:vAlign w:val="bottom"/>
            <w:gridSpan w:val="2"/>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87"/>
              </w:rPr>
              <w:t>(unaudited)</w:t>
            </w:r>
          </w:p>
        </w:tc>
        <w:tc>
          <w:tcPr>
            <w:tcW w:w="5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7"/>
              </w:rPr>
              <w:t>(unaudited)</w:t>
            </w:r>
          </w:p>
        </w:tc>
        <w:tc>
          <w:tcPr>
            <w:tcW w:w="5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0"/>
              </w:rPr>
              <w:t>(unaudited)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Revenues by Segment: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Indirect</w:t>
            </w:r>
          </w:p>
        </w:tc>
        <w:tc>
          <w:tcPr>
            <w:tcW w:w="10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Data: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stores open at end of period</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Comparable-store sales increase (2)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gross square footage at end of period</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95,016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61,487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95,016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Average net revenues per gross square foot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data include only our full-price and outlet stores.</w:t>
      </w:r>
    </w:p>
    <w:p>
      <w:pPr>
        <w:spacing w:after="0" w:line="15" w:lineRule="exact"/>
        <w:rPr>
          <w:rFonts w:ascii="Arial" w:cs="Arial" w:eastAsia="Arial" w:hAnsi="Arial"/>
          <w:sz w:val="18"/>
          <w:szCs w:val="18"/>
          <w:color w:val="auto"/>
        </w:rPr>
      </w:pPr>
    </w:p>
    <w:p>
      <w:pPr>
        <w:ind w:left="460" w:right="100" w:hanging="452"/>
        <w:spacing w:after="0" w:line="300"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5"/>
          <w:szCs w:val="15"/>
          <w:color w:val="auto"/>
        </w:rPr>
      </w:pPr>
    </w:p>
    <w:p>
      <w:pPr>
        <w:ind w:left="460" w:right="4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9" w:lineRule="exact"/>
        <w:rPr>
          <w:sz w:val="20"/>
          <w:szCs w:val="20"/>
          <w:color w:val="auto"/>
        </w:rPr>
      </w:pPr>
    </w:p>
    <w:p>
      <w:pPr>
        <w:ind w:right="4820"/>
        <w:spacing w:after="0" w:line="347" w:lineRule="auto"/>
        <w:rPr>
          <w:sz w:val="20"/>
          <w:szCs w:val="20"/>
          <w:color w:val="auto"/>
        </w:rPr>
      </w:pPr>
      <w:r>
        <w:rPr>
          <w:rFonts w:ascii="Arial" w:cs="Arial" w:eastAsia="Arial" w:hAnsi="Arial"/>
          <w:sz w:val="18"/>
          <w:szCs w:val="18"/>
          <w:b w:val="1"/>
          <w:bCs w:val="1"/>
          <w:color w:val="auto"/>
        </w:rPr>
        <w:t xml:space="preserve">Thirteen Weeks Ended July 30, 2011, Compared to Thirteen Weeks Ended July 31, 2010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thirteen weeks ended July 30, 2011, net revenues increased $23.7 million, or 29.6%, to $103.8 million, from $80.1 million in the comparable prior-year period.</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July 30, 2011, net revenues in the Indirect segment increased $8.6 million, or 18.1%, to $55.9 million, from $47.4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comparable prior-year period, due to increased sales volume to our Indirect retailers, driven by strong demand of our fall product assortment and strong sales of carryover patterns from prior releases.</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July 30, 2011, net revenues in the Direct segment increased $15.2 million, or 46.3%, to $47.9 million, from $32.7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comparable prior-year period. This growth resulted from a $9.8 million increase in revenues related to the opening of new stores, a $5.3 million increase in e-commerce revenues due primarily to greater traffic resulting from marketing initiatives, a comparable-store sales increase of $1.4 million, or 10.5%, and a decrease of $1.3 million in outlet-sale revenues due to the timing of the sale. In the current year, each day of the outlet sale occurred during the first fiscal quarter, whereas in the prior-year, one day of the outlet sale occurred during the second fiscal quarter. The aggregate number of our full-price and outlet stores grew from 33 at July 31, 2010, to 49 at July 30, 2011.</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For the thirteen weeks ended July 30, 2011, gross profit increased $12.8 million, or 27.4%, to $59.6 million, from $46.8 million in the comparable prior-year period. As a percentage of net revenues, gross profit decreased to 57.5% for the thirteen weeks ended July 30, 2011, from 58.5% in the comparable prior-year period. The decrease in gross margin resulted primarily from higher input costs and to better alignment of operational costs, offset in part by lower e-commerce and store supply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For the thirteen weeks ended July 30, 2011, SG&amp;A expenses increased $0.4 million, or 1.1%, to $39.1 million, from $38.7 million in the comparable prior-year period. As a percentage of net revenues, SG&amp;A expenses were 37.7% and 48.3% for the fiscal quarters ended July 30, 2011, and July 31, 2010, respectively.</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thirteen weeks ended July 30, 2011, selling expenses increased $6.6 million, or 39.8%, to $23.2 million, from $16.6 million in the comparable prior-year period. As a percentage of net revenues, selling expenses were 22.3% and 20.7% for the fiscal quarters ended July 30, 2011, and July 31, 2010, respectively. The increase in selling expenses was due primarily to higher store operational expenses resulting from our increased store count and to costs associated with our market entry into Japan.</w:t>
      </w:r>
    </w:p>
    <w:p>
      <w:pPr>
        <w:spacing w:after="0" w:line="143" w:lineRule="exact"/>
        <w:rPr>
          <w:sz w:val="20"/>
          <w:szCs w:val="20"/>
          <w:color w:val="auto"/>
        </w:rPr>
      </w:pPr>
    </w:p>
    <w:p>
      <w:pPr>
        <w:ind w:right="340"/>
        <w:spacing w:after="0" w:line="305" w:lineRule="auto"/>
        <w:rPr>
          <w:sz w:val="20"/>
          <w:szCs w:val="20"/>
          <w:color w:val="auto"/>
        </w:rPr>
      </w:pPr>
      <w:r>
        <w:rPr>
          <w:rFonts w:ascii="Arial" w:cs="Arial" w:eastAsia="Arial" w:hAnsi="Arial"/>
          <w:sz w:val="15"/>
          <w:szCs w:val="15"/>
          <w:color w:val="auto"/>
        </w:rPr>
        <w:t>For the thirteen weeks ended July 30, 2011, advertising, marketing, and product development expenses decreased $0.5 million, or 7.1%, to $6.6 million, from $7.1 million in the comparable prior-year period. As a percentage of net revenues, advertising, marketing, and product development expenses were 6.4% and</w:t>
      </w:r>
    </w:p>
    <w:p>
      <w:pPr>
        <w:ind w:right="160"/>
        <w:spacing w:after="0" w:line="255" w:lineRule="auto"/>
        <w:rPr>
          <w:sz w:val="20"/>
          <w:szCs w:val="20"/>
          <w:color w:val="auto"/>
        </w:rPr>
      </w:pPr>
      <w:r>
        <w:rPr>
          <w:rFonts w:ascii="Arial" w:cs="Arial" w:eastAsia="Arial" w:hAnsi="Arial"/>
          <w:sz w:val="18"/>
          <w:szCs w:val="18"/>
          <w:color w:val="auto"/>
        </w:rPr>
        <w:t>8.9% for the fiscal quarters ended July 30, 2011, and July 31, 2010, respectively. The decrease in these expenses resulted primarily from a decline in advertising costs associated with national advertising in the prior-year period, offset in part by an increase in the number of direct mailers we distributed on behalf of our independent retailers in the current period.</w:t>
      </w:r>
    </w:p>
    <w:p>
      <w:pPr>
        <w:spacing w:after="0" w:line="144"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For the thirteen weeks ended July 30, 2011, administrative expenses decreased $5.7 million, or 37.8%, to $9.3 million, from $15.0 million in the comparable prior-year period. As a percentage of net revenues, administrative expenses were 9.0% and 18.8% for the fiscal quarters ended July 30, 2011, and July 31, 2010, respectively. The decrease in administrative expenses was due primarily to a decline in bonus expense driven by the $6.1 million of expense associated with bonuses paid to recipients of restricted-stock awards in the same period of the prior-year, and to a decline in professional fees as a result of our IPO-readiness efforts in the prior-year period. The reduced expenses were offset in part by higher corporate personnel and other costs necessary to support our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thirteen weeks ended July 30, 2011, other income increased $0.9 million, or 57.3%, to $2.4 million, from $1.5 million in the comparable prior-year period, due to increased reimbursement of our advertising expenses by our independent retailers.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the thirteen weeks ended July 30, 2011, operating income increased $13.3 million, or 137.3%, to $22.9 million, from $9.7 million in the comparable prior-year period. As a percentage of net revenues, operating income was 22.1% and 12.1% for the thirteen weeks ended July 30, 2011, and July 31, 2010, respectively. This increase as a percentage of net revenues was primarily due to the previously discussed $6.1 million of expense associated with bonuses paid to recipients of restricted-stock awards in the prior-year period, and sales driven leverage of SG&amp;A in the current period, offset in part in the current period by the decline in gross margin and the costs associated with our market entry into Japan, as previously discussed ($ in thousands):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July 30,</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8"/>
              <w:spacing w:after="0" w:line="129" w:lineRule="exact"/>
              <w:rPr>
                <w:sz w:val="20"/>
                <w:szCs w:val="20"/>
                <w:color w:val="auto"/>
              </w:rPr>
            </w:pPr>
            <w:r>
              <w:rPr>
                <w:rFonts w:ascii="Arial" w:cs="Arial" w:eastAsia="Arial" w:hAnsi="Arial"/>
                <w:sz w:val="14"/>
                <w:szCs w:val="14"/>
                <w:b w:val="1"/>
                <w:bCs w:val="1"/>
                <w:color w:val="auto"/>
                <w:w w:val="85"/>
              </w:rPr>
              <w:t>July 31,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66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3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Indirect</w:t>
            </w:r>
          </w:p>
        </w:tc>
        <w:tc>
          <w:tcPr>
            <w:tcW w:w="3940" w:type="dxa"/>
            <w:vAlign w:val="bottom"/>
            <w:gridSpan w:val="3"/>
          </w:tcPr>
          <w:p>
            <w:pPr>
              <w:jc w:val="right"/>
              <w:ind w:right="260"/>
              <w:spacing w:after="0"/>
              <w:rPr>
                <w:sz w:val="20"/>
                <w:szCs w:val="20"/>
                <w:color w:val="auto"/>
              </w:rPr>
            </w:pPr>
            <w:r>
              <w:rPr>
                <w:rFonts w:ascii="Arial" w:cs="Arial" w:eastAsia="Arial" w:hAnsi="Arial"/>
                <w:sz w:val="18"/>
                <w:szCs w:val="18"/>
                <w:color w:val="auto"/>
              </w:rPr>
              <w:t>$ 24,049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21,684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2,365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30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3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$ 37,094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31,006</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6,088</w:t>
            </w:r>
          </w:p>
        </w:tc>
        <w:tc>
          <w:tcPr>
            <w:tcW w:w="1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3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Corporate unallocated</w:t>
            </w:r>
          </w:p>
        </w:tc>
        <w:tc>
          <w:tcPr>
            <w:tcW w:w="30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(14,168)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(21,343)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7,175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$ 22,926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13,263</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20" w:type="dxa"/>
            <w:vAlign w:val="bottom"/>
            <w:vMerge w:val="restart"/>
          </w:tcPr>
          <w:p>
            <w:pPr>
              <w:jc w:val="right"/>
              <w:ind w:right="959"/>
              <w:spacing w:after="0"/>
              <w:rPr>
                <w:sz w:val="20"/>
                <w:szCs w:val="20"/>
                <w:color w:val="auto"/>
              </w:rPr>
            </w:pPr>
            <w:r>
              <w:rPr>
                <w:rFonts w:ascii="Arial" w:cs="Arial" w:eastAsia="Arial" w:hAnsi="Arial"/>
                <w:sz w:val="18"/>
                <w:szCs w:val="18"/>
                <w:color w:val="auto"/>
              </w:rPr>
              <w:t>16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July 30, 2011, operating income in the Indirect segment increased $2.4 million, or 10.9%. This increase resulted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from an increase in revenue and sales driven leverage SG&amp;A, offset in part by a decline in gross margin as previously discussed.</w:t>
      </w:r>
    </w:p>
    <w:p>
      <w:pPr>
        <w:spacing w:after="0" w:line="8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July 30, 2011, operating income in the Direct segment increased $3.7 million, or 39.9%, due to an increase in gross profit,</w:t>
      </w:r>
      <w:r>
        <w:rPr>
          <w:rFonts w:ascii="Arial" w:cs="Arial" w:eastAsia="Arial" w:hAnsi="Arial"/>
          <w:sz w:val="16"/>
          <w:szCs w:val="16"/>
          <w:i w:val="1"/>
          <w:iCs w:val="1"/>
          <w:color w:val="auto"/>
        </w:rPr>
        <w:t xml:space="preserve"> </w:t>
      </w:r>
      <w:r>
        <w:rPr>
          <w:rFonts w:ascii="Arial" w:cs="Arial" w:eastAsia="Arial" w:hAnsi="Arial"/>
          <w:sz w:val="16"/>
          <w:szCs w:val="16"/>
          <w:color w:val="auto"/>
        </w:rPr>
        <w:t>offset in part by increased selling expenses related to store operational costs and our market entry into Japan, as previously discussed.</w:t>
      </w:r>
    </w:p>
    <w:p>
      <w:pPr>
        <w:spacing w:after="0" w:line="8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i w:val="1"/>
          <w:iCs w:val="1"/>
          <w:color w:val="auto"/>
        </w:rPr>
        <w:t>Corporate Unallocated</w:t>
      </w:r>
      <w:r>
        <w:rPr>
          <w:rFonts w:ascii="Arial" w:cs="Arial" w:eastAsia="Arial" w:hAnsi="Arial"/>
          <w:sz w:val="16"/>
          <w:szCs w:val="16"/>
          <w:color w:val="auto"/>
        </w:rPr>
        <w:t>. For the thirteen weeks ended July 30, 2011, unallocated expenses decreased $7.2 million, or 33.6%, primarily as a result of bonuses paid</w:t>
      </w:r>
      <w:r>
        <w:rPr>
          <w:rFonts w:ascii="Arial" w:cs="Arial" w:eastAsia="Arial" w:hAnsi="Arial"/>
          <w:sz w:val="16"/>
          <w:szCs w:val="16"/>
          <w:i w:val="1"/>
          <w:iCs w:val="1"/>
          <w:color w:val="auto"/>
        </w:rPr>
        <w:t xml:space="preserve"> </w:t>
      </w:r>
      <w:r>
        <w:rPr>
          <w:rFonts w:ascii="Arial" w:cs="Arial" w:eastAsia="Arial" w:hAnsi="Arial"/>
          <w:sz w:val="16"/>
          <w:szCs w:val="16"/>
          <w:color w:val="auto"/>
        </w:rPr>
        <w:t>to recipients of restricted-stock awards in the prior-year period and an increase in other income in the current period as previously discussed.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Net interest expense was $0.3 million for each period presented, with lower average borrowing rates offsetting higher average borrowing levels during the thirteen weeks ended July 30, 2011, relative to the thirteen weeks ended July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Our effective tax rate for the thirteen weeks ended July 30, 2011, was 39.6%, compared to 1.7% for the thirteen weeks ended July 31, 2010. The increase in the effective tax rate resulted primarily from our conversion to a “C” Corporation in connection with our initial public offering in October 2010.</w:t>
      </w:r>
    </w:p>
    <w:p>
      <w:pPr>
        <w:spacing w:after="0" w:line="85"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effective tax rate for the thirteen weeks ended July 30, 2011, was negatively impacted by the net operating loss incurred by our recently formed Japanese subsidiary, for which no tax benefit was recorded. The valuation allowance recorded against the deferred tax asset arising from the net operating loss of our Japanese subsidiary increased the effective tax rate by 1.9% for the thirteen weeks ended July 30, 2011.</w:t>
      </w:r>
    </w:p>
    <w:p>
      <w:pPr>
        <w:spacing w:after="0" w:line="182" w:lineRule="exact"/>
        <w:rPr>
          <w:sz w:val="20"/>
          <w:szCs w:val="20"/>
          <w:color w:val="auto"/>
        </w:rPr>
      </w:pPr>
    </w:p>
    <w:p>
      <w:pPr>
        <w:ind w:right="4440"/>
        <w:spacing w:after="0" w:line="347" w:lineRule="auto"/>
        <w:rPr>
          <w:sz w:val="20"/>
          <w:szCs w:val="20"/>
          <w:color w:val="auto"/>
        </w:rPr>
      </w:pPr>
      <w:r>
        <w:rPr>
          <w:rFonts w:ascii="Arial" w:cs="Arial" w:eastAsia="Arial" w:hAnsi="Arial"/>
          <w:sz w:val="18"/>
          <w:szCs w:val="18"/>
          <w:b w:val="1"/>
          <w:bCs w:val="1"/>
          <w:color w:val="auto"/>
        </w:rPr>
        <w:t xml:space="preserve">Twenty-Six Weeks Ended July 30, 2011, Compared to Twenty-Six Weeks Ended July 31, 2010 </w:t>
      </w:r>
      <w:r>
        <w:rPr>
          <w:rFonts w:ascii="Arial" w:cs="Arial" w:eastAsia="Arial" w:hAnsi="Arial"/>
          <w:sz w:val="18"/>
          <w:szCs w:val="18"/>
          <w:i w:val="1"/>
          <w:iCs w:val="1"/>
          <w:color w:val="auto"/>
        </w:rPr>
        <w:t>Net Revenues</w:t>
      </w:r>
    </w:p>
    <w:p>
      <w:pPr>
        <w:spacing w:after="0" w:line="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For the twenty-six weeks ended July 30, 2011, net revenues increased $40.1 million, or 24.3%, to $205.2 million, from $165.1 million in the comparable prior-year period.</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twenty-six weeks ended July 30, 2011, net revenues in the Indirect segment increased $11.6 million, or 11.5%, to $113.2 million, from $101.5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due to increased sales volume to our Indirect retailers, driven by strong demand of our fall product assortment and strong sales of carryover patterns from prior releases.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twenty-six weeks ended July 30, 2011, net revenues in the Direct segment increased $28.5 million, or 44.8%, to $92.0 million, from $63.5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comparable prior-year period. This growth resulted from a $15.9 million increase in revenues related to the opening of new stores, a $9.7 million increase in e-commerce revenues due primarily to greater traffic resulting from marketing initiatives and a comparable-store sales increase of $3.2 million, or 14.9%, offset in part by a decrease of $0.3 million in outlet-sale revenues. The aggregate number of our full-price and outlet stores grew from 33 at July 31, 2010, to 49 at July 30,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twenty-six weeks ended July 30, 2011, gross profit increased $20.5 million, or 21.4%, to $116.1 million, from $95.6 million in the comparable prior-year period. As a percentage of net revenues, gross profit decreased to 56.6% for the twenty-six weeks ended July 30, 2011, from 57.9% in the comparable prior-year period. The decrease in gross margin resulted primarily to better alignment of operational costs, offset in part by an overall revenue mix shift toward higher-margin, Direct segment net revenues.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the twenty-six weeks ended July 30, 2011, SG&amp;A expenses increased $6.5 million, or 9.0%, to $79.1 million, from $72.6 million in the comparable prior-year period. As a percentage of net revenues, SG&amp;A expenses were 38.6% and 44.0% for the fiscal quarters ended July 30, 2011, and July 31, 2010, respectively.</w:t>
      </w:r>
    </w:p>
    <w:p>
      <w:pPr>
        <w:spacing w:after="0" w:line="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For the twenty-six weeks ended July 30, 2011, selling expenses increased $12.2 million, or 35.6%, to $46.3 million, from $34.1 million in the comparable prior-year period. As a percentage of net revenues, selling expenses were 22.6% and 20.7% for the twenty-six weeks ended July 30, 2011, and July 31, 2010, respectively. The increase in selling expenses was due primarily to higher store operational expenses resulting from our increased store count and to costs associated with our market entry into Japan.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twenty-six weeks ended July 30, 2011, advertising, marketing, and product development expenses decreased $0.9 million, or 5.9%, to $13.6 million, from $14.4 million in the comparable prior-year period. As a percentage of net revenues, advertising, marketing, and product development expenses were 6.6% and 8.8% for the twenty-six weeks ended July 30, 2011, and July 31, 2010, respectively. The decrease in these expenses resulted primarily from a decline in the number of catalogs and direct mailers we distributed on behalf of our independent retailers, offset in part by increased product development costs.</w:t>
      </w:r>
    </w:p>
    <w:p>
      <w:pPr>
        <w:spacing w:after="0" w:line="11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For the twenty-six weeks ended July 30, 2011, administrative expenses decreased $4.8 million, or 19.9%, to $19.2 million, from $24.0 million in the comparable prior-year period. As a percentage of net revenues, administrative expenses were 9.4% and 14.5% for the twenty-six weeks ended July 30, 2011, and July 31, 2010, respectively. The decrease in administrative expenses was due primarily to a decline in bonus expense driven by the $6.1 million of expense associated with bonuses paid to recipients of restricted-stock awards in the same period of the prior-year, and to a decline in professional fees as a result of our IPO-readiness efforts in the prior-year period. The reduced expenses were offset in part by higher corporate personnel and other costs necessary to support our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the twenty-six weeks ended July 30, 2011, other income increased $1.1 million, or 28.4%, to $5.0 million, from $3.9 million in the comparable prior-year period, due to increased reimbursement of our advertising expenses by our independent retailers.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For the twenty-six weeks ended July 30, 2011, operating income increased $15.0 million, or 55.7%, to $42.0 million, from $27.0 million in the comparable prior-year period. As a percentage of net revenues, operating income was 20.5% and 16.3% for the twenty-six weeks ended July 30, 2011, and July 31, 2010, respectively. This increase as a percentage of net revenues was primarily due to the previously discussed $6.1 million of expense associated with bonuses paid to recipients of restricted-stock awards in the prior-year period and to sales driven leverage of SG&amp;A in the current period, offset in part by the decline in gross margin and the costs associated with our market entry into Japan, as previously discussed ($ in thousands):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7"/>
              </w:rPr>
              <w:t>Twenty-Six Weeks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July 30,</w:t>
            </w: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July 31,</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8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Indirect</w:t>
            </w:r>
          </w:p>
        </w:tc>
        <w:tc>
          <w:tcPr>
            <w:tcW w:w="3240" w:type="dxa"/>
            <w:vAlign w:val="bottom"/>
            <w:gridSpan w:val="3"/>
          </w:tcPr>
          <w:p>
            <w:pPr>
              <w:jc w:val="right"/>
              <w:ind w:right="300"/>
              <w:spacing w:after="0"/>
              <w:rPr>
                <w:sz w:val="20"/>
                <w:szCs w:val="20"/>
                <w:color w:val="auto"/>
              </w:rPr>
            </w:pPr>
            <w:r>
              <w:rPr>
                <w:rFonts w:ascii="Arial" w:cs="Arial" w:eastAsia="Arial" w:hAnsi="Arial"/>
                <w:sz w:val="18"/>
                <w:szCs w:val="18"/>
                <w:color w:val="auto"/>
              </w:rPr>
              <w:t>$ 45,788</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$ 44,219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1,569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25,405</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3240" w:type="dxa"/>
            <w:vAlign w:val="bottom"/>
            <w:gridSpan w:val="3"/>
          </w:tcPr>
          <w:p>
            <w:pPr>
              <w:jc w:val="right"/>
              <w:ind w:right="300"/>
              <w:spacing w:after="0"/>
              <w:rPr>
                <w:sz w:val="20"/>
                <w:szCs w:val="20"/>
                <w:color w:val="auto"/>
              </w:rPr>
            </w:pPr>
            <w:r>
              <w:rPr>
                <w:rFonts w:ascii="Arial" w:cs="Arial" w:eastAsia="Arial" w:hAnsi="Arial"/>
                <w:sz w:val="18"/>
                <w:szCs w:val="18"/>
                <w:color w:val="auto"/>
              </w:rPr>
              <w:t>$ 71,193</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$ 63,263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7,930</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Corporate unallocated</w:t>
            </w:r>
          </w:p>
        </w:tc>
        <w:tc>
          <w:tcPr>
            <w:tcW w:w="2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(29,207)</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(36,299)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7,092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$ 41,986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$ 26,964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15,022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twenty-six weeks ended July 30, 2011, operating income in the Indirect segment increased $1.6 million, or 3.6%. This increase resulted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from an increase in revenue and sales driven leverage SG&amp;A, offset in part by decline in gross margin as previously discussed.</w:t>
      </w:r>
    </w:p>
    <w:p>
      <w:pPr>
        <w:spacing w:after="0" w:line="8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twenty-six weeks ended July 30, 2011, operating income in the Direct segment increased $6.4 million, or 33.4%, due to an increase in gross profit,</w:t>
      </w:r>
      <w:r>
        <w:rPr>
          <w:rFonts w:ascii="Arial" w:cs="Arial" w:eastAsia="Arial" w:hAnsi="Arial"/>
          <w:sz w:val="16"/>
          <w:szCs w:val="16"/>
          <w:i w:val="1"/>
          <w:iCs w:val="1"/>
          <w:color w:val="auto"/>
        </w:rPr>
        <w:t xml:space="preserve"> </w:t>
      </w:r>
      <w:r>
        <w:rPr>
          <w:rFonts w:ascii="Arial" w:cs="Arial" w:eastAsia="Arial" w:hAnsi="Arial"/>
          <w:sz w:val="16"/>
          <w:szCs w:val="16"/>
          <w:color w:val="auto"/>
        </w:rPr>
        <w:t>offset in part by increased selling expenses related to store operational costs and our market entry into Japan, as previously discussed.</w:t>
      </w:r>
    </w:p>
    <w:p>
      <w:pPr>
        <w:spacing w:after="0" w:line="8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i w:val="1"/>
          <w:iCs w:val="1"/>
          <w:color w:val="auto"/>
        </w:rPr>
        <w:t>Corporate Unallocated</w:t>
      </w:r>
      <w:r>
        <w:rPr>
          <w:rFonts w:ascii="Arial" w:cs="Arial" w:eastAsia="Arial" w:hAnsi="Arial"/>
          <w:sz w:val="16"/>
          <w:szCs w:val="16"/>
          <w:color w:val="auto"/>
        </w:rPr>
        <w:t>. For the twenty-six weeks ended July 30, 2011, unallocated expenses decreased $7.1 million, or 19.5%, primarily as a result of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paid to recipients of restricted-stock awards in the prior-year period and an increase in other income in the current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Net interest expense was $0.6 million for each period presented, with lower average borrowing rates offsetting higher average borrowing levels during the twenty-six weeks ended July 30, 2011, relative to the twenty-six weeks ended July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Our effective tax rate for the twenty-six weeks ended July 30, 2011, was 39.9%, compared to 1.4% for the twenty-six weeks ended July 31, 2010. The increase in the effective tax rate resulted primarily from our conversion to a “C” Corporation in connection with our initial public offering in October 2010.</w:t>
      </w:r>
    </w:p>
    <w:p>
      <w:pPr>
        <w:spacing w:after="0" w:line="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effective tax rate for the twenty-six weeks ended July 30, 2011, was negatively impacted by the non-deductibility of expenses related to the April 2011 secondary offering and by the net operating loss incurred by our recently formed Japanese subsidiary, for which no tax benefit was recorded. The non-deductibility of the secondary offering expenses increased the effective tax rate by approximately 0.5% for the twenty-six weeks ended July 30, 2011. The secondary offering expenses were recorded as a discrete event in the effective tax rate in the thirteen weeks ended April 30, 2011. The valuation allowance recorded against the deferred tax asset arising from the net operating loss of our Japanese subsidiary also increased the effective tax rate by 1.5% for the twenty-six weeks ended July 30,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primary source of liquidity is cash flow from operations. We also have access to additional liquidity, if needed, through borrowings under our $125 million amended and restated credit agreement. Historically, our primary cash needs have been for merchandise inventories, payroll, store rent, capital expenditures associated with opening new stores, debt repayments, operational equipment, information technology, and quarterly shareholder distributions to cover estimated tax payments. The most significant components of our working capital are cash and cash equivalents, merchandise inventories, accounts receivable, accounts payable, and other current liabilities. We do not believe that the expansion of our Direct business will materially alter the nature and levels of our accounts receivable and inventories, or require materially increased borrowings under our amended and restated credit agreement, in the near future. Further, as a result of our conversion to a “C” Corporation, we no longer make tax distributions to shareholders, but we now are required to make quarterly income tax payments to various taxing authorities.</w:t>
      </w:r>
    </w:p>
    <w:p>
      <w:pPr>
        <w:spacing w:after="0" w:line="118"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including expansion of our Direct business, and debt payments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Twenty-Six Weeks Ended</w:t>
            </w:r>
          </w:p>
        </w:tc>
      </w:tr>
      <w:tr>
        <w:trPr>
          <w:trHeight w:val="129"/>
        </w:trPr>
        <w:tc>
          <w:tcPr>
            <w:tcW w:w="5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7"/>
              </w:rPr>
              <w:t>July 30,</w:t>
            </w: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July 31,</w:t>
            </w:r>
          </w:p>
        </w:tc>
        <w:tc>
          <w:tcPr>
            <w:tcW w:w="120" w:type="dxa"/>
            <w:vAlign w:val="bottom"/>
          </w:tcPr>
          <w:p>
            <w:pPr>
              <w:spacing w:after="0"/>
              <w:rPr>
                <w:sz w:val="11"/>
                <w:szCs w:val="11"/>
                <w:color w:val="auto"/>
              </w:rPr>
            </w:pPr>
          </w:p>
        </w:tc>
      </w:tr>
      <w:tr>
        <w:trPr>
          <w:trHeight w:val="161"/>
        </w:trPr>
        <w:tc>
          <w:tcPr>
            <w:tcW w:w="5120" w:type="dxa"/>
            <w:vAlign w:val="bottom"/>
          </w:tcPr>
          <w:p>
            <w:pPr>
              <w:spacing w:after="0"/>
              <w:rPr>
                <w:sz w:val="14"/>
                <w:szCs w:val="14"/>
                <w:color w:val="auto"/>
              </w:rPr>
            </w:pPr>
          </w:p>
        </w:tc>
        <w:tc>
          <w:tcPr>
            <w:tcW w:w="220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92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$(11,778)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$ 23,051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gridSpan w:val="3"/>
          </w:tcPr>
          <w:p>
            <w:pPr>
              <w:jc w:val="right"/>
              <w:ind w:right="260"/>
              <w:spacing w:after="0"/>
              <w:rPr>
                <w:sz w:val="20"/>
                <w:szCs w:val="20"/>
                <w:color w:val="auto"/>
              </w:rPr>
            </w:pPr>
            <w:r>
              <w:rPr>
                <w:rFonts w:ascii="Arial" w:cs="Arial" w:eastAsia="Arial" w:hAnsi="Arial"/>
                <w:sz w:val="18"/>
                <w:szCs w:val="18"/>
                <w:color w:val="auto"/>
              </w:rPr>
              <w:t>(6,526)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(4,795)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(17,173)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90"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Operating activities consist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Net cash used in operating activities for the twenty-six weeks ended July 30, 2011, was $11.8 million, compared to net cash provided by operating activities of $23.1 million for the twenty-six weeks ended July 31, 2010. The $34.9 million decrease in cash provided by operating activities was due primarily to the increased use of cash of $16.2 million in accrued liabilities due primarily to tax and bonus payments, $15.8 million in accounts receivable due to higher sales driven by the fall release, and $3.1 million in inventory.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operational equipment, and information technology investments.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used in investing activities was $6.5 million and $4.8 million for the twenty-six weeks ended July 30, 2011, and July 31, 2010, respectively. The $1.7 million increase in capital expenditures was due primarily to increased investments in new stores, including the opening of ten stores during the twenty-six weeks ended July 30, 2011, compared to six stores during the twenty-six weeks ended July 31, 2010, investments related to our market entry into Japan, and information technology investments.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2012 are expected to be approximately $15.0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Financing activities consist primarily of borrowings and repayments under our credit agreement and, prior to our conversion to a “C” Corporation in October 2010, to fund tax distributions to our shareholders.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cash provided by financing activities was $5.1 million for the twenty-six weeks ended July 30, 2011, resulting primarily from $4.7 million of net borrowings under our amended and restated credit agreement.</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Net cash used in financing activities was $17.2 million for the twenty-six weeks ended July 31, 2010, resulting primarily from $20.2 million of distributions to our shareholders to fund tax liabilities due to our “S” Corporation status, offset in part by net borrowings of $3.0 million under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October 4, 2010, Vera Bradley Designs, Inc. entered into an amended and restated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the Company’s assets. The credit agreement is also guaranteed by Vera Bradley, Inc. and its subsidiaries (other than Vera Bradley Designs, Inc.).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July 30, 2011.</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credit agreement bear interest at either LIBOR plus the applicable margin (ranging from 1.05% to 2.05%) or the alternate base rate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agreement) plus the applicable margin (ranging from 0.05% to 1.05%). The applicable margin is tied to the Company’s leverage ratio.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required to pay a quarterly facility fee (as defined in the agreement) ranging from 0.20% to 0.45% of the revolving credit commitment.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30, 2011, the weighted-average interest rate on outstanding borrowings under the credit agreement was 1.2749%. The Company had borrowing availability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$53.6 million under the agreement as of July 30,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29, 2011.</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of the Company’s accounting policies and estimates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section beginning on page 42 of the Company’s Annual Report on Form 10-K for the fiscal year ended January 29, 2011. As discussed in Note 7 to the consolidated financial statements in this Quarterly Report, in March 2011, the Company granted restricted stock units with an aggregate fair value of $4.4 million to certain employees and non-employee directors. As a result of these awards, the Company’s accounting for stock-based compensation relating to equity awards granted subsequent to its initial public offering – that is, public-company equity and incentive grants – became a critical accounting policy. Previously, the Company’s accounting for stock-based compensation relating to equity awards granted prior to its initial public offering – that is, private-company equity and incentive grants – was a critical accounting policy. As of July 30, 2011, other than this change, there was no significant change to any of the critical accounting policies and estimates described in the Annual Report.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accounts for stock-based compensation under the fair-value recognition provisions of ASC 718, Stock Compensation. Under these provisions, for its awards of restricted stock and restricted stock units, the Company recognizes share-based compensation expense in an amount equal to the fair market value of the underlying stock on the grant date of the respective award. This expense, net of estimated forfeitures, is recognized on a straight-line basis over the requisite service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July 30, 2011, there was no material change in the market risks described in “Quantitative and Qualitative Disclosures About Market Risks” on page 45 of the Company’s Annual Report on Form 10-K for the fiscal year ended January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and Administrative Officer, of the effectiveness of the design and operation of the Company’s disclosure controls and procedures pursuant to Rule 13a-15 of the Securities Exchange Act of 1934. Based on that evaluation, the Chief Executive Officer and Chief Financial and Administrative Officer concluded that the Company’s disclosure controls and procedures were effective as of July 30, 2011.</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has been no material change to our risk factors as previously disclosed beginning on page 16 of our Annual Report on Form 10-K for the fiscal year ended January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2832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80"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CEO Section 302 Certification</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CFO Section 302 Certification</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Certifications*</w:t>
      </w:r>
    </w:p>
    <w:p>
      <w:pPr>
        <w:spacing w:after="0" w:line="117" w:lineRule="exact"/>
        <w:rPr>
          <w:sz w:val="20"/>
          <w:szCs w:val="20"/>
          <w:color w:val="auto"/>
        </w:rPr>
      </w:pPr>
    </w:p>
    <w:p>
      <w:pPr>
        <w:ind w:left="700" w:right="120" w:hanging="560"/>
        <w:spacing w:after="0" w:line="298" w:lineRule="auto"/>
        <w:tabs>
          <w:tab w:leader="none" w:pos="7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July 30, 2011 formatted in Extensible Business Reporting Language (XBRL): (i) Consolidated Statements of Operations and Comprehensive Income for the thirteen and twenty-six weeks ended July 30, 2011 and July 31, 2010; (ii) Consolidated Balance Sheets at July 30, 2011 and January 29, 2011; (iii) Consolidated Statements of Cash Flows for the Twenty-Six Weeks Ended July 30, 2011 and July 31, 2010, and (iv) related notes, tagged as blocks of text. **</w:t>
      </w:r>
    </w:p>
    <w:p>
      <w:pPr>
        <w:spacing w:after="0" w:line="9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Furnished, not filed.</w:t>
      </w:r>
    </w:p>
    <w:p>
      <w:pPr>
        <w:spacing w:after="0" w:line="15" w:lineRule="exact"/>
        <w:rPr>
          <w:rFonts w:ascii="Arial" w:cs="Arial" w:eastAsia="Arial" w:hAnsi="Arial"/>
          <w:sz w:val="16"/>
          <w:szCs w:val="16"/>
          <w:color w:val="auto"/>
        </w:rPr>
      </w:pPr>
    </w:p>
    <w:p>
      <w:pPr>
        <w:ind w:left="460" w:hanging="452"/>
        <w:spacing w:after="0" w:line="30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Vera Bradley, Inc.</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September 13, 2011</w:t>
      </w:r>
      <w:r>
        <w:rPr>
          <w:sz w:val="20"/>
          <w:szCs w:val="20"/>
          <w:color w:val="auto"/>
        </w:rPr>
        <w:tab/>
      </w:r>
      <w:r>
        <w:rPr>
          <w:rFonts w:ascii="Arial" w:cs="Arial" w:eastAsia="Arial" w:hAnsi="Arial"/>
          <w:sz w:val="16"/>
          <w:szCs w:val="16"/>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Executive Vice President – Chief Financial and Administrative Officer (duly</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authorized officer and principal financial officer)</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2832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80"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CEO Section 302 Certification</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CFO Section 302 Certification</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Certifications*</w:t>
      </w:r>
    </w:p>
    <w:p>
      <w:pPr>
        <w:spacing w:after="0" w:line="117" w:lineRule="exact"/>
        <w:rPr>
          <w:sz w:val="20"/>
          <w:szCs w:val="20"/>
          <w:color w:val="auto"/>
        </w:rPr>
      </w:pPr>
    </w:p>
    <w:p>
      <w:pPr>
        <w:ind w:left="700" w:right="120" w:hanging="560"/>
        <w:spacing w:after="0" w:line="298" w:lineRule="auto"/>
        <w:tabs>
          <w:tab w:leader="none" w:pos="7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July 30, 2011 formatted in Extensible Business Reporting Language (XBRL): (i) Consolidated Statements of Operations and Comprehensive Income for the thirteen and twenty-six weeks ended July 30, 2011 and July 31, 2010; (ii) Consolidated Balance Sheets at July 30, 2011 and January 29, 2011; (iii) Consolidated Statements of Cash Flows for the Twenty-Six Weeks Ended July 30, 2011 and July 31, 2010, and (iv) related notes, tagged as blocks of text. **</w:t>
      </w:r>
    </w:p>
    <w:p>
      <w:pPr>
        <w:spacing w:after="0" w:line="9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Furnished, not filed.</w:t>
      </w:r>
    </w:p>
    <w:p>
      <w:pPr>
        <w:spacing w:after="0" w:line="15" w:lineRule="exact"/>
        <w:rPr>
          <w:rFonts w:ascii="Arial" w:cs="Arial" w:eastAsia="Arial" w:hAnsi="Arial"/>
          <w:sz w:val="16"/>
          <w:szCs w:val="16"/>
          <w:color w:val="auto"/>
        </w:rPr>
      </w:pPr>
    </w:p>
    <w:p>
      <w:pPr>
        <w:ind w:left="460" w:hanging="452"/>
        <w:spacing w:after="0" w:line="30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C. Ray,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2011</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Jeffrey A. Blade,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2011</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Executive Vice President—Chief Financial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Administrative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 Michael C. Ray, the Chief Executive Officer of Vera Bradley, Inc., certify that (i) the quarterly report on Form 10-Q for the fiscal quarter ended July 30, 2011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September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Jeffrey A. Blade, the Executive Vice President—Chief Financial and Administrative Officer of Vera Bradley, Inc., certify that (i) the quarterly report on Form 10-Q for the fiscal quarter ended July 30, 2011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President—Chief Financial and Administrative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September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
      <w:numFmt w:val="bullet"/>
      <w:start w:val="1"/>
    </w:lvl>
    <w:lvl w:ilvl="1">
      <w:lvlJc w:val="left"/>
      <w:lvlText w:val="%2"/>
      <w:numFmt w:val="decimal"/>
      <w:start w:val="101"/>
    </w:lvl>
  </w:abstractNum>
  <w:abstractNum w:abstractNumId="14">
    <w:nsid w:val="25E45D32"/>
    <w:multiLevelType w:val="hybridMultilevel"/>
    <w:lvl w:ilvl="0">
      <w:lvlJc w:val="left"/>
      <w:lvlText w:val="**"/>
      <w:numFmt w:val="bullet"/>
      <w:start w:val="1"/>
    </w:lvl>
    <w:lvl w:ilvl="1">
      <w:lvlJc w:val="left"/>
      <w:lvlText w:val="%2"/>
      <w:numFmt w:val="decimal"/>
      <w:start w:val="1"/>
    </w:lvl>
  </w:abstractNum>
  <w:abstractNum w:abstractNumId="15">
    <w:nsid w:val="519B500D"/>
    <w:multiLevelType w:val="hybridMultilevel"/>
    <w:lvl w:ilvl="0">
      <w:lvlJc w:val="left"/>
      <w:lvlText w:val="*"/>
      <w:numFmt w:val="bullet"/>
      <w:start w:val="1"/>
    </w:lvl>
    <w:lvl w:ilvl="1">
      <w:lvlJc w:val="left"/>
      <w:lvlText w:val="%2"/>
      <w:numFmt w:val="decimal"/>
      <w:start w:val="101"/>
    </w:lvl>
  </w:abstractNum>
  <w:abstractNum w:abstractNumId="16">
    <w:nsid w:val="431BD7B7"/>
    <w:multiLevelType w:val="hybridMultilevel"/>
    <w:lvl w:ilvl="0">
      <w:lvlJc w:val="left"/>
      <w:lvlText w:val="**"/>
      <w:numFmt w:val="bullet"/>
      <w:start w:val="1"/>
    </w:lvl>
    <w:lvl w:ilvl="1">
      <w:lvlJc w:val="left"/>
      <w:lvlText w:val="%2"/>
      <w:numFmt w:val="decimal"/>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2019-12-11T09:17:13Z</dcterms:created>
  <dcterms:modified xsi:type="dcterms:W3CDTF">2019-12-11T09:17:13Z</dcterms:modified>
</cp:coreProperties>
</file>