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0" w:lineRule="exact"/>
        <w:rPr>
          <w:sz w:val="24"/>
          <w:szCs w:val="24"/>
          <w:color w:val="auto"/>
        </w:rPr>
      </w:pPr>
    </w:p>
    <w:p>
      <w:pPr>
        <w:spacing w:after="0" w:line="224" w:lineRule="exact"/>
        <w:rPr>
          <w:sz w:val="24"/>
          <w:szCs w:val="24"/>
          <w:color w:val="auto"/>
        </w:rPr>
      </w:pPr>
    </w:p>
    <w:p>
      <w:pPr>
        <w:ind w:left="3940" w:right="1760" w:hanging="3914"/>
        <w:spacing w:after="0" w:line="352" w:lineRule="auto"/>
        <w:tabs>
          <w:tab w:leader="none" w:pos="67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3, 2024</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9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60325</wp:posOffset>
            </wp:positionV>
            <wp:extent cx="1285875" cy="128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0"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color w:val="auto"/>
                <w:w w:val="99"/>
              </w:rPr>
              <w:t>_____________________________________________</w:t>
            </w: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80" w:type="dxa"/>
            <w:vAlign w:val="bottom"/>
            <w:gridSpan w:val="2"/>
          </w:tcPr>
          <w:p>
            <w:pPr>
              <w:jc w:val="center"/>
              <w:ind w:left="149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40" w:type="dxa"/>
            <w:vAlign w:val="bottom"/>
          </w:tcPr>
          <w:p>
            <w:pPr>
              <w:jc w:val="center"/>
              <w:ind w:left="131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20" w:type="dxa"/>
            <w:vAlign w:val="bottom"/>
            <w:gridSpan w:val="2"/>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0"/>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vMerge w:val="restart"/>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rPr>
              <w:t>46783</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980" w:type="dxa"/>
            <w:vAlign w:val="bottom"/>
            <w:gridSpan w:val="2"/>
          </w:tcPr>
          <w:p>
            <w:pPr>
              <w:jc w:val="center"/>
              <w:ind w:left="1494"/>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980" w:type="dxa"/>
            <w:vAlign w:val="bottom"/>
            <w:gridSpan w:val="2"/>
          </w:tcPr>
          <w:p>
            <w:pPr>
              <w:jc w:val="center"/>
              <w:ind w:left="147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40" w:type="dxa"/>
            <w:vAlign w:val="bottom"/>
          </w:tcPr>
          <w:p>
            <w:pPr>
              <w:jc w:val="center"/>
              <w:ind w:left="129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(877) 708-8372</w:t>
            </w:r>
          </w:p>
        </w:tc>
        <w:tc>
          <w:tcPr>
            <w:tcW w:w="2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3"/>
          </w:tcPr>
          <w:p>
            <w:pPr>
              <w:jc w:val="center"/>
              <w:ind w:right="161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960" w:type="dxa"/>
            <w:vAlign w:val="bottom"/>
            <w:gridSpan w:val="5"/>
          </w:tcPr>
          <w:p>
            <w:pPr>
              <w:jc w:val="right"/>
              <w:ind w:right="127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72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right="134"/>
              <w:spacing w:after="0"/>
              <w:rPr>
                <w:sz w:val="20"/>
                <w:szCs w:val="20"/>
                <w:color w:val="auto"/>
              </w:rPr>
            </w:pPr>
            <w:r>
              <w:rPr>
                <w:rFonts w:ascii="Times New Roman" w:cs="Times New Roman" w:eastAsia="Times New Roman" w:hAnsi="Times New Roman"/>
                <w:sz w:val="18"/>
                <w:szCs w:val="18"/>
                <w:color w:val="auto"/>
                <w:w w:val="99"/>
              </w:rPr>
              <w:t>Trading Symbol(s)</w:t>
            </w:r>
          </w:p>
        </w:tc>
        <w:tc>
          <w:tcPr>
            <w:tcW w:w="840" w:type="dxa"/>
            <w:vAlign w:val="bottom"/>
            <w:tcBorders>
              <w:bottom w:val="single" w:sz="8" w:color="auto"/>
            </w:tcBorders>
          </w:tcPr>
          <w:p>
            <w:pPr>
              <w:spacing w:after="0"/>
              <w:rPr>
                <w:sz w:val="19"/>
                <w:szCs w:val="19"/>
                <w:color w:val="auto"/>
              </w:rPr>
            </w:pPr>
          </w:p>
        </w:tc>
        <w:tc>
          <w:tcPr>
            <w:tcW w:w="4720" w:type="dxa"/>
            <w:vAlign w:val="bottom"/>
            <w:tcBorders>
              <w:bottom w:val="single" w:sz="8" w:color="auto"/>
              <w:right w:val="single" w:sz="8" w:color="auto"/>
            </w:tcBorders>
            <w:gridSpan w:val="3"/>
          </w:tcPr>
          <w:p>
            <w:pPr>
              <w:jc w:val="center"/>
              <w:ind w:right="7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9"/>
              </w:rPr>
              <w:t>VRA</w:t>
            </w:r>
          </w:p>
        </w:tc>
        <w:tc>
          <w:tcPr>
            <w:tcW w:w="8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jc w:val="center"/>
              <w:ind w:left="63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16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6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2"/>
          </w:tcPr>
          <w:p>
            <w:pPr>
              <w:jc w:val="center"/>
              <w:ind w:left="654"/>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960" w:type="dxa"/>
            <w:vAlign w:val="bottom"/>
            <w:gridSpan w:val="5"/>
          </w:tcPr>
          <w:p>
            <w:pPr>
              <w:jc w:val="center"/>
              <w:ind w:left="2194"/>
              <w:spacing w:after="0"/>
              <w:rPr>
                <w:sz w:val="20"/>
                <w:szCs w:val="20"/>
                <w:color w:val="auto"/>
              </w:rPr>
            </w:pPr>
            <w:r>
              <w:rPr>
                <w:rFonts w:ascii="Times New Roman" w:cs="Times New Roman" w:eastAsia="Times New Roman" w:hAnsi="Times New Roman"/>
                <w:sz w:val="18"/>
                <w:szCs w:val="18"/>
                <w:color w:val="auto"/>
                <w:w w:val="99"/>
              </w:rPr>
              <w:t>_____________________________________________</w:t>
            </w:r>
          </w:p>
        </w:tc>
        <w:tc>
          <w:tcPr>
            <w:tcW w:w="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89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1"/>
        </w:trPr>
        <w:tc>
          <w:tcPr>
            <w:tcW w:w="89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6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99" w:right="359" w:bottom="317"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3" w:lineRule="exact"/>
        <w:rPr>
          <w:sz w:val="20"/>
          <w:szCs w:val="20"/>
          <w:color w:val="auto"/>
        </w:rPr>
      </w:pPr>
    </w:p>
    <w:p>
      <w:pPr>
        <w:jc w:val="both"/>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0"/>
          <w:szCs w:val="20"/>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9" w:lineRule="exact"/>
        <w:rPr>
          <w:sz w:val="20"/>
          <w:szCs w:val="20"/>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35" w:lineRule="exact"/>
        <w:rPr>
          <w:sz w:val="20"/>
          <w:szCs w:val="20"/>
          <w:color w:val="auto"/>
        </w:rPr>
      </w:pPr>
    </w:p>
    <w:p>
      <w:pPr>
        <w:ind w:right="4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8"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registrant’s voting common stock held by non-affiliates of the registrant as of July 28, 2023 was $153,072,643.</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registrant had 30,789,436 shares of its common stock outstanding as of March 22, 2024.</w:t>
      </w:r>
    </w:p>
    <w:p>
      <w:pPr>
        <w:spacing w:after="0" w:line="9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2024 Annual Meeting of Shareholders are incorporated by reference into Part III of this Annual Report on Form 10-K. Vera Bradley, Inc. intends to file such proxy statement with the Securities and Exchange Commission pursuant to Regulation 14A not later than 120 days after its fiscal year ended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impacts related to pandemics or other public health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continued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to contain pandemics by governmental or other actors.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a discussion of the above-described risks and other risks and uncertainties that could cause actual results to differ materially from those contained in our forward-looking statements, please refer to “Risk Factors” in Item 1A of this report.</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2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1"/>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160" w:type="dxa"/>
            <w:vAlign w:val="bottom"/>
            <w:gridSpan w:val="19"/>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20" w:type="dxa"/>
            <w:vAlign w:val="bottom"/>
            <w:gridSpan w:val="1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Cybersecurity</w:t>
            </w:r>
          </w:p>
        </w:tc>
        <w:tc>
          <w:tcPr>
            <w:tcW w:w="8060" w:type="dxa"/>
            <w:vAlign w:val="bottom"/>
            <w:gridSpan w:val="1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8340" w:type="dxa"/>
            <w:vAlign w:val="bottom"/>
            <w:gridSpan w:val="2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72"/>
        </w:trPr>
        <w:tc>
          <w:tcPr>
            <w:tcW w:w="20" w:type="dxa"/>
            <w:vAlign w:val="bottom"/>
          </w:tcPr>
          <w:p>
            <w:pPr>
              <w:spacing w:after="0"/>
              <w:rPr>
                <w:sz w:val="24"/>
                <w:szCs w:val="24"/>
                <w:color w:val="auto"/>
              </w:rPr>
            </w:pPr>
          </w:p>
        </w:tc>
        <w:tc>
          <w:tcPr>
            <w:tcW w:w="7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220" w:type="dxa"/>
            <w:vAlign w:val="bottom"/>
            <w:gridSpan w:val="3"/>
          </w:tcPr>
          <w:p>
            <w:pPr>
              <w:spacing w:after="0"/>
              <w:rPr>
                <w:sz w:val="24"/>
                <w:szCs w:val="24"/>
                <w:color w:val="auto"/>
              </w:rPr>
            </w:pP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06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20" w:type="dxa"/>
            <w:vAlign w:val="bottom"/>
            <w:gridSpan w:val="4"/>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4"/>
                <w:szCs w:val="24"/>
                <w:color w:val="auto"/>
              </w:rPr>
            </w:pPr>
          </w:p>
        </w:tc>
        <w:tc>
          <w:tcPr>
            <w:tcW w:w="472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1"/>
          </w:tcPr>
          <w:p>
            <w:pPr>
              <w:spacing w:after="0"/>
              <w:rPr>
                <w:sz w:val="24"/>
                <w:szCs w:val="24"/>
                <w:color w:val="auto"/>
              </w:rPr>
            </w:pPr>
          </w:p>
        </w:tc>
        <w:tc>
          <w:tcPr>
            <w:tcW w:w="2600" w:type="dxa"/>
            <w:vAlign w:val="bottom"/>
            <w:gridSpan w:val="3"/>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71"/>
        </w:trPr>
        <w:tc>
          <w:tcPr>
            <w:tcW w:w="20" w:type="dxa"/>
            <w:vAlign w:val="bottom"/>
          </w:tcPr>
          <w:p>
            <w:pPr>
              <w:spacing w:after="0"/>
              <w:rPr>
                <w:sz w:val="24"/>
                <w:szCs w:val="24"/>
                <w:color w:val="auto"/>
              </w:rPr>
            </w:pPr>
          </w:p>
        </w:tc>
        <w:tc>
          <w:tcPr>
            <w:tcW w:w="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24"/>
                <w:szCs w:val="24"/>
                <w:color w:val="auto"/>
              </w:rPr>
            </w:pPr>
          </w:p>
        </w:tc>
        <w:tc>
          <w:tcPr>
            <w:tcW w:w="4980" w:type="dxa"/>
            <w:vAlign w:val="bottom"/>
            <w:gridSpan w:val="8"/>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620" w:type="dxa"/>
            <w:vAlign w:val="bottom"/>
            <w:gridSpan w:val="5"/>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72"/>
        </w:trPr>
        <w:tc>
          <w:tcPr>
            <w:tcW w:w="2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2"/>
              </w:rPr>
              <w:t>PART IV.</w:t>
            </w:r>
          </w:p>
        </w:tc>
        <w:tc>
          <w:tcPr>
            <w:tcW w:w="18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1"/>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72"/>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Form 10-K Summary</w:t>
            </w:r>
          </w:p>
        </w:tc>
        <w:tc>
          <w:tcPr>
            <w:tcW w:w="1340" w:type="dxa"/>
            <w:vAlign w:val="bottom"/>
            <w:tcBorders>
              <w:top w:val="single" w:sz="8" w:color="0000FF"/>
            </w:tcBorders>
            <w:gridSpan w:val="6"/>
          </w:tcPr>
          <w:p>
            <w:pPr>
              <w:spacing w:after="0"/>
              <w:rPr>
                <w:sz w:val="24"/>
                <w:szCs w:val="24"/>
                <w:color w:val="auto"/>
              </w:rPr>
            </w:pPr>
          </w:p>
        </w:tc>
        <w:tc>
          <w:tcPr>
            <w:tcW w:w="6180" w:type="dxa"/>
            <w:vAlign w:val="bottom"/>
            <w:gridSpan w:val="10"/>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88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gridSpan w:val="16"/>
          </w:tcPr>
          <w:p>
            <w:pPr>
              <w:ind w:left="46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i w:val="1"/>
          <w:iCs w:val="1"/>
          <w:color w:val="auto"/>
        </w:rPr>
        <w:t>In this Form 10-K, references to “Vera Bradley, Inc.” or the “Company” refer to Vera Bradley, Inc. and its subsidiaries, including Vera Bradley Designs, Inc. and Creative Genius, LLC. References to “Vera Bradley” relate to the Vera Bradley stand-alone brand and references to “Pura Vida” relate to the Pura Vida stand-alone brand, except where the context requires otherwise or where otherwise indicated. The Company utilizes a 52-53 week fiscal year ending on the Saturday closest to January 31. The fiscal year ending February 3, 2024 (“fiscal 2024”) was a 53-week period. The fiscal years ended January 28, 2023 (“fiscal 2023”) and January 29, 2022 (“fiscal 2022) were each 52-week periods. The fiscal year ending February 1, 2025 (“fiscal 2025”) will be a 52-week period.</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casual,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19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July 2019, Vera Bradley, Inc. acquired a 75% interest in Creative Genius, Inc., which operates under the name Pura Vida Bracelets (“Pura Vida”). Pura Vida results are consolidated within the Company’s financial statements beginning on July 17, 2019, the first full day following the acquisition. On January 30, 2023, the Company acquired the remaining 25% interest in Pura Vida.</w:t>
      </w:r>
    </w:p>
    <w:p>
      <w:pPr>
        <w:spacing w:after="0" w:line="55"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 For financial information about our reportable segments, refer to Note 17 of the Notes to Consolidated Financial Statements set forth in Part II, “Item 8. Financial Statements and Supplementary Data,” of this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 is known for its innovative designs, iconic patterns, and brilliant colors that inspire and connect women. The reportable segments within the Vera Bradley brand are VB Direct and VB Indirect.</w:t>
      </w:r>
    </w:p>
    <w:p>
      <w:pPr>
        <w:spacing w:after="0" w:line="4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The VB Direct business consists of sales of Vera Bradley products through Vera Bradley full-line and outlet stores in the United States; e-commerce sites (verabradley.com, outlet.verabradley.com, and international.verabradley.com); and typically the Vera Bradley annual outlet sale in Fort Wayne, Indiana. As of February 3, 2024, the Company operated 43 full-line stores and 81 outlet stores. The annual outlet sale was cancelled in 2021 and 2022 as a result of the COVID-19 pandemic but resumed in calendar 2023.</w:t>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The VB Indirect business consists of sales of Vera Bradley products to approximately 1,600 specialty retail locations, substantially all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located in the United States; sales to department stores, national accounts, third-party e-commerce sites, and third-party inventory liquidators; and royalties recognized through licensing agreements related to the Vera Bradley brand.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Pura Vida, based in La Jolla, California, is a digitally native lifestyle brand with a differentiated and expanding offering of bracelets, jewelry, apparel, and other lifestyle accessories. The Pura Vida segment represents revenues generated through the Pura Vida websites (www.puravidabracelets.com, www.puravidabracelets.eu, and www.puravidabracelets.ca); through the distribution of Pura Vida-branded products to wholesale retailers and department stores, substantially all of which are located in the United States; and through its five retail stores.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 they were traveling together in 1982, Fort Wayne, Indiana friends Barbara Bradley Baekgaard and Patricia Miller realized there was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passion for design and customer service established by our founders has driven our Company for over 40 years and remains the cornerstone of Vera Bradley, Inc. today. Ms. Baekgaard retired from Vera Bradley operations in 2017 but continues to serve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the Board of Directors and as a brand ambassador. Ms. Miller retired as our National Spokesperson in October 2012 and from the Board of Directors in August 2019.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2019, Vera Bradley, Inc. acquired a majority interest in Pura Vida. On January 30, 2023, the Company acquired the remaining interest in Pura Vida.</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Similar to the Vera Bradley brand, Pura Vida was founded by two friends, Griffin Thall and Paul Goodman. Thall and Goodman, from Southern California, were traveling through Costa Rica in 2010 and crossed paths with two bracelet artisans. Thall and Goodman asked the artisans to make 400 bracelets to take home with them.</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returning to San Diego, Thall and Goodman placed the bracelets in a bowl at a local boutique. Within days, the bracelets sold out and customers were asking for more. Thall and Goodman quickly recognized the significance of these simple string bracelets. They were more than just ordinary locally-crafted bracelets; they symbolized a movement valuing the simple things in life. So, Pura Vida, which means “pure life” in Spanish and is a philosophy that encourages the appreciation of life’s simple treasures, was born.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Vision and Growth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 term, we are committed to driving long-term growth, generating strong cash flow, and returning capital to shareholders.</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At the end of fiscal 2023, we began a comprehensive review of the </w:t>
      </w:r>
      <w:r>
        <w:rPr>
          <w:rFonts w:ascii="Times New Roman" w:cs="Times New Roman" w:eastAsia="Times New Roman" w:hAnsi="Times New Roman"/>
          <w:sz w:val="18"/>
          <w:szCs w:val="18"/>
          <w:b w:val="1"/>
          <w:bCs w:val="1"/>
          <w:color w:val="auto"/>
        </w:rPr>
        <w:t>Consumer, Brand, Product, and Channel</w:t>
      </w:r>
      <w:r>
        <w:rPr>
          <w:rFonts w:ascii="Times New Roman" w:cs="Times New Roman" w:eastAsia="Times New Roman" w:hAnsi="Times New Roman"/>
          <w:sz w:val="18"/>
          <w:szCs w:val="18"/>
          <w:color w:val="auto"/>
        </w:rPr>
        <w:t xml:space="preserve"> components for both of our brands. This work culminated in our long-term strategic plan, Project Restoration, which addresses each of these four pillars. Through Project Restoration, we are taking targeted and prudent actions to stabilize revenues, while remaining focused on strong financial discipline. We believe execution of Project Restoration will drive long-term profitable growth and deliver value to our shareholders.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fiscal 2024, we made significant progress on this Company-wide, comprehensive initiative, focusing on the four key pillars of the business for each brand.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At Vera Bradley, we will launch the first manifestation of our Project Restoration in July 2024 which we believe will be a significant pivot from where we are today. It includes, among other things, the reveal of our new and elevated full-line branding and marketing, product, store design, and website. Our work on this initiative was informed by consumer research and current perceptions of the brand from both buyers and non-buyers. We believe we have the ability to attract new customers while keeping our current customers through product innovations and new marketing campaigns designed to inspire joy and connection. Our new assortment has broad appeal and uses new, higher quality, and softer fabrics and styles designed to not only look great, but feel great.</w:t>
      </w:r>
    </w:p>
    <w:p>
      <w:pPr>
        <w:spacing w:after="0" w:line="13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are focusing on restoring brand relevancy, targeting casual and feminine 35 to 54 year old women who value both fashion and function.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focus on the 35 to 54 year old led us in search of data to understand where and how she shops. We are using this data to target new customers and embark on new partnerships, licensing deals, and collaborations to extend our reach. With this strategy, we will also inspire and retain our loyal customers outside of this age group.</w:t>
      </w:r>
    </w:p>
    <w:p>
      <w:pPr>
        <w:spacing w:after="0" w:line="12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Brand</w:t>
      </w:r>
      <w:r>
        <w:rPr>
          <w:rFonts w:ascii="Times New Roman" w:cs="Times New Roman" w:eastAsia="Times New Roman" w:hAnsi="Times New Roman"/>
          <w:sz w:val="18"/>
          <w:szCs w:val="18"/>
          <w:color w:val="auto"/>
        </w:rPr>
        <w:t>. We are strategically marketing our distinctive and unique positioning as a colorful, feminine, fashionable brand that connects with consumers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deep, emotional level. We are refocusing our marketing and elevating our creative efforts through digital marketing, public relations, quality media placements, and store initiatives to drive interest and gain new customers.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continually looking for new ways to creatively engage our customers, grow brand awareness, and introduce new customers to our brands in a cost-effective manner. Vera Bradley continues to rank among the top of the industry for our Net Promoter and Customer Satisfaction Scores.</w:t>
      </w:r>
    </w:p>
    <w:p>
      <w:pPr>
        <w:spacing w:after="0" w:line="1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We are refocusing on core categories and items we are “best at,” such as travel and bags, by innovating and expanding within our core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elevating our colorful feminine heritage, keeping it distinctive but more trend-right and modern through updated prints, colors, styles, and designs, which will appeal to both existing and new customers. We’ve improved the quality of most of our fabrics while keeping our commitment to increased use of preferred fibers, and our retail price structure is unchanged. Although the assortment will look new, it is unmistakably Vera Bradley, and our existing customers will still recognize their favorite styles and our distinctive colors, patterns, and quilting.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will innovate into strategic adjacent lifestyle item introductions that make sense for our customers. We are also continuing to pursue collaborations and partnerships that align with our target customers and expand our customer reach.</w:t>
      </w:r>
    </w:p>
    <w:p>
      <w:pPr>
        <w:spacing w:after="0" w:line="10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Channel</w:t>
      </w:r>
      <w:r>
        <w:rPr>
          <w:rFonts w:ascii="Times New Roman" w:cs="Times New Roman" w:eastAsia="Times New Roman" w:hAnsi="Times New Roman"/>
          <w:sz w:val="18"/>
          <w:szCs w:val="18"/>
          <w:color w:val="auto"/>
        </w:rPr>
        <w:t>. We are building a balanced footprint that more clearly differentiates full-line and outlet assortments. We expect to open two full-line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outlet store this year, relocate stores where needed, and update our full-line stores with new branding and an improved shopping experience in conjunction with our first phase of Project Restoration. We are also exploring opening new full-line formats with a focus on lifestyle centers. Maintaining brand-right wholesale relationships is important, and we are actively working with new specialty retailers where we know our customer is shopping. We will also accelerate our digital-first focus. We are improving our online shopping experience and elevating full-line creative and experiences, while offering our outlet assortment online at outlet.verabradley.com for the first time ever.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Pura Vida, we are shifting our focus to delivering profitability and balancing the ecommerce business with wholesale and retail stores. We are diversifying our marketing spend and are making additional efforts to retain customers while continuing to work on each pillar of Project Restoration.</w:t>
      </w:r>
    </w:p>
    <w:p>
      <w:pPr>
        <w:spacing w:after="0" w:line="10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Consumer</w:t>
      </w:r>
      <w:r>
        <w:rPr>
          <w:rFonts w:ascii="Times New Roman" w:cs="Times New Roman" w:eastAsia="Times New Roman" w:hAnsi="Times New Roman"/>
          <w:sz w:val="18"/>
          <w:szCs w:val="18"/>
          <w:color w:val="auto"/>
        </w:rPr>
        <w:t>. We are sharpening our focus on the 18-24 year old girl, who both those younger and older aspire to be. Our target customer is free-spirited,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trendsetter, and focused on “living her best life.” Pura Vida jewelry is a way of expressing herself and fits her personality.</w:t>
      </w:r>
    </w:p>
    <w:p>
      <w:pPr>
        <w:spacing w:after="0" w:line="10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Brand</w:t>
      </w:r>
      <w:r>
        <w:rPr>
          <w:rFonts w:ascii="Times New Roman" w:cs="Times New Roman" w:eastAsia="Times New Roman" w:hAnsi="Times New Roman"/>
          <w:sz w:val="18"/>
          <w:szCs w:val="18"/>
          <w:color w:val="auto"/>
        </w:rPr>
        <w:t>. We have refreshed our brand image with a focus on showing what “living free” looks and feels like – showing real places, real moments, and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faces that are authentic, diverse, and inclusive. We are recentering our brand ethos on “living life to the fullest” and sharpening our focus on Gen Z.</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Pura Vida remains one of the most highly-engaged brands in the accessories space, surpassing 2.2 million followers on Instagram and is consistently listed as one of the most engaged jewelry brands on Instagram. Pura Vida was named to the 2024 Forbes Customer Experience All Stars List, ranked by consumers to be in the top 6% of over 3,000 brands for its products, services, and treatment of customers.</w:t>
      </w:r>
    </w:p>
    <w:p>
      <w:pPr>
        <w:spacing w:after="0" w:line="12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We are focusing on delivering unique, fun, playful product designs that are affordable and accessible. We will continue to innovate in our hero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core category of string bracelets as well as other jewelry items, and we will opportunistically explore additional close-in, adjacent categories that make sense for our business and our customers. Approximately a third of the total Pura Vida business is comprised of jewelry categories other than bracelets, such as rings, anklets, and necklaces.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Channel</w:t>
      </w:r>
      <w:r>
        <w:rPr>
          <w:rFonts w:ascii="Times New Roman" w:cs="Times New Roman" w:eastAsia="Times New Roman" w:hAnsi="Times New Roman"/>
          <w:sz w:val="18"/>
          <w:szCs w:val="18"/>
          <w:color w:val="auto"/>
        </w:rPr>
        <w:t>. We continue to have a strong focus on restoring e-commerce growth and prudent growth of wholesale by pursuing larger, more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partnerships and expanding larger existing accounts. We expect to open two additional stores this year. Our four full-line Pura Vida stores are playing a role in driving new customer acquisition as we continue to diversify our marketing platforms, and they demonstrate the power a retail presence can have in driving digital sales, omni-channel loyalty, and spending.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Release Strategy</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Vera Bradley</w:t>
      </w:r>
      <w:r>
        <w:rPr>
          <w:rFonts w:ascii="Times New Roman" w:cs="Times New Roman" w:eastAsia="Times New Roman" w:hAnsi="Times New Roman"/>
          <w:sz w:val="18"/>
          <w:szCs w:val="18"/>
          <w:color w:val="auto"/>
        </w:rPr>
        <w:t>. On average, we typically introduce new collections monthly. Each launch typically consists of one to three signature cotton-quilted prints,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other fabrications including Performance Twill, Re-Active, microfiber, and nylon, some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12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websites (including our online outlet site), outlet stores, our annual outlet sale, and third-party liquidators.</w:t>
      </w:r>
    </w:p>
    <w:p>
      <w:pPr>
        <w:spacing w:after="0" w:line="18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We introduce new Pura Vida products seasonally, approximately three times a year (spring, summer, and fall). We release curated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assortments multiple times per season that each embody a trend that we believe resonates with our customer base. Each product launch collection typically consists of 20 to 30 customer choices. We offer a mix of seasonally inspired designs and next generation designs of core bestsellers.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9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chart presents net revenues generated by each of the Company’s product categories and other revenues as a percentage of our total net revenues for fiscal years 2024, 2023, and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40" w:type="dxa"/>
            <w:vAlign w:val="bottom"/>
          </w:tcPr>
          <w:p>
            <w:pPr>
              <w:spacing w:after="0"/>
              <w:rPr>
                <w:sz w:val="16"/>
                <w:szCs w:val="16"/>
                <w:color w:val="auto"/>
              </w:rPr>
            </w:pPr>
          </w:p>
        </w:tc>
      </w:tr>
      <w:tr>
        <w:trPr>
          <w:trHeight w:val="23"/>
        </w:trPr>
        <w:tc>
          <w:tcPr>
            <w:tcW w:w="64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31"/>
        </w:trPr>
        <w:tc>
          <w:tcPr>
            <w:tcW w:w="6420" w:type="dxa"/>
            <w:vAlign w:val="bottom"/>
          </w:tcPr>
          <w:p>
            <w:pPr>
              <w:spacing w:after="0"/>
              <w:rPr>
                <w:sz w:val="11"/>
                <w:szCs w:val="11"/>
                <w:color w:val="auto"/>
              </w:rPr>
            </w:pPr>
          </w:p>
        </w:tc>
        <w:tc>
          <w:tcPr>
            <w:tcW w:w="1640" w:type="dxa"/>
            <w:vAlign w:val="bottom"/>
            <w:gridSpan w:val="2"/>
          </w:tcPr>
          <w:p>
            <w:pPr>
              <w:ind w:left="4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540" w:type="dxa"/>
            <w:vAlign w:val="bottom"/>
          </w:tcPr>
          <w:p>
            <w:pPr>
              <w:jc w:val="right"/>
              <w:ind w:right="314"/>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64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6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60" w:hanging="5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primarily stationery, licensing, freight, merchandising, and gift card breakage revenue.</w:t>
      </w:r>
    </w:p>
    <w:p>
      <w:pPr>
        <w:spacing w:after="0" w:line="1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Bags. </w:t>
      </w:r>
      <w:r>
        <w:rPr>
          <w:rFonts w:ascii="Times New Roman" w:cs="Times New Roman" w:eastAsia="Times New Roman" w:hAnsi="Times New Roman"/>
          <w:sz w:val="18"/>
          <w:szCs w:val="18"/>
          <w:color w:val="auto"/>
        </w:rPr>
        <w:t>Bags are a core part of our product offerings and are the primary component of every seasonal assortment. The category consists of classic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styles developed by our product development team. Our bag product category includes items such as backpacks, totes, crossbodies, lunch bags, satchels, clutches, and baby bags. Bags play a prominent role in our visual merchandising, and we showcase the different fabrications, patterns, colors, and features of each bag.</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Travel. </w:t>
      </w:r>
      <w:r>
        <w:rPr>
          <w:rFonts w:ascii="Times New Roman" w:cs="Times New Roman" w:eastAsia="Times New Roman" w:hAnsi="Times New Roman"/>
          <w:sz w:val="18"/>
          <w:szCs w:val="18"/>
          <w:color w:val="auto"/>
        </w:rPr>
        <w:t>Our travel product category includes rolling luggage, cosmetics, travel and packing accessories, and travel bags which include our iconic duffel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weekend bags. The first Vera Bradley product offering included duffel bags, which have consistently been strong performers. We believe their popularity, as well as the appeal of our other travel items, results from our vibrant designs, functional styles, and lightweight fabrications.</w:t>
      </w:r>
    </w:p>
    <w:p>
      <w:pPr>
        <w:spacing w:after="0" w:line="11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Accessories. </w:t>
      </w:r>
      <w:r>
        <w:rPr>
          <w:rFonts w:ascii="Times New Roman" w:cs="Times New Roman" w:eastAsia="Times New Roman" w:hAnsi="Times New Roman"/>
          <w:sz w:val="17"/>
          <w:szCs w:val="17"/>
          <w:color w:val="auto"/>
        </w:rPr>
        <w:t>Accessories include Vera Bradley-branded fashion accessories such as ID holders, lanyards, wallets, wristlets, eyewear, scarves,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accessories, and hair accessories, as well as Pura Vida-branded accessories such as bracelets, rings, and necklaces. The majority of products sold by Pura Vida are included under the accessories category. We believe our accessories are attractively priced and allow the consumer to include some color in her wardrobe. Our product development teams consistently update the accessories assortment based on consumer demand and fashion trends.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Home. </w:t>
      </w:r>
      <w:r>
        <w:rPr>
          <w:rFonts w:ascii="Times New Roman" w:cs="Times New Roman" w:eastAsia="Times New Roman" w:hAnsi="Times New Roman"/>
          <w:sz w:val="18"/>
          <w:szCs w:val="18"/>
          <w:color w:val="auto"/>
        </w:rPr>
        <w:t>Our home category includes textiles, including throw blankets, beach towels, and bedding, as well as items such as mugs and tumblers.</w:t>
      </w:r>
    </w:p>
    <w:p>
      <w:pPr>
        <w:spacing w:after="0" w:line="17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Apparel/Footwear</w:t>
      </w:r>
      <w:r>
        <w:rPr>
          <w:rFonts w:ascii="Times New Roman" w:cs="Times New Roman" w:eastAsia="Times New Roman" w:hAnsi="Times New Roman"/>
          <w:sz w:val="18"/>
          <w:szCs w:val="18"/>
          <w:color w:val="auto"/>
        </w:rPr>
        <w:t>. Our apparel and footwear category includes, among other items, Vera Bradley sleepwear, footwear, outerwear, socks, and tops,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Pura Vida tees and hoodies.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Vera Bradley. </w:t>
      </w:r>
      <w:r>
        <w:rPr>
          <w:rFonts w:ascii="Times New Roman" w:cs="Times New Roman" w:eastAsia="Times New Roman" w:hAnsi="Times New Roman"/>
          <w:sz w:val="18"/>
          <w:szCs w:val="18"/>
          <w:color w:val="auto"/>
        </w:rPr>
        <w:t>We have implemented a fully-integrated and cross-functional product development process that aligns design, trend and market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planning, sales, marketing, and sourcing. We believe product development is a core capability that makes our products unique and that our designs and aesthetics set our products apart and drive customer loyalty. Our design and product development teams combine an understanding of the desires of our target customers, with knowledge of upcoming color, material, consumer, and fashion trends to design new collections, as well as new product categories.</w:t>
      </w:r>
    </w:p>
    <w:p>
      <w:pPr>
        <w:spacing w:after="0" w:line="13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typically begin the development stage of our products in the Vera Bradley portfolio twelve to eighteen months in advance of their release. The development of each new pattern includes the design of a primary print and sometimes a secondary coordinating print. All print development is managed by our internal print design team. Once developed, we generally copyright our patterns as appropriate. We believe that great design is not only central to our products, but also is a fundamental part of our brand development and growth strategies.</w:t>
      </w:r>
    </w:p>
    <w:p>
      <w:pPr>
        <w:spacing w:after="0" w:line="12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design team works to ensure that new collections contain an assortment of products and styles that are in line with both trends and customer desires and regularly updates classic styles to enhance functionality. Our team monitors fashion trends and customer needs by typically attending trend and industry shows, subscribing to trend monitoring services, and engaging in comparison shopping.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product development team works closely with our marketing and merchandising teams to gather consumer insights through a variety of methodologies, including seasonal market research, in-store testing, scheduled interviews, and online and in-person surveys conducted by our internal team. Our work is also informed in part by market data analysis provided through our membership in industry services and organizations. The design and product development teams work to ensure that we offer products that are constructed to meet our design, function, construction, and quality standards in a cost-effective manner. We believe that, with our cross-functional, collaborative approach, we are able to introduce and market our products in a way that clearly communicates the Vera Bradley brand.</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products developed in-house, we also pursue brand extensions through strategic partnerships, licensing agreements, and brand collaborations. We currently have licenses in place for eyewear; bedding; stationery/drinkware; and outdoor furniture, accessories, and décor. We also have licensing agreements with NFL, Disney Consumer Products, Peanuts Worldwide, Sanrio Inc. (Hello Kitty), Crocs, Tupperware, Tervis (drinkware), NCAA (collegiate), and certain U.S. Military forces. We will continue to look for the right strategic partners and licensees that can augment the brand and provide established distribution networks for certain categories of business. Additional arrangements will be launched in fiscal 2025.</w:t>
      </w:r>
    </w:p>
    <w:p>
      <w:pPr>
        <w:spacing w:after="0" w:line="1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Pura Vida continues to develop new styles and re-invent existing styles. We have a cross-functional team that aligns product development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merchandising to strategically manage the design process. Our cross-functional team attends trade shows and performs market research to develop what we believe will be on-trend products that communicate and emulate the “pura vida” lifestyle. We also pursue brand extensions through licensing agreements and we have partnered with Discovery, Warner Brothers Consumer Products, Disney Consumer Products, Sanrio Inc. (Hello Kitty), and other companies that are consistent with our brand.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that the growth of our brands and our business is influenced by our ability to introduce and sell our merchandise in a way that clearly conveys the Vera Bradley and Pura Vida brand personalities. We use marketing as a critical tool in our efforts to promote our brands.</w:t>
      </w:r>
    </w:p>
    <w:p>
      <w:pPr>
        <w:spacing w:after="0" w:line="40"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We are continually focused on looking for new ways to creatively engage and retain our customers, grow brand awareness, and introduce new customers to our brands in a cost-effective manner, but that is becoming more challenging and expensive for both of our brands due in part to rising digital media costs.</w:t>
      </w:r>
    </w:p>
    <w:p>
      <w:pPr>
        <w:spacing w:after="0" w:line="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Vera Bradley’s marketing platform will continue to be a blend of digital and more traditional channels, such as direct mail, email, quality media placements, PR, and targeted TV ads. Our marketing efforts are increasingly reflective of our ongoing commitment to diversity and inclusion. The goal of our 360-brand marketing program is to drive brand awareness and desirability, as well as connect with consumers where they are.</w:t>
      </w:r>
    </w:p>
    <w:p>
      <w:pPr>
        <w:spacing w:after="0" w:line="11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will continue to drive social media engagement by employing more user-generated content, growing our influencer and ambassador programs, further enhancing social storytelling and social selling, expanding Facebook Live and Reels, and growing TikTok engagement.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171"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Retention Advertising. </w:t>
      </w:r>
      <w:r>
        <w:rPr>
          <w:rFonts w:ascii="Times New Roman" w:cs="Times New Roman" w:eastAsia="Times New Roman" w:hAnsi="Times New Roman"/>
          <w:sz w:val="17"/>
          <w:szCs w:val="17"/>
          <w:color w:val="auto"/>
        </w:rPr>
        <w:t>We communicate with our established customers consistently throughout the year with regular e-mails, social media,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notifications, as well as seasonal direct mail related to the Vera Bradley brand. Our retention advertising is geared to keeping Vera Bradley top of mind with our customers, rewarding our customers, and providing them with news of our seasonal launches, new product introductions, and VB Cares initiatives.</w:t>
      </w:r>
    </w:p>
    <w:p>
      <w:pPr>
        <w:spacing w:after="0" w:line="10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New Customer Acquisition Advertising. </w:t>
      </w:r>
      <w:r>
        <w:rPr>
          <w:rFonts w:ascii="Times New Roman" w:cs="Times New Roman" w:eastAsia="Times New Roman" w:hAnsi="Times New Roman"/>
          <w:sz w:val="18"/>
          <w:szCs w:val="18"/>
          <w:color w:val="auto"/>
        </w:rPr>
        <w:t>We primarily employ digital (i.e., display banner, mobile, geo-targeting, and pre-roll video) advertising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brand awareness and attract new customers.</w:t>
      </w:r>
    </w:p>
    <w:p>
      <w:pPr>
        <w:spacing w:after="0" w:line="10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Public Relations and Product Placement. </w:t>
      </w:r>
      <w:r>
        <w:rPr>
          <w:rFonts w:ascii="Times New Roman" w:cs="Times New Roman" w:eastAsia="Times New Roman" w:hAnsi="Times New Roman"/>
          <w:sz w:val="18"/>
          <w:szCs w:val="18"/>
          <w:color w:val="auto"/>
        </w:rPr>
        <w:t>Vera Bradley has received considerable editorial exposure in the press, with mentions in</w:t>
      </w:r>
      <w:r>
        <w:rPr>
          <w:rFonts w:ascii="Times New Roman" w:cs="Times New Roman" w:eastAsia="Times New Roman" w:hAnsi="Times New Roman"/>
          <w:sz w:val="18"/>
          <w:szCs w:val="18"/>
          <w:i w:val="1"/>
          <w:iCs w:val="1"/>
          <w:color w:val="auto"/>
        </w:rPr>
        <w:t xml:space="preserve"> Travel &amp; Leisure, People, Real Simple, Today, US Weekly, Good Morning America, Refinery 29, Southern Living, Glamour, Seventeen, Elle, Women's Wear Daily, Pop Sugar, and Good Housekeeping. </w:t>
      </w:r>
      <w:r>
        <w:rPr>
          <w:rFonts w:ascii="Times New Roman" w:cs="Times New Roman" w:eastAsia="Times New Roman" w:hAnsi="Times New Roman"/>
          <w:sz w:val="18"/>
          <w:szCs w:val="18"/>
          <w:color w:val="auto"/>
        </w:rPr>
        <w:t>In addition, we have expanded our public relations efforts to reach popular online influencers and content creators.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Product placement of Vera Bradley products in feature-length films and on prime-time television shows remains strong with television placements in </w:t>
      </w:r>
      <w:r>
        <w:rPr>
          <w:rFonts w:ascii="Times New Roman" w:cs="Times New Roman" w:eastAsia="Times New Roman" w:hAnsi="Times New Roman"/>
          <w:sz w:val="18"/>
          <w:szCs w:val="18"/>
          <w:i w:val="1"/>
          <w:iCs w:val="1"/>
          <w:color w:val="auto"/>
        </w:rPr>
        <w:t>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American, B Positive, Bob Hearts Abishola, Call Me Kat, Grownish, Elsbeth, The Neighborhood, Night Court, With Love, Lopez vs. Lopez, Last Man Standing, Mom, and Curb Your Enthusiasm</w:t>
      </w:r>
      <w:r>
        <w:rPr>
          <w:rFonts w:ascii="Times New Roman" w:cs="Times New Roman" w:eastAsia="Times New Roman" w:hAnsi="Times New Roman"/>
          <w:sz w:val="18"/>
          <w:szCs w:val="18"/>
          <w:color w:val="auto"/>
        </w:rPr>
        <w:t>. Movie placements include:</w:t>
      </w:r>
      <w:r>
        <w:rPr>
          <w:rFonts w:ascii="Times New Roman" w:cs="Times New Roman" w:eastAsia="Times New Roman" w:hAnsi="Times New Roman"/>
          <w:sz w:val="18"/>
          <w:szCs w:val="18"/>
          <w:i w:val="1"/>
          <w:iCs w:val="1"/>
          <w:color w:val="auto"/>
        </w:rPr>
        <w:t xml:space="preserve"> A Man Named Otto, No Hard Feelings, My Big Fat Greek Wedding 3, and Puppy Love.</w:t>
      </w:r>
    </w:p>
    <w:p>
      <w:pPr>
        <w:spacing w:after="0" w:line="126"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Partnerships. </w:t>
      </w:r>
      <w:r>
        <w:rPr>
          <w:rFonts w:ascii="Times New Roman" w:cs="Times New Roman" w:eastAsia="Times New Roman" w:hAnsi="Times New Roman"/>
          <w:sz w:val="18"/>
          <w:szCs w:val="18"/>
          <w:color w:val="auto"/>
        </w:rPr>
        <w:t>During fiscal 2024, under the umbrella of VB Cares, we reinforced our position as a socially-conscious organization and continued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strengthen our community support and charitable initiatives that are meaningful to our customers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and that make a significant impact on those in need, particularly women and children. Efforts included supporting the Vera Bradley Foundation for Breast Cancer, Blessings in a Backpack, New Hope Girls, Free Mom Hugs, One Atta Time, American Heart Association, Boys and Girls Club, Big Brothers Big Sisters, among others.</w:t>
      </w:r>
    </w:p>
    <w:p>
      <w:pPr>
        <w:spacing w:after="0" w:line="120" w:lineRule="exact"/>
        <w:rPr>
          <w:sz w:val="20"/>
          <w:szCs w:val="20"/>
          <w:color w:val="auto"/>
        </w:rPr>
      </w:pPr>
    </w:p>
    <w:p>
      <w:pPr>
        <w:ind w:right="6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Social Media and Online Marketing. </w:t>
      </w:r>
      <w:r>
        <w:rPr>
          <w:rFonts w:ascii="Times New Roman" w:cs="Times New Roman" w:eastAsia="Times New Roman" w:hAnsi="Times New Roman"/>
          <w:sz w:val="17"/>
          <w:szCs w:val="17"/>
          <w:color w:val="auto"/>
        </w:rPr>
        <w:t>We use online marketing and social networking sites as tools to increase brand awareness and drive traffic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verabradley.com and to our Vera Bradley stores. Vera Bradley can be found on Facebook, Instagram, TikTok, Twitter, Pinterest, and YouTube.</w:t>
      </w:r>
    </w:p>
    <w:p>
      <w:pPr>
        <w:spacing w:after="0" w:line="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Vera Bradley, we have captured approximately 7.8 million 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February 3, 2024, we had approximately 2.0 million Facebook fans, approximately 70,000 Twitter ("X") followers, and approximately 45,000 TikTok followers. Our Instagram has grown to nearly 600,000 followers and is our most highly engaged social medium. In addition, we often partner with brand-right bloggers to promote our products.</w:t>
      </w:r>
    </w:p>
    <w:p>
      <w:pPr>
        <w:spacing w:after="0" w:line="12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Mall Advertising</w:t>
      </w:r>
      <w:r>
        <w:rPr>
          <w:rFonts w:ascii="Calibri" w:cs="Calibri" w:eastAsia="Calibri" w:hAnsi="Calibri"/>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had representation in key markets with mall partner participation. Collaborations and holiday promotions were the primary focus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retail store locations. The outlet channel participated in center marketing throughout the year highlighting key seasonal moments, such as: Spring Break, Back to School, Labor Day, and Holiday.</w:t>
      </w:r>
    </w:p>
    <w:p>
      <w:pPr>
        <w:spacing w:after="0" w:line="119"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Mail. </w:t>
      </w:r>
      <w:r>
        <w:rPr>
          <w:rFonts w:ascii="Times New Roman" w:cs="Times New Roman" w:eastAsia="Times New Roman" w:hAnsi="Times New Roman"/>
          <w:sz w:val="18"/>
          <w:szCs w:val="18"/>
          <w:color w:val="auto"/>
        </w:rPr>
        <w:t>Vera Bradley mailers are a vehicle for promoting the Vera Bradley brand and product portfolio. Each mailer is sent to a targeted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mailing list. We believe our direct mail medium generates excitement and awareness about the Vera Bradley brand and allows us to reach both new and loyal customers in their homes. We use direct mail for prospecting, customer retention, and reactivation.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1"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Retention Advertising. </w:t>
      </w:r>
      <w:r>
        <w:rPr>
          <w:rFonts w:ascii="Times New Roman" w:cs="Times New Roman" w:eastAsia="Times New Roman" w:hAnsi="Times New Roman"/>
          <w:sz w:val="18"/>
          <w:szCs w:val="18"/>
          <w:color w:val="auto"/>
        </w:rPr>
        <w:t>We connect with our established customers with regular emails, affiliate marketing, SMS marketing, and social media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retention advertising focuses on informing Pura Vida customers of new product launches, exclusive offers, inventory restocks of best sellers, promoting referral and loyalty rewards, and the latest Pura Vida news.</w:t>
      </w:r>
    </w:p>
    <w:p>
      <w:pPr>
        <w:spacing w:after="0" w:line="119" w:lineRule="exact"/>
        <w:rPr>
          <w:sz w:val="20"/>
          <w:szCs w:val="20"/>
          <w:color w:val="auto"/>
        </w:rPr>
      </w:pPr>
    </w:p>
    <w:p>
      <w:pPr>
        <w:ind w:right="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New Customer Acquisition Advertising. </w:t>
      </w:r>
      <w:r>
        <w:rPr>
          <w:rFonts w:ascii="Times New Roman" w:cs="Times New Roman" w:eastAsia="Times New Roman" w:hAnsi="Times New Roman"/>
          <w:sz w:val="17"/>
          <w:szCs w:val="17"/>
          <w:color w:val="auto"/>
        </w:rPr>
        <w:t>Pura Vida focuses on digital advertising through Facebook, Instagram, TikTok, Google, Snapchat, and Pinterest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 new customers. We are consistently testing new audiences, channels, creative ads, and promotions to maximize our return on paid media spend.</w:t>
      </w:r>
    </w:p>
    <w:p>
      <w:pPr>
        <w:spacing w:after="0" w:line="7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8"/>
          <w:szCs w:val="18"/>
          <w:i w:val="1"/>
          <w:iCs w:val="1"/>
          <w:color w:val="auto"/>
        </w:rPr>
        <w:t>Ambassador Program</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a grassroots program of brand ambassadors who drive customers to our website and generate buzz in local communities,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digitally through their social media channels, in person through events, and through word of mouth. We acquire these brand ambassadors through advertising on Instagram and Tiktok, as well as via outreach on our organic and retention channels.</w:t>
      </w:r>
    </w:p>
    <w:p>
      <w:pPr>
        <w:spacing w:after="0" w:line="16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8"/>
          <w:szCs w:val="18"/>
          <w:i w:val="1"/>
          <w:iCs w:val="1"/>
          <w:color w:val="auto"/>
        </w:rPr>
        <w:t>PR &amp; Influencer Marketing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work to tell the Pura Vida brand story through media and editorial placements, seeding with celebrities and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publications, and working with brand influencers across various key markets and demographic profiles. Our work with influencers includes collaborations on product and marketing campaigns that drives brand awareness with their audiences and our target demographic. We have also built a network of micro influencers and content creators who post for our brand in exchange for product and exposure on our social channels.</w:t>
      </w:r>
    </w:p>
    <w:p>
      <w:pPr>
        <w:spacing w:after="0" w:line="123"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8"/>
          <w:szCs w:val="18"/>
          <w:i w:val="1"/>
          <w:iCs w:val="1"/>
          <w:color w:val="auto"/>
        </w:rPr>
        <w:t>Charity Collaborations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actively partner with charities to donate to causes that are important to our customers. To date, we have donated nearly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various charities around the world.</w:t>
      </w:r>
    </w:p>
    <w:p>
      <w:pPr>
        <w:spacing w:after="0" w:line="145"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8"/>
          <w:szCs w:val="18"/>
          <w:i w:val="1"/>
          <w:iCs w:val="1"/>
          <w:color w:val="auto"/>
        </w:rPr>
        <w:t>Experiential Marketing</w:t>
      </w:r>
      <w:r>
        <w:rPr>
          <w:rFonts w:ascii="Times New Roman" w:cs="Times New Roman" w:eastAsia="Times New Roman" w:hAnsi="Times New Roman"/>
          <w:sz w:val="18"/>
          <w:szCs w:val="18"/>
          <w:color w:val="auto"/>
        </w:rPr>
        <w:t>. To reach both existing and new customers and bring the Pura Vida brand to life, we have hosted events at our retail stores, in-person brand activations on college campuses and relevant public events, and built a brand presence at partner-owned events such as the World Surf League. To create excitement and engagement, in the summer of fiscal 2024, we launched our “Live Free” and “College Mobile tours. “Live Free" made stops all over the U.S., including the Hamptons, NY; Jackson, WY, and Juneau, AK. In conjunction with back-to-campus, our “College Mobile” Vera Bradley bus tour traveled to various college campuses across the country.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Vera Bradley and Pura Vida products are frequently given as gifts, we have historically realized, and expect to continue to realize, higher sales and operating income in the fourth quarter of our fiscal year, which includes the holiday months of November and December. In addition, our products are popular during back-to-school periods of August and September. Fluctuations in sales and operating income in any fiscal quarter are affected by the timing of seasonal wholesale shipments and other events affecting retail sales.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Channels of Distribution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distribute our Vera Bradley products through our VB Direct (including e-commerce and retail stores) and VB Indirect segments and Pura Vida products primarily through e-commerce, wholesale retailers, and retail stores. This multi-channel distribution model is designed to enable operational flexibility and maximizes the methods by which we can access potential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Direct Segment</w:t>
      </w:r>
    </w:p>
    <w:p>
      <w:pPr>
        <w:spacing w:after="0" w:line="10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Full-Line Stores. </w:t>
      </w:r>
      <w:r>
        <w:rPr>
          <w:rFonts w:ascii="Times New Roman" w:cs="Times New Roman" w:eastAsia="Times New Roman" w:hAnsi="Times New Roman"/>
          <w:sz w:val="18"/>
          <w:szCs w:val="18"/>
          <w:color w:val="auto"/>
        </w:rPr>
        <w:t>We have developed a retail presence through our full-line stores, all located in the United States, which provides us with a format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showcase our brand and the full array of Vera Bradley products. As of February 3, 2024, we operated 43 full-line stores averaging approximately 2,000 square feet per store. Our sales associates are passionate about our products and customer service, which we believe translates into a superior shopping experience.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Outlet Stores</w:t>
      </w:r>
      <w:r>
        <w:rPr>
          <w:rFonts w:ascii="Times New Roman" w:cs="Times New Roman" w:eastAsia="Times New Roman" w:hAnsi="Times New Roman"/>
          <w:sz w:val="18"/>
          <w:szCs w:val="18"/>
          <w:color w:val="auto"/>
        </w:rPr>
        <w:t>. Our outlet stores are a vehicle for selling styles made specifically for our outlet channel, as well as retired merchandise at discounted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maintaining brand integrity. Typically, approximately 95% of the merchandise found in our outlet stores consists of exclusive styles. Outlet stores are an integral part of our distribution strategy, as this format provides an additional channel of distribution for our products and enables us to better target value-oriented customers. Our outlet stores average approximately 3,500 square feet per store. As of February 3, 2024, we operated 81 outlet stores, all located in the United States.</w:t>
      </w:r>
    </w:p>
    <w:p>
      <w:pPr>
        <w:spacing w:after="0" w:line="1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Store Location Selection Strategy. </w:t>
      </w:r>
      <w:r>
        <w:rPr>
          <w:rFonts w:ascii="Times New Roman" w:cs="Times New Roman" w:eastAsia="Times New Roman" w:hAnsi="Times New Roman"/>
          <w:sz w:val="18"/>
          <w:szCs w:val="18"/>
          <w:color w:val="auto"/>
        </w:rPr>
        <w:t>Our store location decisions for both full-line and outlet stores are made based upon our comprehensive retail strategy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includes actual and planned penetration in both Indirect and Direct segments, as well as existing e-commerce demand. While we forecast that we will close additional full-line stores, we believe that long-term expansion of our store base is necessary to increase brand awareness and reinforce our brand image by contributing to our omni-channel retail strategy. In addition to analyzing store economics, we pay particular attention to the location within the shopping center, the size and shape of the space, and co-tenancies. Along with seeking co-tenants that we believe share our target customer, we seek a balanced mix of moderate and high-end retailers to encourage high levels of traffic.</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Store Operations. </w:t>
      </w:r>
      <w:r>
        <w:rPr>
          <w:rFonts w:ascii="Times New Roman" w:cs="Times New Roman" w:eastAsia="Times New Roman" w:hAnsi="Times New Roman"/>
          <w:sz w:val="18"/>
          <w:szCs w:val="18"/>
          <w:color w:val="auto"/>
        </w:rPr>
        <w:t>The focus of our store operations is providing consumers with a comfortable and memorable shopping experience. We strive to make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interactive through special store events.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2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E-Commerce</w:t>
      </w:r>
      <w:r>
        <w:rPr>
          <w:rFonts w:ascii="Times New Roman" w:cs="Times New Roman" w:eastAsia="Times New Roman" w:hAnsi="Times New Roman"/>
          <w:sz w:val="17"/>
          <w:szCs w:val="17"/>
          <w:color w:val="auto"/>
        </w:rPr>
        <w:t>. We sell our products through the verabradley.com, outlet.verabradley.com and international.verabradley.com websites. The objective of these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websites is to provide both a mechanism for marketing directly to consumers and a storefront where consumers can find the entire full-line Vera Bradley collection. During fiscal 2021, we re-platformed our websites to become more streamlined, nimble, and efficient in our technology platform and business processes. Between 2018 and late calendar 2023, we also operated a flash online outlet site to reduce clearance sales from verabradley.com. In November 2023, we transformed the online outlet from a flash-sale model to an everyday extension of our outlet stores. This brought new customers to the brand and helped offset weakness in the outlet store channel. We had approximately 58 million visits to verabradley.com and our online outlet site during fiscal 2024.</w:t>
      </w:r>
    </w:p>
    <w:p>
      <w:pPr>
        <w:spacing w:after="0" w:line="1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Outlet Sale. </w:t>
      </w:r>
      <w:r>
        <w:rPr>
          <w:rFonts w:ascii="Times New Roman" w:cs="Times New Roman" w:eastAsia="Times New Roman" w:hAnsi="Times New Roman"/>
          <w:sz w:val="18"/>
          <w:szCs w:val="18"/>
          <w:color w:val="auto"/>
        </w:rPr>
        <w:t>For calendar years 2021 and 2022, our annual outlet sale was cancelled as a result of the COVID-19 pandemic. In June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outlet sale resumed. Our annual outlet sale is typically held in the Allen County War Memorial Coliseum Exposition Center in Fort Wayne, Indiana. The annual outlet sale is an important tradition for Vera Bradley, has many loyal followers, and is an opportunity for us to sell our retired merchandise at discounted prices in a brand-right fashion.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Vera Bradley Indirect Segment</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3, 2024, we sold our products in approximately 1,600 specialty retail locations, as well as department stores, national accounts, third-party e-commerce sites, and third-party inventory liquidators, as well as through licensing agreements. We currently sell our products in approximately 300 department store locations as well as Amazon.com and other marketplaces.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top 25% of our specialty retailers account for approximately 80% of total specialty retailer revenue. No single Indirect retailer represented more than 6% of consolidated net revenues in fiscal 2024, with the top ten Indirect retailers, representing in the aggregate approximately 65% of total Indirect segment net revenues. The majority of our Indirect retailers have been customers for over five years.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Indirect Sales Force</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February 3, 2024, our in-house sales team consisted of approximately 20 full-time sales consultants.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distinctive.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Pura Vida Segment</w:t>
      </w:r>
    </w:p>
    <w:p>
      <w:pPr>
        <w:spacing w:after="0" w:line="10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Pura Vida products are available on our websites, www.puravidabracelets.com, www.puravidabracelets.eu, and www.puravidabracelets.ca.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Pura Vida’s website immerses visitors in the brand, its products, and its social mission. Pura Vida is a digitally native brand, and the e-commerce storefront continues to be the primary source of revenues for the Pura Vida business. The e-commerce site also includes a monthly bracelet and jewelry subscription club. The subscription club is a mechanism to continue to build brand loyalty and stimulate higher retention.</w:t>
      </w:r>
    </w:p>
    <w:p>
      <w:pPr>
        <w:spacing w:after="0" w:line="126"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Wholesale. </w:t>
      </w:r>
      <w:r>
        <w:rPr>
          <w:rFonts w:ascii="Times New Roman" w:cs="Times New Roman" w:eastAsia="Times New Roman" w:hAnsi="Times New Roman"/>
          <w:sz w:val="18"/>
          <w:szCs w:val="18"/>
          <w:color w:val="auto"/>
        </w:rPr>
        <w:t>The Pura Vida wholesale channel is comprised primarily of specialty stores including Tilly’s, The Paper Store, Ron Jon Surf Shops,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Hallmark stores, among others. Pura Vida also sells in select department stores and has a presence on Amazon.com through a third-party wholesaler. We have a combination of in-house and external sales personnel who work with our wholesale retailers regarding order fulfillment and compilation.</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Pura Vida has five retail store locations. Four of the locations opened in fiscal 2023 and one location opened in fiscal 2022. Our full-line locations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allowing us to showcase the Pura Vida lifestyle with a full array of existing products and new product innovations.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Chain Model</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fiscal 2024, we continued to be impacted by higher tariffs from previously duty-free countries, where we source products, as a result of the Generalized System of Preferences (“GSP”) duty-free status expiring at the end of calendar year 2020. We cannot guarantee if or when the GSP duty-free status will be reinstated or if it will be retro-actively applied by Congress.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Vera Bradley</w:t>
      </w:r>
    </w:p>
    <w:p>
      <w:pPr>
        <w:spacing w:after="0" w:line="9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multi-country manufacturing and supply chain model is designed to achieve efficient, timely, and accurate order fulfillment while maintaining appropriate levels of inventory.</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while maintaining and focusing on flexibility. Our sourcing team leverages its expertise in negotiation, relationship management, flexibility, and change management to maintain a strong, diverse global supply chain. Our sourcing team also focuses on achieving the right balance of production sites and countries of origin to mitigate the risk of concentrated production, including potential incremental tariffs. To continue to assist in this risk mitigation, our sourcing team reduced our Vera Bradley production in China from over 50% in fiscal 2019 to approximately 15% in fiscal 2024.</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strive to maintain the appropriate balance of inventory to enable us to provide a high level of service to our customers, including prompt and accurate delivery of our products at a reasonable cost. We believe that we have an active and nimble sales and operations planning process that helps us balance the supply and demand issues that we encounter in our business, optimize our inventory levels, and anticipate inventory needs. We have also integrated our Vera Bradley planning, forecasting, and segmentation processes under one function called Merchandise Planning and Allocation.</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Approximately half of Vera Bradley product sales are cotton-based. Our other fabrics include fleece, polyester, and microfiber. We source our raw materials from various suppliers in Asia, with the majority of non-cotton based products coming from China and South Korea. We operate an office in Hong Kong to lead the global supply chain in Asia, including the oversight of sourcing and procurement. Our cotton-based products are sourced from areas outside of China. Our global sourcing team identifies, evaluates, and selects suppliers to fulfill the sourcing strategy. Conducting market analysis and supplier assessment to identify potential partners are integral to maintaining a competitive edge and driving profitability. The global sourcing team</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collaborates with carefully selected and screened suppliers to negotiate contracts and agreements, balance cost, lead time, quality, and reliability across our supplier network and maximize operational efficiency. Developing a long-term and mutually beneficial relations with suppliers and to foster collaboration and innovation is an important part of our sourcing matrix. The global sourcing team ensures a diversified supplier base to minimize single source dependency and is also monitoring geopolitical factors and market trends to anticipate and mitigate supply chain risks.</w:t>
      </w:r>
    </w:p>
    <w:p>
      <w:pPr>
        <w:spacing w:after="0" w:line="193"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7"/>
          <w:szCs w:val="17"/>
          <w:color w:val="auto"/>
        </w:rPr>
        <w:t>We actively mitigate raw materials price increases through purchasing at advantageous times and periods. All of our suppliers must comply with our quality standards, and we use only a limited number of pre-approved suppliers who have demonstrated a commitment to delivering the highest quality products. We are continually updating our factory audit process and building a better compliance program to ensure our vendor code of conduct is met.</w:t>
      </w:r>
    </w:p>
    <w:p>
      <w:pPr>
        <w:spacing w:after="0" w:line="18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7"/>
          <w:szCs w:val="17"/>
          <w:color w:val="auto"/>
        </w:rPr>
        <w:t>In fiscal 2022 we moved from internal factory audits to partnering with BetterWork to conduct these audits. BetterWork brings diverse groups together (governments, global brands, factory owners, unions, and workers) to improve working conditions in the garment industry and make the sector more competitive. These audits encompass both the Vera Bradley and Pura Vida brands as they relate to our purchases in Cambodia and Bangladesh.</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7"/>
          <w:szCs w:val="17"/>
          <w:color w:val="auto"/>
        </w:rPr>
        <w:t>The majority of our Vera Bradley finished goods, not sourced through licenses or strategic partners, are manufactured by a variety of global manufacturers located primarily in Cambodia, Vietnam, Indonesia, China, and the Philippines. With the oversight of our office in Hong Kong and our independent contractors, we believe financial benefits have been realized without sacrificing the level of quality inherent in our products or service to our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Pura Vida</w:t>
      </w:r>
    </w:p>
    <w:p>
      <w:pPr>
        <w:spacing w:after="0" w:line="1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Pura Vida products are sourced primarily from El Salvador, as well as China, India, Guatemala, Cambodia, and Indonesia. We have continued an active supply chain diversification process to ensure a focus on maintaining flexibility and to help mitigate the risk of concentrated production, similar to the Vera Bradley supply chain.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Vera Bradley owns a 428,500 square-foot distribution center in Roanoke, Indiana. This facility allows Vera Bradley employees to receive information directly from the order-collection center and quickly identify the products and quantities necessary to fulfill a particular order. The facility’s technology enables us to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 however, we continue to make technology and automation enhancements to our distribution center processes to promote optimal output.</w:t>
      </w:r>
    </w:p>
    <w:p>
      <w:pPr>
        <w:spacing w:after="0" w:line="129"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Vera Bradley products are shipped primarily via third-party common carriers to our stores, our Indirect retailers, and directly to our customers who purchase through our website. We believe we are positioned well to support the order fulfillment requirements of our business, including business generated through our website.</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Pura Vida products for the U.S. e-commerce site and wholesale accounts are distributed primarily through a third-party provider in Tijuana, Mexico. Pura Vida also distributes product through third-party providers in the Netherlands and Canada, which supports European e-commerce and Canadian wholesale operations,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Information Systems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enterprise class business management, comprehensive order processing for all commerce channels, production, accounting, and management information and analytics for the product development, retail, sales, marketing, distribution, finance, and human resources functions of our business. At Vera Bradley, our ERP, POS, Business Intelligence, and Order Management systems are on cloud-based platforms, streamlining and simplifying our work and providing for additional capabilities such as mobile POS and multi-company operations on the same platform. We completed our ERP migration during fiscal 2022 for Pura Vida, so that our entire enterprise is on a unified technology platform. We continue to assess our on-premise and cloud-based technology solutions in an effort to ensure we have the optimal solutions for our business. In fiscal 2024, we completed the implementation of a new suite of inventory planning tools to optimize full line assortments, localized assortments, pricing and promotion planning, and inventory positions.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For both Vera Bradley and Pura Vida, 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Moreover, the general availability of contract manufacturing allows new entrants to relatively easily access the markets in which we compete, which may increase the number of competitors and adversely affect our competitive position and our business. We compete against other independent retailers, department stores, catalog retailers, gift retailers, and Internet businesses that engage in the retail sale of similar products.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market for handbags and accessories, in particular, is highly competitive. Our competitors include not only established companies that are expanding their production and marketing of handbags and accessories, but also frequent new entrants to the market. We directly compete with wholesalers and direct sellers of branded handbags and accessories.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brands, customer loyalty and engagement,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Copyrights and Trademarks</w:t>
      </w:r>
    </w:p>
    <w:p>
      <w:pPr>
        <w:spacing w:after="0" w:line="10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Vera Bradley, the development of new patterns includes the design of primary and secondary prints. Once developed, we generally copyright our patterns as appropriate. We currently have over 1,250 copyrights related to the Vera Bradley business.</w:t>
      </w:r>
    </w:p>
    <w:p>
      <w:pPr>
        <w:spacing w:after="0" w:line="108"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and “Pura Vida.”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Equal employment opportunities are available to all persons at Vera Bradley, Inc. without regard to race, sex, sexual orientation, gender, gender identity, gender expression, marital status, age, color, religion, creed, national origin, ancestry, mental or physical disability, medical condition, genetic information, military or veteran status or any other category protected under applicable federal, state, or local law. We put this standard into practice through our hiring, training, and an annual affirmative action program.</w:t>
      </w:r>
    </w:p>
    <w:p>
      <w:pPr>
        <w:spacing w:after="0" w:line="193" w:lineRule="exact"/>
        <w:rPr>
          <w:sz w:val="20"/>
          <w:szCs w:val="20"/>
          <w:color w:val="auto"/>
        </w:rPr>
      </w:pPr>
    </w:p>
    <w:p>
      <w:pPr>
        <w:ind w:right="80"/>
        <w:spacing w:after="0" w:line="232" w:lineRule="auto"/>
        <w:rPr>
          <w:sz w:val="20"/>
          <w:szCs w:val="20"/>
          <w:color w:val="auto"/>
        </w:rPr>
      </w:pPr>
      <w:r>
        <w:rPr>
          <w:rFonts w:ascii="Times New Roman" w:cs="Times New Roman" w:eastAsia="Times New Roman" w:hAnsi="Times New Roman"/>
          <w:sz w:val="18"/>
          <w:szCs w:val="18"/>
          <w:color w:val="auto"/>
        </w:rPr>
        <w:t>As of February 3, 2024, we had approximately 2,135 employees. Of the total, approximately 1,495 were engaged in Vera Bradley retail selling positions; approximately 280 were engaged in Vera Bradley distribution, sourcing and quality functions; approximately 35 were engaged in Vera Bradley product design; approximately 90 were involved in the Pura Vida business, including the Pura Vida retail stores; and approximately 235 were engaged in corporate support and administrative functions. None of our employees are represented by a union. We believe that our relations with our employees are good, and we have never encountered a significant work stoppage other than as related to temporary stoppages necessitated by the COVID-19 pandemic.</w:t>
      </w:r>
    </w:p>
    <w:p>
      <w:pPr>
        <w:spacing w:after="0" w:line="19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i w:val="1"/>
          <w:iCs w:val="1"/>
          <w:color w:val="auto"/>
        </w:rPr>
        <w:t>Project Quilt</w:t>
      </w:r>
      <w:r>
        <w:rPr>
          <w:rFonts w:ascii="Times New Roman" w:cs="Times New Roman" w:eastAsia="Times New Roman" w:hAnsi="Times New Roman"/>
          <w:sz w:val="18"/>
          <w:szCs w:val="18"/>
          <w:color w:val="auto"/>
        </w:rPr>
        <w:t>. Our Company-wide diversity and inclusion initiative, Project Quilt, continues to enhance diversity, equality, and inclusion, focusing on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areas – the Associate Experience, the Customer Experience, and the Community Experience.</w:t>
      </w:r>
    </w:p>
    <w:p>
      <w:pPr>
        <w:spacing w:after="0" w:line="17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8"/>
          <w:szCs w:val="18"/>
          <w:i w:val="1"/>
          <w:iCs w:val="1"/>
          <w:color w:val="auto"/>
        </w:rPr>
        <w:t>Engagement</w:t>
      </w:r>
      <w:r>
        <w:rPr>
          <w:rFonts w:ascii="Times New Roman" w:cs="Times New Roman" w:eastAsia="Times New Roman" w:hAnsi="Times New Roman"/>
          <w:sz w:val="18"/>
          <w:szCs w:val="18"/>
          <w:color w:val="auto"/>
        </w:rPr>
        <w:t>. Vera Bradley believes it is critical to engage its different stakeholders in order to understand their views, values, and ideas and to design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responsible environment for all involved. This stakeholder group includes associates. The Company engages its associates through surveys, town halls, and focus groups. Collectively, the Company's success is based upon the unique value of each person's contributions. Our long-term success depends on talented and engaged associates.</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Every year, we conduct an associate engagement survey in order to better understand our associates’ insights into our Company’s strengths and opportunities. In calendar year 2023, we once again had strong participation, with over 70% of our associates sharing their candid feedback. Our calendar year 2023 overall engagement score was once again above average ranking in the upper quartile compared to peer companies. The feedback gave us insight into improvement opportunities and is instrumental in decisions we make to shape, strengthen, and improve our Company. As a result of the survey feedback, over the last several years we have made meaningful improvements to benefits, career development, compensation, mental health and</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wellness programs, and our facilities. We believe listening to our associates’ feedback provided through the annual engagement survey continually strengthens our corporate culture.</w:t>
      </w:r>
    </w:p>
    <w:p>
      <w:pPr>
        <w:spacing w:after="0" w:line="201"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i w:val="1"/>
          <w:iCs w:val="1"/>
          <w:color w:val="auto"/>
        </w:rPr>
        <w:t>Pay and Benefits</w:t>
      </w:r>
      <w:r>
        <w:rPr>
          <w:rFonts w:ascii="Times New Roman" w:cs="Times New Roman" w:eastAsia="Times New Roman" w:hAnsi="Times New Roman"/>
          <w:sz w:val="18"/>
          <w:szCs w:val="18"/>
          <w:color w:val="auto"/>
        </w:rPr>
        <w:t>. The Company offers competitive pay packages that include market-competitive base and hourly compensation, healthcare, a 401(k)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savings plan that includes a Company contribution match, paid time off (including for volunteerism), paid family leave, matching gifts program, and an Employee Assistance Program.</w:t>
      </w:r>
    </w:p>
    <w:p>
      <w:pPr>
        <w:spacing w:after="0" w:line="197"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i w:val="1"/>
          <w:iCs w:val="1"/>
          <w:color w:val="auto"/>
        </w:rPr>
        <w:t>Leadership Programs</w:t>
      </w:r>
      <w:r>
        <w:rPr>
          <w:rFonts w:ascii="Times New Roman" w:cs="Times New Roman" w:eastAsia="Times New Roman" w:hAnsi="Times New Roman"/>
          <w:sz w:val="18"/>
          <w:szCs w:val="18"/>
          <w:color w:val="auto"/>
        </w:rPr>
        <w:t>. Our associates are our biggest asset and when they win, we all win. We recognize everyone in the Company has the ability to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example and influence others in a positive way that ultimately provides meaningful value and will make us stronger. Our long-term initiative, Leaders by Design, encourages our associates to grow as leaders through new associate orientation and onboarding, formal training programs, mentorship programs, job shadowing and career-pathing programs and development, including THE LEADERSHIP CHALLENGE®, a globally recognized, research-based leadership development program designed to enhance leadership effectiveness.</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i w:val="1"/>
          <w:iCs w:val="1"/>
          <w:color w:val="auto"/>
        </w:rPr>
        <w:t>Associate Safety</w:t>
      </w:r>
      <w:r>
        <w:rPr>
          <w:rFonts w:ascii="Times New Roman" w:cs="Times New Roman" w:eastAsia="Times New Roman" w:hAnsi="Times New Roman"/>
          <w:sz w:val="18"/>
          <w:szCs w:val="18"/>
          <w:color w:val="auto"/>
        </w:rPr>
        <w:t>. Associate safety and well-being is of paramount importance to our Company. We have a comprehensive employee safety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WorkWISE Wellness, that focuses on overall employee health and safety. The WorkWISE Wellness program emphasizes our high standard of safety throughout all operations of the organization. The program and its materials, including a comprehensive Safety Manual, addresses a variety of topics including reporting injuries, OSHA compliance, and emergency procedures (related to workplace violence, active shooters, severe weather and blood-borne pathogens, among others). Policies are routinely communicated, and training is provided to associates as appropriate.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Many of our imported products are subject to existing or potential duties or tariffs that may limit the quantity of products that we may import into the United States and other countries or impact the cost of such products.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2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capital expenditures, earnings, or competitive position. If we violate any laws or regulations, however, it could have a material adverse effect on our business or financial performance.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each of our executive officers: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 Vera Bradley, Inc.</w:t>
            </w:r>
          </w:p>
        </w:tc>
      </w:tr>
      <w:tr>
        <w:trPr>
          <w:trHeight w:val="229"/>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Schwindle</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Vera Bradley, Inc.</w:t>
            </w:r>
          </w:p>
        </w:tc>
      </w:tr>
      <w:tr>
        <w:trPr>
          <w:trHeight w:val="23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C. Dely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19"/>
                <w:szCs w:val="19"/>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&amp; Legal Officer and Corporate Secretary, Vera Bradley, Inc.</w:t>
            </w:r>
          </w:p>
        </w:tc>
      </w:tr>
      <w:tr>
        <w:trPr>
          <w:trHeight w:val="234"/>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Alison Hiatt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 Vera Bradley</w:t>
            </w:r>
          </w:p>
        </w:tc>
      </w:tr>
    </w:tbl>
    <w:p>
      <w:pPr>
        <w:spacing w:after="0" w:line="200" w:lineRule="exact"/>
        <w:rPr>
          <w:sz w:val="20"/>
          <w:szCs w:val="20"/>
          <w:color w:val="auto"/>
        </w:rPr>
      </w:pPr>
    </w:p>
    <w:p>
      <w:pPr>
        <w:spacing w:after="0" w:line="279"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Jacqueline Ardrey </w:t>
      </w:r>
      <w:r>
        <w:rPr>
          <w:rFonts w:ascii="Times New Roman" w:cs="Times New Roman" w:eastAsia="Times New Roman" w:hAnsi="Times New Roman"/>
          <w:sz w:val="18"/>
          <w:szCs w:val="18"/>
          <w:color w:val="auto"/>
        </w:rPr>
        <w:t>has served as our Chief Executive Officer and Director since November 2022. Prior to joining Vera Bradley, Inc., Ms. Ardrey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 of President at home furnishings and seasonal décor catalog and online retailer Grandin Road, part of the Qurate Retail Group, between 2018 and October 2022. Previously, Ms. Ardrey was CEO of Trading Company Holdings and Senior Vice President of Merchandising and Supply Chain for omnichannel gourmet food and gifting brand Harry and David. Prior to that, she spent 14 years at multi-channel high-end children’s retailer Hanna Andersson in various roles of increasing responsibility, including Senior Vice President of Merchandising, Design, and Wholesale. Ms. Ardrey began her retail career with the May Company.</w:t>
      </w:r>
    </w:p>
    <w:p>
      <w:pPr>
        <w:spacing w:after="0" w:line="12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Michael Schwindle </w:t>
      </w:r>
      <w:r>
        <w:rPr>
          <w:rFonts w:ascii="Times New Roman" w:cs="Times New Roman" w:eastAsia="Times New Roman" w:hAnsi="Times New Roman"/>
          <w:sz w:val="18"/>
          <w:szCs w:val="18"/>
          <w:color w:val="auto"/>
        </w:rPr>
        <w:t>was named Chief Financial Officer in May 2023. Prior to joining Vera Bradley, Mr. Schwindle served as CFO for accessory and jewelry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retailer Claire’s, between 2020 and April 2023. From 2018 to 2020 Mr. Schwindle was CFO at Fleet Farm, a big-box retailer. Prior to that, he held CFO roles at specialty retailers Payless ShoeSource, Harry &amp; David, and Musician’s Friend, as well as other key financial positions at Home Depot and Limited Brands. Mr. Schwindle began his career at Deloitte &amp; Touche, LLP.</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 C. Dely </w:t>
      </w:r>
      <w:r>
        <w:rPr>
          <w:rFonts w:ascii="Times New Roman" w:cs="Times New Roman" w:eastAsia="Times New Roman" w:hAnsi="Times New Roman"/>
          <w:sz w:val="17"/>
          <w:szCs w:val="17"/>
          <w:color w:val="auto"/>
        </w:rPr>
        <w:t>joined the Company in August 2016 as our Vice President, Chief Legal Officer and Corporate Secretary and was promoted to also serve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Chief Administrative Officer in September 2017. Between January 2013 and August 2016, Mr. Dely served as Senior Vice President, Chief Legal Officer, General Counsel and Secretary of Fred’s, Inc., a publicly-traded retailer and pharmacy with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w:t>
      </w:r>
    </w:p>
    <w:p>
      <w:pPr>
        <w:spacing w:after="0" w:line="1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Alison Hiatt </w:t>
      </w:r>
      <w:r>
        <w:rPr>
          <w:rFonts w:ascii="Times New Roman" w:cs="Times New Roman" w:eastAsia="Times New Roman" w:hAnsi="Times New Roman"/>
          <w:sz w:val="18"/>
          <w:szCs w:val="18"/>
          <w:color w:val="auto"/>
        </w:rPr>
        <w:t>joined the Company in January 2023 as Chief Marketing Officer of the Vera Bradley brand. From October 2019 through October 2022,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Hiatt was Chief Marketing Officer for Salt and Straw, where she was an instrumental part of transforming the unique ice cream company from a regional brand to an emerging national brand through innovative marketing, digital, and e-commerce initiatives and strategic partnerships. Prior to Salt and Straw, from January 2015 to May 2019, Ms. Hiatt was Chief Marketing Officer of Banfield Pet Hospitals, a division of Mars, Inc. Previously, Ms. Hiatt held marketing-related and other retail posts with REI, Starbucks, and Amazon.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0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Industry</w:t>
      </w:r>
    </w:p>
    <w:p>
      <w:pPr>
        <w:spacing w:after="0" w:line="26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implement our long-term strategic plans and growth strategies, including Project Restoration, our future operating results could suffer.</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success of our long-term strategic plan and growth strategies, including Project Restoration, alone or collectively, will depend on various factors, including the appeal of our product designs, retail presentation to consumers, effectiveness of our marketing initiatives, expense-saving initiatives, competitive conditions, and economic conditions. Project Restoration represents our business strategy to revitalize our consumer, brand, product, and channel components for both Vera Bradley and Pura Vida brands in order to serve our customers, grow our revenues, and increase our profitability. There is no assurance that we will be able to successfully implement our strategic plan and growth strategies. If we are unsuccessful in implementing some or all of our strategies or initiatives, our future operating results could be adversely impacted.</w:t>
      </w:r>
    </w:p>
    <w:p>
      <w:pPr>
        <w:spacing w:after="0" w:line="21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 economic conditions, and their impact on consumer confidence and consumer spending, could adversely impact our results of operations.</w:t>
      </w:r>
    </w:p>
    <w:p>
      <w:pPr>
        <w:spacing w:after="0" w:line="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levels of consumer confidence and consumer spending. Consumer confidence and consumer spending may be influenced by levels of inflation, fluctuating interest rates and credit availability (including possible exposure to bank failures), changing fuel and other energy costs, fluctuating commodity prices, levels of unemployment and consumer debt levels, changes in net worth based on market conditions, general uncertainty regarding the overall future economic environment, political turmoil, pandemics or other public health matters, and weather and weather-related phenomena. Consumer purchases of discretionary items, including our merchandise, generally decline during periods when disposable income is adversely affected or there is economic uncertainty, and these occurrences could adversely impact our results of operations. In the event of a downturn in the U.S. economy, or if there is a decline in consumer-spending levels or other unfavorable conditions, including inflationary pressure, we could experience lower than expected net revenues, which could force us to delay or slow the implementation of our growth strategies and adversely impact our results of operations.</w:t>
      </w:r>
    </w:p>
    <w:p>
      <w:pPr>
        <w:spacing w:after="0" w:line="6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predict and respond in a timely manner to changes in consumer demand, our net revenues and results of operations could be adversely affected.</w:t>
      </w:r>
    </w:p>
    <w:p>
      <w:pPr>
        <w:spacing w:after="0" w:line="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that we will be able to develop appealing patterns, styles, and collections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2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declines in comparable sales and strategic initiatives we are implementing to improve our results, such as Project Restoration, may not be successful.</w:t>
      </w:r>
    </w:p>
    <w:p>
      <w:pPr>
        <w:spacing w:after="0" w:line="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strategies, public health matters, and weather conditions. These factors may cause our comparable sales results to be lower in the future than in recent periods or lower than expectations, either of which could result in a decline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multi-channel distribution model is not successful, our business and results of operations may suffer.</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currently sell our Vera Bradley-branded products into two segments: Direct to consumers through Vera Bradley full-line and outlet stores in the United States, verabradley.com and international.verabradley.com, outlet.verabradley.com, and typically the Vera Bradley annual outlet sale in Fort Wayne, Indiana; and through our Vera Bradley Indirect wholesale business which consists of sales to specialty retail locations, department stores, national accounts, third-party e-commerce sites, third-party inventory liquidators, as well as royalties recognized through licensing agreements related to the Vera Bradley brand. We currently sell our Pura Vida-branded products direct to consumers through our e-commerce websites (puravidabracelets.com, puravidabracelets.eu, and puravidabracelets.ca), through wholesale retailers, and through our five retail stores. These channels are sometimes in direct competition and sales through these channels may not be incremental to total sales. If our omni-channel distribution model is unsuccessful, our business, financial condition, and results of operations could be materially adversely affected.</w:t>
      </w: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long-term future growth prospects include our ability to successfully open new stores and operate new and current Vera Bradley and Pura Vida stores. In recent years, however, Vera Bradley comparable store sales have declined. Consequently, the rate at which we have opened new stores has slowed. We have closed a total of 74 underperforming full-line stores and three underperforming outlet stores since the beginning of fiscal 2015 and forecast that we will close additional full-line stores. We plan to open additional Vera Bradley full line and outlet stores during fiscal 2025. We will continue to evaluate our plans for store openings in future years in light of demand and store performance.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successfully open and operate stores depends on many factors, including our ability to:</w:t>
      </w:r>
    </w:p>
    <w:p>
      <w:pPr>
        <w:spacing w:after="0" w:line="10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store locations, the availability of which may be uncertain;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acceptable lease terms, including desired tenant improvement allowances;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store personnel and management;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assimilate new store personnel and management into our corporate culture;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and manufacture inventory;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strong brands. If we are unable to execute our marketing strategies, intended to enhance our brands, then revenues and our results of operations could be adversely impacted.</w:t>
      </w:r>
    </w:p>
    <w:p>
      <w:pPr>
        <w:spacing w:after="0" w:line="3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 brand images that we have developed have contributed significantly to the success of our business. We also believe that enhancing the Vera Bradley and Pura Vida brands through our marketing strategies is critical to maintaining and expanding our customer base. Enhancing our brands and implementing our marketing strategies may require us to make substantial investments in areas such as product design, store operations, store design, community relations, and marketing. These investments might not succeed. If we are unable to successfully execute our brand strategies, our results of operations could be adversely impacted.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Closing stores could result in significant costs to us.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closed a total of 74 underperforming full-line stores and three underperforming outlet stores since the beginning of fiscal 2015 and forecast that we will close additional full-line stores. We could, in the future, decide to close additional stores beyond those currently forecasted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of operations and our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customers to our stores depends heavily on the success of the shopping centers in which many of our stores are located.</w:t>
      </w:r>
    </w:p>
    <w:p>
      <w:pPr>
        <w:spacing w:after="0" w:line="9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Substantially all of our Vera Bradley Direct stores are located in regional mall shopping centers, and many of our Vera Bradley Indirect customers are also located in regional mall shopping centers. Factors beyond our control impact mall traffic, including general economic conditions, consumer spending levels, and pandemics or other public health matters. Consumer spending and mall traffic have been depressed in recent years. As a result, mall operators have faced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leasing substantial amounts of space, including future increases in occupancy costs.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5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substantial portion of our available cash be applied to pay our rental obligations, thus reducing cash available for other purposes;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industry;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compete with other retailers for sales could have a material adverse effect on our financial condition, results of operations, and cash flows.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for bags, accessories, travel items and our other products is increasingly competitive. Our competitive challenges include:</w:t>
      </w:r>
    </w:p>
    <w:p>
      <w:pPr>
        <w:spacing w:after="0" w:line="1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customer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and manufacturing merchandise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pricing our products and achieving customer perception of value;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favorable brand recognition and effectively marketing our products to consumers in diverse market segments;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designs that appeal to a broad range of demographic and age segments;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high-quality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attractive promotional incentives while maintaining profit margins;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good working relationships with our wholesale retailers.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our Vera Bradley Indirect business and Pura Vida wholesale business, we compete with numerous manufacturers, importers, and distributors of handbags, accessories, and other products for the limited space available for the display of such products to the consumer. In our Vera Bradley Direct business and Pura Vida e-commerce and retail store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addition, in light of a continued difficult consumer environment, pricing is a significant driver of consumer choice in our industry and we regularly engage in price competition, particularly through our promotional programs, which impacts our margins. To the extent that we decrease our promotional activity or are otherwise unable to effectively compete on pricing, our ability to maintain sales levels may be adversely impacted.</w:t>
      </w:r>
    </w:p>
    <w:p>
      <w:pPr>
        <w:spacing w:after="0" w:line="21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wholesale business could suffer as a result of decisions by our wholesale retailers to decrease or eliminate the amount of merchandise purchased from us.</w:t>
      </w:r>
    </w:p>
    <w:p>
      <w:pPr>
        <w:spacing w:after="0" w:line="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enter into long-term agreements with any of our wholesale retailers. Instead, we enter into a number of purchase order commitments with our customers for each of our lines every season. A decision by a significant number of wholesale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wholesale retailers, we typically do not provide dealer allowances or other economic incentives to support those prices. Possible promotional pricing or discounting by wholesale retailers in response to softening retail demand could have a negative effect on our brand image and prestige, which might be difficult to counteract.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Bankruptcies or other operational or financial difficulties of our wholesale retailers could adversely impact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sell our wholesale merchandise primarily to specialty retail and department stores across the United States and extend trade credit based on an evaluation of each wholesale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wholesale retailer, we might assume credit risk that we would otherwise avoid relating to our receivables from that customer. Inability to collect on accounts receivable from our wholesale retailers would adversely impact our results of operations and financial position.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Global Sourcing and Distribution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contract manufacturers to produce all of our products and generally do not have long-term contracts with our manufacturers.</w:t>
      </w:r>
    </w:p>
    <w:p>
      <w:pPr>
        <w:spacing w:after="0" w:line="108"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production systems, we may be unable to locate alternative manufacturers of comparable quality at an acceptable price or in a timely manner,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pandemics or other public health matters,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various suppliers to supply a significant majority of our raw materials.</w:t>
      </w:r>
    </w:p>
    <w:p>
      <w:pPr>
        <w:spacing w:after="0" w:line="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in a timely manner, or at all. In such a case, we could have difficulty meeting consumer demand and net revenues could be adversely impacted.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limited number of distribution facilities for the products we sell.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operations for Vera Bradley-branded products are currently concentrated in a single, company-owned distribution center in Roanoke,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Pura Vida-branded products are primarily distributed from one third-party distribution center in Tijuana, Mexico.</w:t>
      </w:r>
    </w:p>
    <w:p>
      <w:pPr>
        <w:spacing w:after="0" w:line="8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significant disruption in the operation of these facilities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alternative facilities. In addition to the aforementioned events, pandemics or other public health matters could cause disruptions in our distribution operations if we were to temporarily suspend operations, or if we are unable to obtain the staffing levels required to effectively operate the facilities. If we encounter difficulties with our distribution facilities or other problems or disasters arise, we cannot ensure that critical systems and operations will be restored in a timely manner or at all, and this would have a material adverse effect on our business. In addition, if our distribution facilities are unable to sufficiently meet the capacity needs for the future growth of our business and products, we could be required to further expand our current facilities, which could affect us adversely in ways that we cannot predict.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raw materials could increase our cost of sales and cause our results of operations to suffer.</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increases in the price of cotton, our primary raw material, could have an adverse impact on our cost of sales. In addition, because synthetic components of our products are petroleum-based, the cost of oil affects the cost of our products. Upward movements in the price of oil in the global oil markets would also likely result in rising fuel and freight prices, which could increase our shipping costs. In the future, we may not be able to pass all or a portion of such higher costs on to our customers.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inherent in global sourcing and manufacturing activities.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source our Vera Bradley raw materials primarily from various suppliers in Asia, with the majority of non-cotton based products coming from China and South Korea. Our cotton-based products are sourced from areas outside of China. For Vera Bradley, we outsource the production of a significant majority of our products to companies in Asia. We source our Pura Vida components primarily from Asia and outsource the production of products primarily to El Salvador. We are subject to the risks inherent in global sourcing and manufacturing, including, but not limited to:</w:t>
      </w:r>
    </w:p>
    <w:p>
      <w:pPr>
        <w:spacing w:after="0" w:line="4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labor laws and other foreign governmental regulations;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U.S. import and export laws and regulations including the </w:t>
      </w:r>
      <w:r>
        <w:rPr>
          <w:rFonts w:ascii="Times New Roman" w:cs="Times New Roman" w:eastAsia="Times New Roman" w:hAnsi="Times New Roman"/>
          <w:sz w:val="18"/>
          <w:szCs w:val="18"/>
          <w:color w:val="080808"/>
        </w:rPr>
        <w:t>Uyghur Forced Labor Prevention Act (“UFLPA”) as described below</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or delays in shipments;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sites;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acts of war and terrorism, changing macroeconomic trends, pandemics or other public health matters, and other external factors over which we have no control;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duties, tariffs, or other trade restrictions or regulations.</w:t>
      </w:r>
    </w:p>
    <w:p>
      <w:pPr>
        <w:spacing w:after="0" w:line="17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UFLPA went into effect on June 21, 2022. The act establishes a rebuttable presumption that the importation into the United States of any goods manufactured in whole or partially in Xinjiang Uyghur Autonomous Region of China, or produced by certain entities, is prohibited entry. The Commissioner of U.S. Customs and Border Protection employs a risk-based approach that prioritizes the highest-risk goods based on current data and intelligence available to them at the time of entry.</w:t>
      </w:r>
    </w:p>
    <w:p>
      <w:pPr>
        <w:spacing w:after="0" w:line="12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Violations of labor or other laws by those manufacturers, or the divergence of a contract manufacturer’s labor or other practices from those generally accepted as ethical in the United States or in other markets in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which we may in the future do business, could also draw negative publicity for us and our brands, diminishing the value of our brands and reducing demand for our products.</w:t>
      </w:r>
    </w:p>
    <w:p>
      <w:pPr>
        <w:spacing w:after="0" w:line="19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majority of our Vera Bradley and Pura Vida products are currently manufactured for us in Asia and Central America, respectively.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transportation providers for substantially all of our product shipments.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labor shortages, and inclement weather, which may impact a shipping company’s ability to provide delivery services sufficient to meet our shipping needs.</w:t>
      </w:r>
    </w:p>
    <w:p>
      <w:pPr>
        <w:spacing w:after="0" w:line="12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facilities and related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or disruptions associated with our distribution systems could have a material adverse effect on our business and operations.</w:t>
      </w:r>
    </w:p>
    <w:p>
      <w:pPr>
        <w:spacing w:after="0" w:line="10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operating results depend on the orderly operation of our receiving and distribution functions, which also depends on our vendors' adherence to our shipping and receiving schedules. We may not anticipate all of the changing demands that our operating activities may impose on our receiving and distribution functions. There may also be events that are beyond our control that could cause delays in these functions, including but not limited to, changing macroeconomic trends, pandemics or other public health matters, and general disruptions or delays in shipping and receiving.</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rely on the flow of our goods through worldwide ports on a consistent basis. Disruption at the ports, such as labor work stoppages, could create significant risks to our business, particularly if the occurrence is during a peak import time. If we experience significant delays in our receipt of product, we may experience an increase in freight costs, unanticipated inventory shortages, and missed sales opportunities which could adversely affect our financial condition,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Pura Vida</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taken material impairment charges related to goodwill and other indefinite-lived intangible assets associated with the Pura Vida acquisition in the past and may be required to take additional impairment charges in the future, which may adversely affect the company’s financial condition and results of operations.</w:t>
      </w:r>
    </w:p>
    <w:p>
      <w:pPr>
        <w:spacing w:after="0" w:line="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used the purchase method of accounting to account for the acquisition of a majority interest in Pura Vida, which was consummated on July 16, 2019. A portion of the purchase price for this business is allocated to identifiable tangible and intangible assets and assumed liabilities based on estimated fair values at the date of acquisition. Goodwill is measured indirectly as the excess of the sum of (i) the consideration transferred (including contingent consideration, if any) and (ii) the fair value of any noncontrolling interest in the acquiree over the net assets acquired and liabilities assumed. The purchase price allocation resulted in a goodwill value of $44.3 million and a value of $61.7 million related to other intangible assets.</w:t>
      </w:r>
    </w:p>
    <w:p>
      <w:pPr>
        <w:spacing w:after="0" w:line="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fiscal 2024, we recorded an impairment to the Pura Vida brand indefinite-lived intangible asset of $5.4 million. The carrying value of all Pura Vida intangible assets, including the Pura Vida brand intangible asset, was $7.6 million as of February 3, 2024.</w:t>
      </w:r>
    </w:p>
    <w:p>
      <w:pPr>
        <w:spacing w:after="0" w:line="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fiscal 2023, we recorded a full impairment of goodwill totaling $44.3 million and an impairment charge for the Pura Vida brand intangible asset of $25.0 million.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When the Company performs future impairment tests, it is possible that the carrying value of the remaining intangible assets could exceed their implied fair value and therefore would require adjustment. Such adjustment would result in a charge to operating income in that period. Once adjusted, there can be no assurance that there will not be further adjustments for impairment in future periods.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Technology and Security</w:t>
      </w:r>
    </w:p>
    <w:p>
      <w:pPr>
        <w:spacing w:after="0" w:line="26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the transmission of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ransomware, or other similar events. Any electronic or physical security breach involving the misappropriation, loss or other unauthorized disclosure of confidential or personally identifiable information, including penetration of our network security, whether by us or by a third-party,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10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e-commerce websites in the U.S., Europe, and Canada. Given the complexity of our business and the significant number of transactions that we engage in, it is imperative that we maintain constant operation of our computer hardware and software systems. Despite our preventive efforts, including back-up systems,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business risks as a result of our e-commerce operations.</w:t>
      </w:r>
    </w:p>
    <w:p>
      <w:pPr>
        <w:spacing w:after="0" w:line="9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operate e-commerce stores at www.verabradley.com, outlet.verabradley.com, and international.verabradley.com, www.puravidabracelets.com, www.puravidabracelets.eu, and www.puravidabracelets.ca.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level of merchandise returns we experience; (iii) governmental regulation; (iv) e-commerce security breaches involving unauthorized access to our systems and/or customer information; (v) credit card fraud; and (vi) competition and general economic conditions specific to the Internet, e-commerce, and the accessories industry. If we are unable to effectively address these risks and any other risks that we face in connection with our Internet operations, our business, financial condition, results of operations, and/or cash flows could be materially adversely affected.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Tax and Valuation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of our operating results and stock price.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recorded long-lived asset impairment charges in the past and we may record material long-lived asset impairment charges in the future.</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Quarterly, we assess whether events or changes in circumstances have occurred that indicate the carrying value of long-lived asset groups may not be recoverable. If we determine that the carrying value of long-lived asset groups are not recoverable, we will be required to record impairment charges relating to those assets. For example, our assessments during fiscal years 2023 and 2022 indicated that operating losses or insufficient operating income existed at certain retail stores, with a projection that the operating losses or insufficient operating income for those locations would continue. As such, we recorded non-cash charges of $0.8 million and $0.1 million during fiscal years 2023 and 2022, respectively, within selling, general, and administrative expenses in the consolidated statements of operations to write down the carrying values of these stores' long-lived asset groups to their estimated fair values. We also recorded $0.6 million of a non-cash impairment charge relating to a corporate right-of-use asset in fiscal 2023. We recorded no long-lived asset impairments in fiscal 2024.</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projected key financial metrics for any reason, including if any of the strategic initiatives we implement do not result in significant improvements in our current financial performance trend, this would indicate that the value of our long-lived assets was not recoverable and we would incur additional impairment of assets in the future.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we record additional impairment charges, this could have a material adverse effect on our results of operations and financial condition.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and Regulatory Matters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the images associated with our brands.</w:t>
      </w:r>
    </w:p>
    <w:p>
      <w:pPr>
        <w:spacing w:after="0" w:line="3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increasingly face the risk of litigation and other claims against us. Litigation and other claims may arise in the ordinary course of our business and include employee claims, custom and duty claims, commercial disputes, intellectual property issues, marketing and solicitation claims, product-oriented allegations, and slip and fall claims. These cases often raise complex factual and legal issues, which are subject to risks and uncertainties and which could divert significant financial and management resources. Litigation and other claims against us could result in unexpected expenses and liability, as well as materially adversely affect our operations and our reputation.</w:t>
      </w:r>
    </w:p>
    <w:p>
      <w:pPr>
        <w:spacing w:after="0" w:line="2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our registered copyrights, registered and common law trademarks, and other proprietary rights have significant value and are critical to our ability to create and sustain demand for our products. The actions taken by us to establish and protect our proprietary rights may not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inability to protect our copyrights, trademarks, and other proprietary rights could adversely impact our results of operations. Any litigation regarding our proprietary rights could be time consuming and costly and could consume significant amounts of management's time that would otherwise be spent operating and growing our business.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also subject to the risk that claims will be brought against us for infringement of the intellectual property rights of third parties, seeking to block the sale of our products claimed to violate their intellectual property rights or to receive payment of monetary amounts related thereto. Although we have not been inhibited from selling our products in connection with intellectual property disputes, intellectual property-related obstacles may arise as we expand our product lines and extend our</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brands as well as the geographic scope of our sales and marketing. In particular, we may be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brands could be negatively affected, our sales could decline and, consequently, our business and results of operations could be adversely affected.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Environmental, Social, and Governance (“ESG”) actions may impact the value of our brands.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There has been increasing stakeholder and regulatory focus on ESG matters affecting public companies. Expectations regarding ESG disclosures, setting and executing ESG-related goals, and achieving measurable progress in a timely manner could expose us to market, operational, and execution costs or risks. We expect that stakeholder expectations, as well as laws, rules and regulations, in these areas will continue to evolve quickly, which may result in the need for increased resources for ESG monitoring and reporting and adjustments to our operations may be necessary as a result. We could face scrutiny with respect to the accuracy, adequacy, or completeness of our ESG-related disclosures. Additionally, disclosures about our ESG-related initiatives or goals, and progress towards those goals, may be based on standards for measuring progress that are still developing, internal controls and processes that continue to evolve, and assumptions or third-party information that we believe to be reasonable but are subject to change in the future. We could also be subject to scrutiny with respect to the scope or nature of our ESG-related initiatives or goals, or for any revisions to those goals. If our ESG-related data, processes, and reporting are incomplete or inaccurate, or if we fail to achieve progress with respect to these initiatives or goals on a timely basis, or at all, our reputation and the value of our brands could be adversely affected. Any harm to our reputation resulting from a failure or perceived failure to meet ESG-related goals, metrics, or disclosures could adversely affect our business, financial performance, and growth.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Securities Markets and Ownership of Our Common Stock</w:t>
      </w:r>
    </w:p>
    <w:p>
      <w:pPr>
        <w:spacing w:after="0" w:line="9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a number of factors, most of which we cannot control, including:</w:t>
      </w:r>
    </w:p>
    <w:p>
      <w:pPr>
        <w:spacing w:after="0" w:line="10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other shopping mall or lifestyle center tenants;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particularly during the holiday shopping period;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departures of key executives;</w:t>
      </w:r>
    </w:p>
    <w:p>
      <w:pPr>
        <w:spacing w:after="0" w:line="103"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that we may choose to provide to the public, any changes in these projections or our failure for any reason to meet these projections;</w:t>
      </w:r>
    </w:p>
    <w:p>
      <w:pPr>
        <w:spacing w:after="0" w:line="26"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others, including our filings with the SEC and announcements relating to litigation and other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about our business in the press or the investment community;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our significant shareholders, officers, and directors;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entry into new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wars, hostilities, riots, social unrest or acts of terrorism on trading markets;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that impact the retail industry;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or restructurings;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pandemics or other public health matters and the resulting adverse impact on the capital markets;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 we could incur substantial costs and our resources and the attention of management could be diverted from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Over the last few years, proxy contests and other forms of shareholder activism have been directed against numerous public companies in retail businesses. We could become engaged in a consent solicitation, or proxy contest, or experience other shareholder activism, in the future. Activist shareholders may advocate for certain governance and strategic changes at our company. In the event of shareholder activism, particularly with respect to matters which our Board of Directors (“Board”), in exercising their fiduciary duties, disagree with or have determined not to pursue, our business could be adversely affected because responding to actions by activist shareholders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plans and create additional value for our shareholders may be adversely affected.</w:t>
      </w:r>
    </w:p>
    <w:p>
      <w:pPr>
        <w:spacing w:after="0" w:line="11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limited number of shareholders control a significant percentage of the voting power of our common stock, and therefore investors may have diminished ability to determine the outcome of shareholder votes.</w:t>
      </w:r>
    </w:p>
    <w:p>
      <w:pPr>
        <w:spacing w:after="0" w:line="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Robert Hall, Barbara Bradley Baekgaard, Joan Hall (Mr. Hall’s wife and Ms. Bradley Baekgaard’s daughter), Patricia R. Miller, and P. Michael Miller, directly or indirectly, beneficially own and have the ability to exercise voting control over, in the aggregate, 19.0% of our outstanding shares of common stock as of February 3, 2024.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diminish an investor's ability to influence corporate matters, and the interests of these shareholders may not coincide with our interests or interests of investors. As a result, we may take actions that investors do not believe to be in our interests or their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differ significantly from our guidance, which could cause incongruous fluctuation in our stock price.</w:t>
      </w:r>
    </w:p>
    <w:p>
      <w:pPr>
        <w:spacing w:after="0" w:line="9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such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our guidance and no such person expresses any opinion or any other form of assurance with respect thereto.</w:t>
      </w:r>
    </w:p>
    <w:p>
      <w:pPr>
        <w:spacing w:after="0" w:line="1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such statements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into the future that the data are forecast.</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5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to issue preferred stock and additional shares of our common stock without shareholder approval;</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 action by written consent;</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our shareholders from calling a special meeting of shareholders;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permitted by our second amended and restated articles of incorporation and amended and restated bylaws, our Board also has the ability, should it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our common stock at a discount, leading to the dilution of the potential acquirer’s stake. The adoption of a poison pill, or the Board’s ability to do so, can have negative effects such as those described above.</w:t>
      </w:r>
    </w:p>
    <w:p>
      <w:pPr>
        <w:spacing w:after="0" w:line="1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Pandemics</w:t>
      </w:r>
    </w:p>
    <w:p>
      <w:pPr>
        <w:spacing w:after="0" w:line="25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outbreak of pandemics, or events related thereto, may cause significant disruptions in our revenue streams, operations, global supply chain and other facets of our business, which may continue to adversely impact our results of operations, financial condition, and share price.</w:t>
      </w:r>
    </w:p>
    <w:p>
      <w:pPr>
        <w:spacing w:after="0" w:line="3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 pandemic (COVID-19) in the past resulted in travel restrictions both domestically and internationally, community and self-quarantines, certain factory closures or reduced operations, as well as mall closures and reduced mall operating hours. This could happen in the future as well. Due to the past pandemic we experienced significantly reduced traffic, demand, and sales. This could recur in the future. Future pandemic-related mandates from governments and public health officials may necessitate additional closures to some, or all, of our retail stores, the stores of our Indirect segment partners and Pura Vida wholesale retailers, or otherwise detrimentally impact aspects of our operations, as COVID-19 did in the past. Pandemics may reduce consumers' willingness and ability to travel to major cities and vacation destinations in which some of our stores are located.</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recent fiscal years, the COVID-19 pandemic led to temporary factory closures and production and logistics constraints due to workforce availability, as well as global supply chain challenges such as vessel and container shortages and port congestion. As a result of the aforementioned restrictions, or other related factors, we have experienced and may experience in the future delayed shipments and increased shipping costs for some of our merchandise. We may also be adversely impacted should a pandemic compromise operations at our corporate headquarters and distribution center located in Roanoke, Indiana.</w:t>
      </w:r>
    </w:p>
    <w:p>
      <w:pPr>
        <w:spacing w:after="0" w:line="1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extent of a pandemic’s impact on our results of operations, financial condition, and share price will likely depend on the nature and seventy of the pandemic, future developments, including as may be related to the spread of new virus variants; mitigation activities undertaken by governments and the general public; the overall economic impacts of quarantines and business closures; and current, and potentially long-term, changes in consumer behavior.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above-mentioned factors, the Company’s liquidity, results of operations, and financial condition could be adversely impacted.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her services or those of other key individuals in the future. The unexpected loss of services of key employees could have adverse impacts on our business and results of operations. We may also need to attract and retain additional qualified employees and develop, train, and manage an increasing number of management-level, sales, and other employees. Competition for qualified employees is intense. We may not be able to attract and retain employees as needed in the future.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attract and retain retail and distribution center employees required for our business.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must attract, motivate, and retain a sufficient number of qualified retail and distribution center employees. Historically, competition for talent in these positions has been intense and turnover is generally high. If we are unable to attract and retain such employees with the necessary skills and experience, we may not achieve our objectives and our financial condition, results of operations, and cash flows could be adversely impacted.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quarterly fluctuations, which could adversely affect the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store openings and store closings;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and profits contributed by new stores;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traffic and comparable sales;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the timing of holidays, particularly in the United States and China;</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marketing campaigns or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sales to Vera Bradley and Pura Vida wholesale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pattern and collection releases and new product introductions.</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unionization, work stoppages, slowdowns, or increased labor costs.</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increased risk of work stoppages and slowdowns. In addition, if the terms of a collective bargaining agreement were to be significantly more favorable to union workers than our current pay-and-benefits arrangements, our costs would increase and our results of operations would suffer.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negative publicity and our business may be harmed if we need to recall any products we sell.</w:t>
      </w:r>
    </w:p>
    <w:p>
      <w:pPr>
        <w:spacing w:after="0" w:line="9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 Risk Management and Strategy</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an enterprise risk assessment process which specifically addresses risks associated with cybersecurity. Additionally, we have a cyber security incident response plan that outlines the structure, roles, responsibilities and operating procedures to utilize during potentially significant events that could negatively impact the Company. Our cybersecurity incident response plan provides a documented framework for handling high severity security incidents and includes facilitated coordination across multiple functions of the Company. Our incident response plan also includes identifying and responding to material risks from cybersecurity threats associated with our use of third-party service providers. We invest in threat intelligence and are active participants in industry and government forums to strive to improve our overall capabilities with respect to cybersecurity. We routinely perform reviews of threat intelligence and vulnerability management capabilities, while performing simulations and drills at both technical and management levels. Our formal cybersecurity program is modeled after industry best practice global standards and best practices. We incorporate external expertise in all aspects of our program utilizing best practice guidance from third-party cybersecurity advisors to provide objective assessments of our capabilities. We maintain a cyber liability insurance program, although the coverage may not be sufficient in some circumstances. We also have policies and practices in place to address data privacy regulations. Our cybersecurity program is reviewed and assessed by external information security specialists or by our internal audit group at least annually. Further, we conduct annual cybersecurity awareness training for employees and targeted training for high-risk functions of the Company. We also conduct phishing exercises and correlated education with our employees.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Related to Cybersecurity Risks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Vice President of Enterprise Technology Solutions is responsible for the strategic leadership and direction of the Company's information technology organization and possesses 25 years of tenure and experience with the Company in matters of privacy assurance, cyber, digital, and data security. As part of its risk oversight role, our Audit Committee of the Board of Directors oversees cyber risk, information security and technology risk, including management’s actions to identify, assess, mitigate and remediate material cybersecurity issues and risks. The Audit Committee receives regular reporting from our Vice President of Enterprise Technology Solutions on our technology and cyber risk profile, enterprise cybersecurity program and key enterprise cybersecurity activities.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experienced no material cybersecurity incidents in fiscal 2024.</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location, use, and size of our distribution, corporate facilities, and showrooms as of February 3, 2024. The leases on the leased properties expire at various times through 2033, subject to renewal options.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060" w:type="dxa"/>
            <w:vAlign w:val="bottom"/>
          </w:tcPr>
          <w:p>
            <w:pPr>
              <w:ind w:left="212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Approximate Square Footage</w:t>
            </w:r>
          </w:p>
        </w:tc>
        <w:tc>
          <w:tcPr>
            <w:tcW w:w="230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Leased/Owned</w:t>
            </w:r>
          </w:p>
        </w:tc>
      </w:tr>
      <w:tr>
        <w:trPr>
          <w:trHeight w:val="23"/>
        </w:trPr>
        <w:tc>
          <w:tcPr>
            <w:tcW w:w="25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75"/>
        </w:trPr>
        <w:tc>
          <w:tcPr>
            <w:tcW w:w="2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Roanoke, Indiana</w:t>
            </w:r>
          </w:p>
        </w:tc>
        <w:tc>
          <w:tcPr>
            <w:tcW w:w="4060" w:type="dxa"/>
            <w:vAlign w:val="bottom"/>
            <w:shd w:val="clear" w:color="auto" w:fill="CCEEFF"/>
          </w:tcPr>
          <w:p>
            <w:pPr>
              <w:ind w:left="1000"/>
              <w:spacing w:after="0" w:line="176" w:lineRule="exact"/>
              <w:rPr>
                <w:sz w:val="20"/>
                <w:szCs w:val="20"/>
                <w:color w:val="auto"/>
              </w:rPr>
            </w:pPr>
            <w:r>
              <w:rPr>
                <w:rFonts w:ascii="Times New Roman" w:cs="Times New Roman" w:eastAsia="Times New Roman" w:hAnsi="Times New Roman"/>
                <w:sz w:val="18"/>
                <w:szCs w:val="18"/>
                <w:color w:val="auto"/>
              </w:rPr>
              <w:t>Vera Bradley corporate headquarters,</w:t>
            </w:r>
          </w:p>
        </w:tc>
        <w:tc>
          <w:tcPr>
            <w:tcW w:w="22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r>
      <w:tr>
        <w:trPr>
          <w:trHeight w:val="243"/>
        </w:trPr>
        <w:tc>
          <w:tcPr>
            <w:tcW w:w="2580" w:type="dxa"/>
            <w:vAlign w:val="bottom"/>
            <w:shd w:val="clear" w:color="auto" w:fill="CCEEFF"/>
          </w:tcPr>
          <w:p>
            <w:pPr>
              <w:spacing w:after="0"/>
              <w:rPr>
                <w:sz w:val="21"/>
                <w:szCs w:val="21"/>
                <w:color w:val="auto"/>
              </w:rPr>
            </w:pP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design center, and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188,000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Owned</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Roanoke, Indiana</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warehouse and distribution</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428,500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Owned</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New York</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Vera Bradley office and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Asia sourcing office</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Atlanta, Georgia</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Vera Bradley showroom</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5,600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Dallas, Texas</w:t>
            </w:r>
          </w:p>
        </w:tc>
        <w:tc>
          <w:tcPr>
            <w:tcW w:w="40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Vera Bradley showroom</w:t>
            </w:r>
          </w:p>
        </w:tc>
        <w:tc>
          <w:tcPr>
            <w:tcW w:w="2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1,800</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 Jolla, California</w:t>
            </w:r>
          </w:p>
        </w:tc>
        <w:tc>
          <w:tcPr>
            <w:tcW w:w="40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Pura Vida corporate headquarters</w:t>
            </w: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7,400</w:t>
            </w:r>
          </w:p>
        </w:tc>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Leased</w:t>
            </w:r>
          </w:p>
        </w:tc>
      </w:tr>
    </w:tbl>
    <w:p>
      <w:pPr>
        <w:spacing w:after="0" w:line="15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February 3, 2024, we also leased 126 Vera Bradley store locations, including a former location, and five Pura Vida store locations in the United States. See below for more information regarding the locations of our open stores as of February 3, 2024.</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consider these properties to be in good condition generally and believe that our facilities are adequate for our operations and provide sufficient capacity to meet our anticipated requirements. The Vera Bradley properties in the above table are used by</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both the Vera Bradley Direct segment and Vera Bradley Indirect segment, excluding the two standalone showrooms which are used exclusively by the Vera Bradley Indirect segment. The Pura Vida headquarters is used by the Pura Vida segment.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Store Locations</w:t>
      </w:r>
    </w:p>
    <w:p>
      <w:pPr>
        <w:spacing w:after="0" w:line="104" w:lineRule="exact"/>
        <w:rPr>
          <w:sz w:val="20"/>
          <w:szCs w:val="20"/>
          <w:color w:val="auto"/>
        </w:rPr>
      </w:pPr>
    </w:p>
    <w:p>
      <w:pPr>
        <w:ind w:right="40"/>
        <w:spacing w:after="0" w:line="315" w:lineRule="auto"/>
        <w:rPr>
          <w:sz w:val="20"/>
          <w:szCs w:val="20"/>
          <w:color w:val="auto"/>
        </w:rPr>
      </w:pPr>
      <w:r>
        <w:rPr>
          <w:rFonts w:ascii="Times New Roman" w:cs="Times New Roman" w:eastAsia="Times New Roman" w:hAnsi="Times New Roman"/>
          <w:sz w:val="17"/>
          <w:szCs w:val="17"/>
          <w:i w:val="1"/>
          <w:iCs w:val="1"/>
          <w:color w:val="auto"/>
        </w:rPr>
        <w:t>Vera Bradley</w:t>
      </w:r>
      <w:r>
        <w:rPr>
          <w:rFonts w:ascii="Times New Roman" w:cs="Times New Roman" w:eastAsia="Times New Roman" w:hAnsi="Times New Roman"/>
          <w:sz w:val="17"/>
          <w:szCs w:val="17"/>
          <w:color w:val="auto"/>
        </w:rPr>
        <w:t>. Our Vera Bradley full-line stores are located primarily in high-traffic regional malls, lifestyle centers, and mixed-use shopping centers across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United States. The following table shows the number of Vera Bradley full-line and outlet stores we operated in each state as of February 3,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0" w:type="dxa"/>
            <w:vAlign w:val="bottom"/>
          </w:tcPr>
          <w:p>
            <w:pPr>
              <w:spacing w:after="0"/>
              <w:rPr>
                <w:sz w:val="1"/>
                <w:szCs w:val="1"/>
                <w:color w:val="auto"/>
              </w:rPr>
            </w:pPr>
          </w:p>
        </w:tc>
      </w:tr>
      <w:tr>
        <w:trPr>
          <w:trHeight w:val="146"/>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5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Vera Bradley Outlet</w:t>
            </w:r>
          </w:p>
        </w:tc>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Vera Bradley Full-</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Vera Bradley Outlet</w:t>
            </w:r>
          </w:p>
        </w:tc>
        <w:tc>
          <w:tcPr>
            <w:tcW w:w="0" w:type="dxa"/>
            <w:vAlign w:val="bottom"/>
          </w:tcPr>
          <w:p>
            <w:pPr>
              <w:spacing w:after="0"/>
              <w:rPr>
                <w:sz w:val="1"/>
                <w:szCs w:val="1"/>
                <w:color w:val="auto"/>
              </w:rPr>
            </w:pPr>
          </w:p>
        </w:tc>
      </w:tr>
      <w:tr>
        <w:trPr>
          <w:trHeight w:val="196"/>
        </w:trPr>
        <w:tc>
          <w:tcPr>
            <w:tcW w:w="2580" w:type="dxa"/>
            <w:vAlign w:val="bottom"/>
            <w:gridSpan w:val="2"/>
            <w:vMerge w:val="continue"/>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Line Stores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60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Line Stores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229"/>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Nebraska</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Hampshire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Hawaii</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Carolina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Oklahoma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Kansas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Carolina</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Louisiana</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Virginia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As of February 3, 2024, Pura Vida had five retail store locations. Of the five locations, three were in California, one was in South Carolina,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was in Arizona.</w:t>
      </w:r>
    </w:p>
    <w:p>
      <w:pPr>
        <w:spacing w:after="0" w:line="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be involved from time to time, as a plaintiff or a defendant, in various routine legal proceedings incidental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w:t>
      </w:r>
    </w:p>
    <w:p>
      <w:pPr>
        <w:spacing w:after="0" w:line="6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filed a motion for summary judgement asking the Court to dismiss all claims with prejudice and grant judgment on its counterclaim. On January 4, 2023, the Court granted the Company’s motion for summary judgment dismissing Vesi’s claims and also granted judgment on the Company’s counterclaims against the principals of Vesi for an immaterial amount. Vesi appealed this decision. On November 9, 2023 the United States Court of Appeals for the Sixth Circuit issued an opinion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affirming the District Court’s judgment in favor of the Company dismissing Vesi’s claims and granting the Company’s counterclaims.</w:t>
      </w:r>
    </w:p>
    <w:p>
      <w:pPr>
        <w:spacing w:after="0" w:line="2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80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Our common stock is listed on the NASDAQ Global Select Market under the symbol “VRA”.</w:t>
      </w:r>
    </w:p>
    <w:p>
      <w:pPr>
        <w:spacing w:after="0" w:line="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29, 2024, we had approximately 27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details activity under the 2021 Share Repurchase Program during the fourteen weeks ended February 3, 2024. Refer to Note 13 of the Notes to the Consolidated Financial Statements as set forth in Part II, Item 8. of this Annual Report on Form 10-K for additional information regarding our share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2021 Share Repurchase Program during the fourteen weeks ended February 3, 2024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 that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2"/>
                <w:szCs w:val="12"/>
                <w:color w:val="auto"/>
              </w:rPr>
            </w:pPr>
          </w:p>
        </w:tc>
        <w:tc>
          <w:tcPr>
            <w:tcW w:w="1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378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8"/>
        </w:trPr>
        <w:tc>
          <w:tcPr>
            <w:tcW w:w="3780" w:type="dxa"/>
            <w:vAlign w:val="bottom"/>
            <w:vMerge w:val="continue"/>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4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2023 - November 25, 2023</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25,745,349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26, 2023 - December 30, 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25,639,477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 February 3, 2024</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25,538,298</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October 21, 2010, following our initial public offering. Since that time, we have not declared any cash dividends. The payment of dividends is evaluated on a periodic basis.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graph set forth below compares the cumulative shareholder return on our common stock between February 2, 2019, and February 3, 2024, to the cumulative return of (i) the S&amp;P 500 Index and (ii) the S&amp;P 500 Apparel, Accessories, and Luxury Goods Index over the same period. This graph assumes an initial investment of $100 on February 2, 2019, in our common stock, the S&amp;P 500 Index, and the S&amp;P 500 Apparel, Accessories, and Luxury Goods Index and assumes the reinvestment of dividends, if any.</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294640</wp:posOffset>
            </wp:positionV>
            <wp:extent cx="5795010" cy="4114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01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80" w:type="dxa"/>
            <w:vAlign w:val="bottom"/>
          </w:tcPr>
          <w:p>
            <w:pPr>
              <w:spacing w:after="0"/>
              <w:rPr>
                <w:sz w:val="16"/>
                <w:szCs w:val="16"/>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2/2/2019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2/1/2020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1/30/2021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1/29/2022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1/28/2023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2/3/2024</w:t>
            </w:r>
          </w:p>
        </w:tc>
        <w:tc>
          <w:tcPr>
            <w:tcW w:w="20" w:type="dxa"/>
            <w:vAlign w:val="bottom"/>
          </w:tcPr>
          <w:p>
            <w:pPr>
              <w:spacing w:after="0"/>
              <w:rPr>
                <w:sz w:val="16"/>
                <w:szCs w:val="16"/>
                <w:color w:val="auto"/>
              </w:rPr>
            </w:pPr>
          </w:p>
        </w:tc>
      </w:tr>
      <w:tr>
        <w:trPr>
          <w:trHeight w:val="23"/>
        </w:trPr>
        <w:tc>
          <w:tcPr>
            <w:tcW w:w="4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Vera Bradley, Inc.</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0" w:type="dxa"/>
            <w:vAlign w:val="bottom"/>
          </w:tcPr>
          <w:p>
            <w:pPr>
              <w:spacing w:after="0"/>
              <w:rPr>
                <w:sz w:val="19"/>
                <w:szCs w:val="19"/>
                <w:color w:val="auto"/>
              </w:rPr>
            </w:pPr>
          </w:p>
        </w:tc>
      </w:tr>
      <w:tr>
        <w:trPr>
          <w:trHeight w:val="230"/>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0" w:type="dxa"/>
            <w:vAlign w:val="bottom"/>
          </w:tcPr>
          <w:p>
            <w:pPr>
              <w:spacing w:after="0"/>
              <w:rPr>
                <w:sz w:val="19"/>
                <w:szCs w:val="19"/>
                <w:color w:val="auto"/>
              </w:rPr>
            </w:pPr>
          </w:p>
        </w:tc>
      </w:tr>
      <w:tr>
        <w:trPr>
          <w:trHeight w:val="230"/>
        </w:trPr>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Apparel, Accessories, and Luxury Goods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0" w:type="dxa"/>
            <w:vAlign w:val="bottom"/>
          </w:tcPr>
          <w:p>
            <w:pPr>
              <w:spacing w:after="0"/>
              <w:rPr>
                <w:sz w:val="19"/>
                <w:szCs w:val="19"/>
                <w:color w:val="auto"/>
              </w:rPr>
            </w:pPr>
          </w:p>
        </w:tc>
      </w:tr>
      <w:tr>
        <w:trPr>
          <w:trHeight w:val="864"/>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our major achievements for fiscal 2024 are as follows: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launched our long-term strategic plan, Project Restoration, and completed the first year of our turnaround. We thoughtfully outlined our plans in each of the four pillars – Consumer, Brand, Product, and Channel – and began implementation of key initiatives.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Company, we continued to carefully manage both gross margin and expenses and have instilled a culture of discipline around gross margin and expense control. We continued to strengthen and streamline our organizational structure and right-size our leadership team and cost structure for the size of our business, to address the continuing challenging macroeconomic environment and to best position us to achieve our long-term strategic plans. We also continued to make investments in customer data science, business analytics, and pricing optimization, allowing us to collect and analyze data and make fact-based decisions to more efficiently run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the </w:t>
      </w:r>
      <w:r>
        <w:rPr>
          <w:rFonts w:ascii="Times New Roman" w:cs="Times New Roman" w:eastAsia="Times New Roman" w:hAnsi="Times New Roman"/>
          <w:sz w:val="18"/>
          <w:szCs w:val="18"/>
          <w:b w:val="1"/>
          <w:bCs w:val="1"/>
          <w:u w:val="single" w:color="auto"/>
          <w:color w:val="auto"/>
        </w:rPr>
        <w:t>Vera Bradley</w:t>
      </w:r>
      <w:r>
        <w:rPr>
          <w:rFonts w:ascii="Times New Roman" w:cs="Times New Roman" w:eastAsia="Times New Roman" w:hAnsi="Times New Roman"/>
          <w:sz w:val="18"/>
          <w:szCs w:val="18"/>
          <w:color w:val="auto"/>
        </w:rPr>
        <w:t xml:space="preserve"> brand:</w:t>
      </w:r>
    </w:p>
    <w:p>
      <w:pPr>
        <w:spacing w:after="0" w:line="229" w:lineRule="exact"/>
        <w:rPr>
          <w:sz w:val="20"/>
          <w:szCs w:val="20"/>
          <w:color w:val="auto"/>
        </w:rPr>
      </w:pPr>
    </w:p>
    <w:p>
      <w:pPr>
        <w:ind w:left="660" w:right="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expanded our robust product innovation pipeline, including launching our Leather Collection, which was highly successful and will expand in fiscal 2025.</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our NFL collection and will add more teams this year.</w:t>
      </w:r>
    </w:p>
    <w:p>
      <w:pPr>
        <w:spacing w:after="0" w:line="225"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another year of product collaborations with iconic brands such as Disney, Harry Potter, Star Wars, Hello Kitty, and Peanuts, which align with our target customers and expand our customer reach.</w:t>
      </w:r>
    </w:p>
    <w:p>
      <w:pPr>
        <w:spacing w:after="0" w:line="19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strides in sustainability by committing that the majority of our cotton products will be Better Cotton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fiscal 2025.</w:t>
      </w:r>
    </w:p>
    <w:p>
      <w:pPr>
        <w:spacing w:after="0" w:line="170" w:lineRule="exact"/>
        <w:rPr>
          <w:rFonts w:ascii="Times New Roman" w:cs="Times New Roman" w:eastAsia="Times New Roman" w:hAnsi="Times New Roman"/>
          <w:sz w:val="18"/>
          <w:szCs w:val="18"/>
          <w:color w:val="auto"/>
        </w:rPr>
      </w:pPr>
    </w:p>
    <w:p>
      <w:pPr>
        <w:ind w:left="660" w:right="15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we transformed our online outlet from a flash-sale model to an everyday extension of our outlet stores – outlet.verabradley.com. This brought new customers to the brand and helped offset weakness in the outlet store channel.</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navigation changes on verabradley.com, which have been successful in reducing bounce rate and driving conversion and sales.</w:t>
      </w:r>
    </w:p>
    <w:p>
      <w:pPr>
        <w:spacing w:after="0" w:line="238"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continued to strengthen and rationalize our store base. We have taken needed steps, via product, marketing, and expense discipline, to improve the profitability of our full-line stores and closed fewer locations than originally expected. In fiscal 2024, we closed eight underperforming full-line stores and one outlet store, and opened three outlet stores, ending the fiscal year with 43 full-line and 81 outlet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the </w:t>
      </w:r>
      <w:r>
        <w:rPr>
          <w:rFonts w:ascii="Times New Roman" w:cs="Times New Roman" w:eastAsia="Times New Roman" w:hAnsi="Times New Roman"/>
          <w:sz w:val="18"/>
          <w:szCs w:val="18"/>
          <w:b w:val="1"/>
          <w:bCs w:val="1"/>
          <w:u w:val="single" w:color="auto"/>
          <w:color w:val="auto"/>
        </w:rPr>
        <w:t>Pura Vida</w:t>
      </w:r>
      <w:r>
        <w:rPr>
          <w:rFonts w:ascii="Times New Roman" w:cs="Times New Roman" w:eastAsia="Times New Roman" w:hAnsi="Times New Roman"/>
          <w:sz w:val="18"/>
          <w:szCs w:val="18"/>
          <w:color w:val="auto"/>
        </w:rPr>
        <w:t xml:space="preserve"> brand:</w:t>
      </w:r>
    </w:p>
    <w:p>
      <w:pPr>
        <w:spacing w:after="0" w:line="243" w:lineRule="exact"/>
        <w:rPr>
          <w:sz w:val="20"/>
          <w:szCs w:val="20"/>
          <w:color w:val="auto"/>
        </w:rPr>
      </w:pPr>
    </w:p>
    <w:p>
      <w:pPr>
        <w:ind w:left="660" w:right="24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marketing front, our comprehensive customer data platform implemented in fiscal 2024 is allowing us to be more analytical and to more strategically target customers and potential customers, with a keen focus on both customer acquisition and retention.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summer and fall “Live Free” and “College Mobile” tours were successes for customer engagement.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2024, we continued collaborations with Disney, Harry Potter, Hello Kitty, and the World Surf League; partnered with key influencers; and offered themed-collections centered around key events such as Shark Week.</w:t>
      </w:r>
    </w:p>
    <w:p>
      <w:pPr>
        <w:spacing w:after="0" w:line="175"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to innovate and added a new men’s jewelry collection, which still targets our core customer, who purchases these items for the men in her life.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success of our existing Pura Vida stores, we identified two new Pura Vida store locations that will open in fiscal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to gain both operational and strategic efficiency, we moved the Pura Vida store operations under the Vera Bradley team.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and the Vera Bradley websites (verabradley.com, international.verabradley.com, and outlet.verabradley.com). There were no sales from our Vera Bradley annual outlet sale in Fort Wayne, Indiana for fiscal years 2022 and 2023 as it was cancelled due to the COVID-19 pandemic. Revenues for the VB Indirect segment reflect sales of Vera Bradley-branded products to specialty retail partners; department stores; national accounts; third-party e-commerce sites; and third-party inventory liquidators, as well as royalties recognized through licensing agreements related to the Vera Bradley brand. Revenues for the Pura Vida segment reflect revenues generated through the Pura Vida websites (www.puravidabracelets.com, www.puravidabracelets.eu, and www.puravidabracelets.ca), through the distribution of Pura Vida-branded products to wholesale retailers, and through Pura Vida retail stores.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10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Typically, comparable sales are calculated based upon our stores that have been open for at least 12 full fiscal months and net revenues from our Vera Bradley e-commerce operations. Comparable store sales are calculated based solely upon stores that have been open for at least 12 full fiscal months.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4" w:lineRule="exact"/>
        <w:rPr>
          <w:sz w:val="20"/>
          <w:szCs w:val="20"/>
          <w:color w:val="auto"/>
        </w:rPr>
      </w:pPr>
    </w:p>
    <w:p>
      <w:pPr>
        <w:ind w:right="600"/>
        <w:spacing w:after="0" w:line="250" w:lineRule="auto"/>
        <w:rPr>
          <w:sz w:val="20"/>
          <w:szCs w:val="20"/>
          <w:color w:val="auto"/>
        </w:rPr>
      </w:pPr>
      <w:r>
        <w:rPr>
          <w:rFonts w:ascii="Times New Roman" w:cs="Times New Roman" w:eastAsia="Times New Roman" w:hAnsi="Times New Roman"/>
          <w:sz w:val="18"/>
          <w:szCs w:val="18"/>
          <w:color w:val="auto"/>
        </w:rPr>
        <w:t>As a result of the temporary closure of all Vera Bradley stores due to COVID-19 during portions of the first and second quarters of fiscal 2021, the Company's fiscal 2022 comparable store sales and comparable sales calculations are not meaningful and therefore are not provided.</w:t>
      </w:r>
    </w:p>
    <w:p>
      <w:pPr>
        <w:spacing w:after="0" w:line="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Typically, measuring the change in year-over-year comparable sales allows us and our investors to evaluate how our store base and e-commerce operations are performing. Various factors affect our comparable sales, including:</w:t>
      </w:r>
    </w:p>
    <w:p>
      <w:pPr>
        <w:spacing w:after="0" w:line="4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holidays;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level of promotions;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duty, all inbound freight costs incurred, and inventory adjustments including adjustments described in Note 16 to the Notes to the Consolidated Financial Statements herein. The components of our reported cost of sales may not be comparable to those of other retail and wholesale companies.</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operational efficiencies, such as leveraging of fixed costs; promotional activities, including free shipping; commodity prices, such as for cotton; tariffs; and labor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104" w:lineRule="exact"/>
        <w:rPr>
          <w:sz w:val="20"/>
          <w:szCs w:val="20"/>
          <w:color w:val="auto"/>
        </w:rPr>
      </w:pPr>
    </w:p>
    <w:p>
      <w:pPr>
        <w:ind w:left="340" w:right="440"/>
        <w:spacing w:after="0" w:line="352" w:lineRule="auto"/>
        <w:rPr>
          <w:sz w:val="20"/>
          <w:szCs w:val="20"/>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 •Pura Vida business expenses primarily related to employee compensation and store expenses.</w:t>
      </w:r>
    </w:p>
    <w:p>
      <w:pPr>
        <w:ind w:right="100"/>
        <w:spacing w:after="0" w:line="258"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16 to the Notes to the Consolidated Financial Statements herein.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performs its indefinite-lived asset impairment test annually, or more frequently if facts and circumstances indicate possible impairment. Prior to fiscal 2024, the Company performed an annual impairment test for its goodwill.</w:t>
      </w:r>
    </w:p>
    <w:p>
      <w:pPr>
        <w:spacing w:after="0" w:line="40"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We have experienced significantly lower sales from our Pura Vida e-commerce channel due to a decline in social and digital media effectiveness, as well as lower wholesale sales. These lower sales volumes had a negative impact on the fair value determination of intangible assets in fiscal years 2024 and 2023.</w:t>
      </w:r>
    </w:p>
    <w:p>
      <w:pPr>
        <w:spacing w:after="0" w:line="1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performed its annual impairment test in the second quarter of fiscal 2024 and recorded no impairment charges based on its quantitative analysis at that time. Due to subsequent triggering events, the Company performed a second quantitative analysis of the carrying value of the Pura Vida brand in the fourth quarter of fiscal 2024 and recorded an impairment charge of $5.4 million, further described in Note 15 to the Notes to the Consolidated Financial Statements herein.</w:t>
      </w:r>
    </w:p>
    <w:p>
      <w:pPr>
        <w:spacing w:after="0" w:line="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annual impairment analysis performed during fiscal 2023, the Company performed a quantitative analysis, as well as subsequent analyses due to triggering events, further described in Note 15 to the Notes to the Consolidated Financial Statements herein. Impairment charges of $44.3 million and $25.0 million were recorded during fiscal 2023 for goodwill and the Pura Vida brand, respectively.</w:t>
      </w:r>
    </w:p>
    <w:p>
      <w:pPr>
        <w:spacing w:after="0" w:line="4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Refer to Note 15 to the Notes to the Consolidated Financial Statements herein for additional information regarding the goodwill and indefinite-lived intangible assets impairment tests.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0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2 to the Notes to the Consolidated Financial Statements herein. Impairment charges of $1.4 million and $0.1 million were recognized in the fiscal years ended January 28, 2023 and January 29, 2022, respectively, for property, plant, and equipment assets and lease right-of-use assets related to underperforming stores and a corporate right-of-use asset and are included in SG&amp;A expenses in the Consolidated Statements of Operations and in impairment charges in the Consolidated Statements of Cash Flows. Impairment charges of $0.6 million were recorded within corporate unallocated during fiscal 2023. The remaining impairment charges were included in the VB Direct segment. No such impairment charges were recorded in fiscal 2024. We are unable to predict the extent of the impact that the inflationary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environment, or other macroeconomic factors, will have on our operations, the economy, or other factors; therefore, it is possible additional impairments could be identified in future periods, and such amounts could be material.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Savings Initiatives and Other Charges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fiscal 2024, the Company continued the implementation of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 Refer to Note 16 to the Notes to the Consolidated Financial Statements herein for additional information regarding charges for cost savings initiatives and remaining liabilities, as well as other charges not comparable with the prior year.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Environment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impacted by broader macroeconomic issues in the U.S. marketplace – and can be affected both positively and negatively over time.</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been specifically impacted by higher tariffs from previously duty-free countries, where we source products, as a result of the expiration of the Generalized System of Preferences (“GSP”) duty-free status at the end of calendar year 2020. In addition, the macroeconomic environment has been further challenged by inflationary pressures, including high gas prices, interest rates, and other related factors that have impacted consumer discretionary spending. We have also seen a trend of steeply increasing digital media costs.</w:t>
      </w:r>
    </w:p>
    <w:p>
      <w:pPr>
        <w:spacing w:after="0" w:line="2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mitigate some of these inflationary and supply chain pressures, we implemented strategic price increases across both of our brands in late fiscal 2022 through fiscal 2024. We will continue to monitor our pricing as it relates to the current macroeconomic trends. In addition, in fiscal 2023 and 2024, we implemented targeted cost reductions across various areas of the Company, including retail store efficiencies, marketing expenses, information technology contracts, professional services, logistics and operational costs, and corporate payroll. We will continue to review our expense structure in future years for additional cost reduction opportunities.</w:t>
      </w:r>
    </w:p>
    <w:p>
      <w:pPr>
        <w:spacing w:after="0" w:line="2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continue to actively monitor the changing macroeconomic circumstances and take mitigating actions where appropriate. Ongoing macroeconomic pressures could have a material adverse effect on our liquidity, operating results, and financial condition.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consolidated results of operations for the last three fiscal years, both in dollars and as a percentage of our net 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1"/>
                <w:szCs w:val="11"/>
                <w:color w:val="auto"/>
              </w:rPr>
            </w:pPr>
          </w:p>
        </w:tc>
        <w:tc>
          <w:tcPr>
            <w:tcW w:w="15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60" w:type="dxa"/>
            <w:vAlign w:val="bottom"/>
          </w:tcPr>
          <w:p>
            <w:pPr>
              <w:spacing w:after="0"/>
              <w:rPr>
                <w:sz w:val="11"/>
                <w:szCs w:val="11"/>
                <w:color w:val="auto"/>
              </w:rPr>
            </w:pPr>
          </w:p>
        </w:tc>
        <w:tc>
          <w:tcPr>
            <w:tcW w:w="1280" w:type="dxa"/>
            <w:vAlign w:val="bottom"/>
          </w:tcPr>
          <w:p>
            <w:pPr>
              <w:jc w:val="right"/>
              <w:ind w:right="331"/>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4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Income (Loss) Data: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470,786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499,961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214,373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261,017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252,510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238,944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287,943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Selling, general, and administrative expenses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241,457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265,016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261,993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69,256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(94,871)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(95,024)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(15,640)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(79,384)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20,218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(59,735)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17,838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9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4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44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by operating segment, both in dollars and as a percentage of our net revenues, and Vera Bradley full-line and outlet store data for the last three fiscal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xml:space="preserve">Fiscal Year Ended </w:t>
            </w:r>
            <w:r>
              <w:rPr>
                <w:rFonts w:ascii="Times New Roman" w:cs="Times New Roman" w:eastAsia="Times New Roman" w:hAnsi="Times New Roman"/>
                <w:sz w:val="23"/>
                <w:szCs w:val="23"/>
                <w:b w:val="1"/>
                <w:bCs w:val="1"/>
                <w:color w:val="auto"/>
                <w:w w:val="97"/>
                <w:vertAlign w:val="superscript"/>
              </w:rPr>
              <w:t>(1)</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as otherwise indicated)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334"/>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309,910</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328,231</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354,875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73,803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73,316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66,001</w:t>
            </w:r>
          </w:p>
        </w:tc>
        <w:tc>
          <w:tcPr>
            <w:tcW w:w="0" w:type="dxa"/>
            <w:vAlign w:val="bottom"/>
          </w:tcPr>
          <w:p>
            <w:pPr>
              <w:spacing w:after="0"/>
              <w:rPr>
                <w:sz w:val="1"/>
                <w:szCs w:val="1"/>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87,073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98,414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119,577</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470,786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499,961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540,453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38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(3)</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375,198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397,037</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80" w:hanging="572"/>
        <w:spacing w:after="0" w:line="255"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utilizes a 52-53 week fiscal year ending on the Saturday closest to January 31. Fiscal year 2024 consisted of 53 weeks. Fiscal years 2023 and 2022 consisted of 52 weeks. The extra week in fiscal 2024 contributed approximately $6.0 million in net revenues and added an estimated $0.01 to diluted net income per share in fiscal 2024. By segment, the extra week contributed net revenues of approximately $2.8 million to Direct, $2.1 million to Indirect, and $1.1 million to Pura Vida in fiscal 2024.</w:t>
      </w:r>
    </w:p>
    <w:p>
      <w:pPr>
        <w:spacing w:after="0" w:line="2" w:lineRule="exact"/>
        <w:rPr>
          <w:rFonts w:ascii="Times New Roman" w:cs="Times New Roman" w:eastAsia="Times New Roman" w:hAnsi="Times New Roman"/>
          <w:sz w:val="18"/>
          <w:szCs w:val="18"/>
          <w:color w:val="auto"/>
        </w:rPr>
      </w:pPr>
    </w:p>
    <w:p>
      <w:pPr>
        <w:ind w:left="580" w:right="260" w:hanging="572"/>
        <w:spacing w:after="0" w:line="250"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primarily to underperforming stores, totaled $1.4 million, and $0.1 million during the fiscal years ended January 28, 2023, and January 29, 2022, respectively. There were no store impairment charges in fiscal 2024.</w:t>
      </w:r>
    </w:p>
    <w:p>
      <w:pPr>
        <w:ind w:left="560" w:hanging="552"/>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w:t>
      </w:r>
    </w:p>
    <w:p>
      <w:pPr>
        <w:spacing w:after="0" w:line="9" w:lineRule="exact"/>
        <w:rPr>
          <w:rFonts w:ascii="Times New Roman" w:cs="Times New Roman" w:eastAsia="Times New Roman" w:hAnsi="Times New Roman"/>
          <w:sz w:val="18"/>
          <w:szCs w:val="18"/>
          <w:color w:val="auto"/>
        </w:rPr>
      </w:pPr>
    </w:p>
    <w:p>
      <w:pPr>
        <w:ind w:left="580" w:right="100" w:hanging="572"/>
        <w:spacing w:after="0" w:line="250"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As a result of Vera Bradley retail stores being temporarily closed for approximately half of the first and second quarters of fiscal 2021, comparable sales were not meaningful and were therefore not provided for fiscal year 2022. Calculation excludes sales for the fifty-third week in fiscal 2024.</w:t>
      </w:r>
    </w:p>
    <w:p>
      <w:pPr>
        <w:spacing w:after="0" w:line="2" w:lineRule="exact"/>
        <w:rPr>
          <w:rFonts w:ascii="Times New Roman" w:cs="Times New Roman" w:eastAsia="Times New Roman" w:hAnsi="Times New Roman"/>
          <w:sz w:val="18"/>
          <w:szCs w:val="18"/>
          <w:color w:val="auto"/>
        </w:rPr>
      </w:pPr>
    </w:p>
    <w:p>
      <w:pPr>
        <w:ind w:left="580" w:right="20" w:hanging="572"/>
        <w:spacing w:after="0" w:line="253" w:lineRule="auto"/>
        <w:tabs>
          <w:tab w:leader="none" w:pos="5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fifty-third week in fiscal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Compared to Fiscal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2024, net revenues decreased $29.2 million, or 5.8%, to $470.8 million, from $500.0 million for fiscal 2023.</w:t>
      </w:r>
    </w:p>
    <w:p>
      <w:pPr>
        <w:spacing w:after="0" w:line="16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VB Direct. </w:t>
      </w:r>
      <w:r>
        <w:rPr>
          <w:rFonts w:ascii="Times New Roman" w:cs="Times New Roman" w:eastAsia="Times New Roman" w:hAnsi="Times New Roman"/>
          <w:sz w:val="18"/>
          <w:szCs w:val="18"/>
          <w:color w:val="auto"/>
        </w:rPr>
        <w:t>For fiscal 2024, net revenues decreased $18.3 million, or 5.6%, to $309.9 million, from $328.2 million for fiscal 2023. Vera Bradley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decreased $22.8 million, or 7.1%, which includes a 9.6% decrease in comparable store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sales as well as a 2.6% decrease in e-commerce sales. This comparable sales decrease was partially offset by sales from our stores with non-comparable periods, including three outlet stores that opened in the current fiscal year and the return of the Annual Outlet Sale. The decrease in comparable sales and comparable store sales was impacted by reduced traffic, conversion, and units sold primarily in the outlet channel. These decreases were partially offset by price increases on certain merchandise in the current-year. Fiscal 2024 net revenues also include approximately $2.8 million attributed to the extra week in fiscal 2024.</w:t>
      </w:r>
    </w:p>
    <w:p>
      <w:pPr>
        <w:spacing w:after="0" w:line="127"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VB Indirect. </w:t>
      </w:r>
      <w:r>
        <w:rPr>
          <w:rFonts w:ascii="Times New Roman" w:cs="Times New Roman" w:eastAsia="Times New Roman" w:hAnsi="Times New Roman"/>
          <w:sz w:val="18"/>
          <w:szCs w:val="18"/>
          <w:color w:val="auto"/>
        </w:rPr>
        <w:t>For fiscal 2024, net revenues increased $0.5 million, or 0.7%, to $73.8 million, from $73.3 million for fiscal 2023, reflecting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key account orders, partially offset by a decline in sales to certain specialty partners. Fiscal 2024 net revenues also include approximately $2.1 million attributed to the extra week in fiscal 2024.</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Pura Vida</w:t>
      </w:r>
      <w:r>
        <w:rPr>
          <w:rFonts w:ascii="Times New Roman" w:cs="Times New Roman" w:eastAsia="Times New Roman" w:hAnsi="Times New Roman"/>
          <w:sz w:val="18"/>
          <w:szCs w:val="18"/>
          <w:color w:val="auto"/>
        </w:rPr>
        <w:t>. For fiscal 2024, net revenues decreased $11.3 million, or 11.5%, to $87.1 million, from $98.4 million for fiscal 2023. The decrease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 decline of $10.4 million in e-commerce sales due to a continued decline in social and digital media effectiveness, as well as a decline of $3.5 million in wholesale sales. These decreases were partially offset by an increase in retail store sales. Fiscal 2024 net revenues also include approximately $1.1 million attributed to the extra week in fiscal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fiscal 2024, gross profit increased $17.4 million, or 7.3%, to $256.4 million, from $239.0 million for fiscal 2023. As a percentage of net revenues, gross profit increased to 54.5% for fiscal 2024, from 47.8% for fiscal 2023. Fiscal 2024 gross profit as a percentage of net revenues was favorably impacted by lower year-over-year inventory reserve charges, lower year-over-year inbound and outbound freight expense, lower supply chain costs, and the sell-through of previously-reserved inventory, partially offset by an increase in promotional activity.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fiscal 2024, SG&amp;A expenses decreased $23.5 million, or 8.9%, to $241.5 million, from $265.0 million for fiscal 2023. As a percentage of net revenues, SG&amp;A expenses were 51.3% and 53.0% for fiscal 2024 and fiscal 2023, respectively. SG&amp;A expenses related to Vera Bradley and corporate unallocated were $192.1 million compared to $211.6 million in the comparable prior-year period. SG&amp;A expenses related to Pura Vida were $49.4 million compared to $53.4 million in the comparable prior-year period. The decrease in consolidated SG&amp;A expenses for fiscal 2024 was primarily due to a decrease in employee-related expenses of $6.4 million due to a reduction in headcount, partially offset by an increase in incentive compensation; a decrease in severance charges of $6.3 million, which includes severance related to our CFO transition in the current year more than offset by the retirement severance related to our former CEO in the prior year; a $4.2 million decrease in professional expenses, a portion of which were associated with cost savings initiatives and other professional fees that did not recur in the current year; $1.4 million related to store and lease right-of-use asset impairment charges in the prior year that did not recur in the current year; and $5.2 million in other net expense reductions which included spending reductions related to information technology contracts, visual merchandising, and other expenses.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 and Intangible Assets</w:t>
      </w:r>
    </w:p>
    <w:p>
      <w:pPr>
        <w:spacing w:after="0" w:line="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Fiscal 2024 included a $5.4 million charge for impairment of the indefinite-lived Pura Vida brand intangible asset, which is reflected within the Pura Vida segment. A $69.3 million impairment charge of goodwill and intangible assets related to Pura Vida goodwill and the indefinite-lived Pura Vida brand intangible asset was recorded in fiscal 2023 within the Pura Vida segment. For additional information, refer to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jc w:val="both"/>
        <w:ind w:right="140"/>
        <w:spacing w:after="0" w:line="312" w:lineRule="auto"/>
        <w:rPr>
          <w:sz w:val="20"/>
          <w:szCs w:val="20"/>
          <w:color w:val="auto"/>
        </w:rPr>
      </w:pPr>
      <w:r>
        <w:rPr>
          <w:rFonts w:ascii="Times New Roman" w:cs="Times New Roman" w:eastAsia="Times New Roman" w:hAnsi="Times New Roman"/>
          <w:sz w:val="17"/>
          <w:szCs w:val="17"/>
          <w:color w:val="auto"/>
        </w:rPr>
        <w:t>For fiscal 2024, net other income increased $0.5 million to $0.9 million, from $0.5 million for fiscal 2023. The increase in net other income was primarily due to a legal settlement in the current year that did not occur in the prior year, ticket sales from the Vera Bradley annual outlet sale, and sublease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(Loss)</w:t>
      </w:r>
    </w:p>
    <w:p>
      <w:pPr>
        <w:spacing w:after="0" w:line="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fiscal 2024, operating income increased $105.3 million, or 111.0%, to $10.4 million from an operating loss of $(94.9) million for fiscal 2023. As a percentage of net revenues, operating income (loss) was 2.2% and (19.0)% for fiscal 2024 and fiscal 2023, respectively. Operating income increased due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our operating income (loss)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r>
      <w:tr>
        <w:trPr>
          <w:trHeight w:val="158"/>
        </w:trPr>
        <w:tc>
          <w:tcPr>
            <w:tcW w:w="5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80" w:type="dxa"/>
            <w:vAlign w:val="bottom"/>
          </w:tcPr>
          <w:p>
            <w:pPr>
              <w:spacing w:after="0"/>
              <w:rPr>
                <w:sz w:val="13"/>
                <w:szCs w:val="13"/>
                <w:color w:val="auto"/>
              </w:rPr>
            </w:pPr>
          </w:p>
        </w:tc>
        <w:tc>
          <w:tcPr>
            <w:tcW w:w="1140" w:type="dxa"/>
            <w:vAlign w:val="bottom"/>
          </w:tcPr>
          <w:p>
            <w:pPr>
              <w:jc w:val="right"/>
              <w:ind w:right="595"/>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gridSpan w:val="2"/>
          </w:tcPr>
          <w:p>
            <w:pPr>
              <w:jc w:val="right"/>
              <w:ind w:right="648"/>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5"/>
        </w:trPr>
        <w:tc>
          <w:tcPr>
            <w:tcW w:w="5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rPr>
              <w:t>51,097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rPr>
              <w:t>22,965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(78,591)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97.0 %</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Unallocated corporate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(90,342)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rPr>
              <w:t>(94,871)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111.0 %</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fiscal 2024, operating income increased $10.8 million, or 21.1%. As a percentage of VB Direct segment net revenues, operating income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VB Direct segment was 20.0% and 15.6% for fiscals 2024 and 2023, respectively. The increase in operating income as a percentage of VB Direct segment net revenues was primarily due to an increase in gross margin as a percentage of net revenues as described above; a decrease in employee-related expenses due to closed stores and cost savings initiatives; store impairment charges in the prior year that did not recur in the current year; and a reduction in spending associated with merchandising, professional fees, and other variable expenses.</w:t>
      </w:r>
    </w:p>
    <w:p>
      <w:pPr>
        <w:spacing w:after="0" w:line="4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i w:val="1"/>
          <w:iCs w:val="1"/>
          <w:color w:val="auto"/>
        </w:rPr>
        <w:t>VB Indirect</w:t>
      </w:r>
      <w:r>
        <w:rPr>
          <w:rFonts w:ascii="Times New Roman" w:cs="Times New Roman" w:eastAsia="Times New Roman" w:hAnsi="Times New Roman"/>
          <w:sz w:val="17"/>
          <w:szCs w:val="17"/>
          <w:color w:val="auto"/>
        </w:rPr>
        <w:t>. For fiscal 2024, operating income increased $1.3 million, or 5.7%. As a percentage of VB Indirect segment net revenues, operating income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VB Indirect segment was 32.9% and 31.3% for fiscals 2024 and 2023, respectively. The increase in operating income as a percentage of VB Indirect segment net revenues was due to an increase in gross margin as a percentage of net revenues as described above, as well as decreased SG&amp;A expenses.</w:t>
      </w:r>
    </w:p>
    <w:p>
      <w:pPr>
        <w:spacing w:after="0" w:line="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fiscal 2024, operating loss decreased $76.3 million, or 97%. As a percentage of Pura Vida segment net revenues, operating loss in the Pura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Vida segment was (2.7)% and (79.9)% for fiscals 2024 and 2023, respectively. The decrease in operating loss was primarily due to goodwill and indefinite-lived Pura Vida brand impairment charges in fiscal 2023 of $44.3 million and $25.0 million, respectively, compared to Pura Vida brand impairment charges of $5.4 million in fiscal 2024; a decrease in marketing and advertising expenses; a decrease in employee-related expenses due to headcount reductions and cost savings initiatives; and an increase in gross margin as a percentage of net revenues as described above.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fiscal 2024, corporate unallocated expenses decreased $17.0 million, or 18.8% to $73.4 million from $90.3 million in the prior-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period. The decrease in corporate unallocated expenses was primarily due to a decrease in severance charges of $6.8 million which includes severance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our CFO transition in the current year more than offset by the retirement severance related to our former CEO in the prior year; a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million a portion of which were associated with cost savings initiatives and other professional fees that did not recur in the current year; a reduction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employee-related expenses of $2.9 million primarily related to lower headcount, partially offset by an increase in incentive compensation; $0.6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lease right-of-use asset charge in the prior year that did not recur in the current year; and $2.4 million in other net corporate expense reductions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in information technology contracts, corporate advertising expense, and other corporate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fiscal 2024, net interest income totaled $0.9 million compared to net interest expense of $0.2 million in fiscal 2023, attributed to an increase in money market fund investments in fiscal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0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For fiscal 2024, we recorded income tax expense of $3.5 million at an effective tax rate of 30.8%, compared to income tax benefit of $15.6 million at an effective tax rate of 16.5% for fiscal 2023. The effective tax rate increase was primarily due to the relative impact of permanent and discrete items in the current-year period compared to the prior-year period, primarily as a result of stock-based compensation, noncontrolling interest in the prior-year period, and non-deductible executive compensation.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fiscal 2024, net income increased $87.2 million to $7.8 million from a net loss of $(79.4) million in fiscal 2023 due to the factors described in the captions above.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Redeemable Noncontrolling Interest</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fiscal 2023, net loss attributable to redeemable noncontrolling interest was $(19.6) million. This represents the allocation of the Pura Vida net (loss) income to the noncontrolling interest. On January 30, 2023, we purchased the remaining 25% interest in Pura Vida resulting in 100% ownership. As a result, there was no noncontrolling interest for the current-year period.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Vera Bradley, Inc.</w:t>
      </w:r>
    </w:p>
    <w:p>
      <w:pPr>
        <w:spacing w:after="0" w:line="10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fiscal 2024, net income attributable to Vera Bradley, Inc. increased $67.5 million to $7.8 million from net loss attributable to Vera Bradley, Inc. of $(59.7) million in fiscal 2023 due to the factors described in the captions above.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2023 Compared to Fiscal 2022</w:t>
      </w:r>
    </w:p>
    <w:p>
      <w:pPr>
        <w:spacing w:after="0" w:line="9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28, 2023, for a comparison of fiscal 2023 to fiscal 2022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and cash flow from operations. We also have access to additional liquidity, if needed, through borrowings under our $75.0 million asset-based revolving credit agreement (the “Credit Agreement”). There was no debt outstanding under the Credit Agreement as of February 3, 2024.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that cash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1"/>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1"/>
                <w:szCs w:val="11"/>
                <w:color w:val="auto"/>
              </w:rPr>
            </w:pPr>
          </w:p>
        </w:tc>
        <w:tc>
          <w:tcPr>
            <w:tcW w:w="12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6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(used in) operating activities consists primarily of net income (loss)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$48.0 million during fiscal 2024, as compared to net cash used in operating activities of $13.4 million during fiscal 2023. The increase in cash provided by operating activities was primarily related to an increase in net income of $87.2 million and a non-cash change in deferred income taxes of $19.4 million, partially offset by a change in non-cash impairments of $65.2 million. An additional source of operating cash included changes in net working capital of $19.2 million. Net working capital changes include an increase in sources of cash from inventories, accounts receivable and accounts payable, partially offset by increases in use of cash from prepaid expenses and other assets and income taxes.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Investing activities consisted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$13.8 million in fiscal 2024, compared to $8.2 million in fiscal 2023. The increase in cash used in investing activities was primarily a result of the of the purchase of the remaining 25% interest in Pura Vida for $10.0 million, partially offset by a decline in property, plant, and equipment spending primarily as a result of a lower amount of new store construction in the current year and Vera Bradley store relocations in the prior year that did not recur.</w:t>
      </w:r>
    </w:p>
    <w:p>
      <w:pPr>
        <w:spacing w:after="0" w:line="12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Capital expenditures for fiscal 2025 are expected to be approximately $12 million to $14 million, related to planned investments associated with new and remodeled stores and technology and logistics enhancements.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$3.5 million in fiscal 2024 compared to $20.1 million in fiscal 2023. The decrease in cash used in financing activities was primarily due to a decrease in repurchases of common stock of $15.9 million.</w:t>
      </w:r>
    </w:p>
    <w:p>
      <w:pPr>
        <w:spacing w:after="0" w:line="4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filed with the SEC on March 28, 2023, for a comparison of fiscal 2023 to fiscal 2022 cash flow activity.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Consolidated Financial Statements set forth in Part II,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 of this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include the following:</w:t>
      </w:r>
    </w:p>
    <w:p>
      <w:pPr>
        <w:spacing w:after="0" w:line="9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as disclosed further in Note 4 to the Notes to the Consolidated Financial Statements in Part II, Item 8 of this report;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 commitments primarily related to inventory purchases;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cash incentives, benefits, and other employee-related costs;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for capital expenditures;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payments; and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supply and service agreements entered into as part of our normal operations.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subject to additional material cash requirements that are contingent upon certain events that have not yet occurred. We expect to fund these cash requirements using cash on hand, cash provided by our operations and, to the extent necessary, borrowings under our Credit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 consolidated financial statements, however, have not been materially impacted by such variances. More information on all of our significant accounting policies can be found in Note 2, “Summary of Significant Accounting Policies,” in the Notes to the Consolidated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3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balance of inventory adjustments was $8.1 million and $16.5 million for these matters as of the fiscal years ended February 3, 2024, and January 28, 2023, respectively. The decrease in the balance was primarily related to the destruction of reserved product and the sell through of reserved inventory in fiscal 2024. The fiscal 2023 balance included adjustments for excess Pura Vida inventory and excess mask inventory, the exit of certain technology products, and valuation adjustments to write discounted inventory down to its net realizable value.</w:t>
      </w:r>
    </w:p>
    <w:p>
      <w:pPr>
        <w:spacing w:after="0" w:line="12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believe we have the ability to sell some of our retired finished goods through a number of channels, including our Vera Bradley and Pura Vida websites, the Vera Bradley online outlet site, Vera Bradley outlet stores, the Vera Bradley Annual Outlet Sale, and through third-party liquidators as needed.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1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Property, plant, and equipment and operating right-of-use assets are reviewed for impairment whenever events or changes in circumstances indicate that the carrying amount of an asset group may not be recoverable. In evaluating an asset group for recoverability, we estimate the future cash flows expected to result from the use of the asset group at the store level, the lowest identifiable level of cash flow, if applicable. If the sum of the estimated undiscounted future cash flows related to the asset group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$1.4 million, and $0.1 million for the periods ended January 28, 2023, and January 29, 2022, respectively. No impairment charges were recorded in fiscal 2024.</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February 3, 2024 identifiable intangible assets consisted of the Pura Vida brand and customer relationships. Prior to fiscal 2024, the Company performed an annual impairment test for its goodwill. Goodwill was fully impaired during fiscal 2023, leaving no balance. Our Pura Vida brand, an indefinite-lived asset, is not amortized but assessed for impairment at least annually or whenever events or circumstances indicate that the brand may be impaired. The Pura Vida customer relationship, a definite-lived intangible asset, is amortized over its estimated useful life and is also subject to impairment testing, similar to the Company’s other long-lived assets.</w:t>
      </w:r>
    </w:p>
    <w:p>
      <w:pPr>
        <w:spacing w:after="0" w:line="6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annual intangible asset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 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spacing w:after="0" w:line="5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of February 3, 2024, the carrying value of the Pura Vida brand was $6.2 million. The Company performed a quantitative analysis of the Pura Vida brand for the annual impairment test in the second quarter of fiscal 2024, at which time no impairment was recorded. Subsequent to the annual impairment test, due to triggering events, the Company performed an additional quantitative analysis and recorded an impairment charge of $5.4 million in the fourth quarter of fiscal 2024, further described in Note 15 herein.</w:t>
      </w:r>
    </w:p>
    <w:p>
      <w:pPr>
        <w:spacing w:after="0" w:line="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For the annual impairment analysis performed during fiscal 2023, the Company performed a quantitative analysis, as well as subsequent analyses due to triggering events, further described in Note 15 of the Notes to the Consolidated Financial Statements herein. Impairment charges of $44.3 million and $25.0 million were recorded during fiscal 2023 for goodwill and the Pura Vida brand, respectively.</w:t>
      </w:r>
    </w:p>
    <w:p>
      <w:pPr>
        <w:spacing w:after="0" w:line="5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estimated fair value of the Pura Vida brand is subject to change as a result of many factors, including changing economic conditions. Should actual and estimated cash flows change from the estimates we used in our fiscal 2024 impairment analysis, we may record additional impairment charges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interest rate risk in connection with borrowings under our asset-based revolving credit agreement (the “Credit Agreement”). The Credit Agreement allows for a revolving credit commitment of $75.0 million, bearing interest at a variable rate, based on a per annum rate equal to either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Assuming borrowings available under the Credit Agreement are fully extended at $75.0 million, each quarter point increase or decrease in the interest rate would change our annual interest expense by approximately $0.2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Rate Risk</w:t>
      </w:r>
    </w:p>
    <w:p>
      <w:pPr>
        <w:spacing w:after="0" w:line="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source a majority of our finished goods from various suppliers primarily in Cambodia, Vietnam, Indonesia, El Salvador, China, and the Philippines.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160" w:type="dxa"/>
            <w:vAlign w:val="bottom"/>
            <w:gridSpan w:val="7"/>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160" w:type="dxa"/>
            <w:vAlign w:val="bottom"/>
            <w:gridSpan w:val="7"/>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(PCAOB ID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0000FF"/>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February 3, 2024, and January 28, 2023</w:t>
            </w:r>
          </w:p>
        </w:tc>
        <w:tc>
          <w:tcPr>
            <w:tcW w:w="492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February 3, 2024, January 28, 2023, and January 29,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5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fiscal years ended February 3, 2024, January 28, 2023, and January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29, 2022</w:t>
            </w:r>
          </w:p>
        </w:tc>
        <w:tc>
          <w:tcPr>
            <w:tcW w:w="700" w:type="dxa"/>
            <w:vAlign w:val="bottom"/>
            <w:tcBorders>
              <w:top w:val="single" w:sz="8" w:color="0000FF"/>
            </w:tcBorders>
          </w:tcPr>
          <w:p>
            <w:pPr>
              <w:spacing w:after="0"/>
              <w:rPr>
                <w:sz w:val="13"/>
                <w:szCs w:val="13"/>
                <w:color w:val="auto"/>
              </w:rPr>
            </w:pPr>
          </w:p>
        </w:tc>
        <w:tc>
          <w:tcPr>
            <w:tcW w:w="182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fiscal years ended February 3, 2024, January 28, 2023, and January 29, 2022</w:t>
            </w:r>
          </w:p>
        </w:tc>
        <w:tc>
          <w:tcPr>
            <w:tcW w:w="68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February 3, 2024, January 28, 2023, and January 29,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00" w:type="dxa"/>
            <w:vAlign w:val="bottom"/>
            <w:tcBorders>
              <w:top w:val="single" w:sz="8" w:color="0000FF"/>
            </w:tcBorders>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871"/>
        </w:trPr>
        <w:tc>
          <w:tcPr>
            <w:tcW w:w="8920" w:type="dxa"/>
            <w:vAlign w:val="bottom"/>
            <w:gridSpan w:val="7"/>
          </w:tcPr>
          <w:p>
            <w:pPr>
              <w:jc w:val="center"/>
              <w:ind w:left="2250"/>
              <w:spacing w:after="0"/>
              <w:rPr>
                <w:sz w:val="20"/>
                <w:szCs w:val="20"/>
                <w:color w:val="auto"/>
              </w:rPr>
            </w:pPr>
            <w:r>
              <w:rPr>
                <w:rFonts w:ascii="Times New Roman" w:cs="Times New Roman" w:eastAsia="Times New Roman" w:hAnsi="Times New Roman"/>
                <w:sz w:val="18"/>
                <w:szCs w:val="18"/>
                <w:color w:val="auto"/>
                <w:w w:val="99"/>
              </w:rPr>
              <w:t>46</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Vera Bradley, Inc. and subsidiaries (the "Company") as of February 3, 2024 and 2023, the related consolidated statements of operations, comprehensive income (loss), shareholders' equity, and cash flows, for each of the three years in the period ended February 3, 2024, and the related notes (collectively referred to as the "financial statements"). In our opinion, the financial statements present fairly, in all material respects, the financial position of the Company as of February 3, 2024 and 2023, and the results of its operations and its cash flows for each of the three years in the period ended February 3, 2024, in conformity with accounting principles generally accepted in the United States of America.</w:t>
      </w:r>
    </w:p>
    <w:p>
      <w:pPr>
        <w:spacing w:after="0" w:line="4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February 3,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29, 2024, expressed an unqualified opinion on the Company's internal control over financial reporting.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was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it relates.</w:t>
      </w:r>
    </w:p>
    <w:p>
      <w:pPr>
        <w:spacing w:after="0" w:line="44" w:lineRule="exact"/>
        <w:rPr>
          <w:sz w:val="20"/>
          <w:szCs w:val="20"/>
          <w:color w:val="auto"/>
        </w:rPr>
      </w:pPr>
    </w:p>
    <w:p>
      <w:pPr>
        <w:ind w:right="4560"/>
        <w:spacing w:after="0" w:line="330" w:lineRule="auto"/>
        <w:rPr>
          <w:sz w:val="20"/>
          <w:szCs w:val="20"/>
          <w:color w:val="auto"/>
        </w:rPr>
      </w:pPr>
      <w:r>
        <w:rPr>
          <w:rFonts w:ascii="Times New Roman" w:cs="Times New Roman" w:eastAsia="Times New Roman" w:hAnsi="Times New Roman"/>
          <w:sz w:val="18"/>
          <w:szCs w:val="18"/>
          <w:b w:val="1"/>
          <w:bCs w:val="1"/>
          <w:color w:val="auto"/>
        </w:rPr>
        <w:t xml:space="preserve">Indefinite-Lived Intangible Assets – Refer to Notes 2 and 15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ind w:right="140"/>
        <w:spacing w:after="0" w:line="228" w:lineRule="exact"/>
        <w:rPr>
          <w:sz w:val="20"/>
          <w:szCs w:val="20"/>
          <w:color w:val="auto"/>
        </w:rPr>
      </w:pPr>
      <w:r>
        <w:rPr>
          <w:rFonts w:ascii="Times New Roman" w:cs="Times New Roman" w:eastAsia="Times New Roman" w:hAnsi="Times New Roman"/>
          <w:sz w:val="18"/>
          <w:szCs w:val="18"/>
          <w:color w:val="auto"/>
        </w:rPr>
        <w:t>The Company’s quantitative analysis of the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Pura Vida brand asset (“Pura Vida brand”) for impairment involves the comparison of the fair value of the Pura Vida brand asset to its carrying value. The Company used the relief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royalty method to estimate the fair value of the Pura Vida brand, which required management to make significant estimates and assumptions related to the projected revenue growth, royalty rate and discount rate. The carrying value of the Pura Vida brand was $6.2 million as of February 3, 2024. The carrying value of the Pura Vida brand exceeded the fair value during fiscal 2024 and, therefore, impairment of $5.4 million was recognized during the year ended February 3, 2024.</w:t>
      </w:r>
    </w:p>
    <w:p>
      <w:pPr>
        <w:spacing w:after="0" w:line="63"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We identified the impairment analysis of the Pura Vida brand as a critical audit matter because of the significant judgments made by management to estimate the fair value of this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This required a high degree of auditor judgment and an increased extent of effort, including the need to involve our fair value specialists, when performing audit procedures to evaluate the reasonableness of management’s estimates and assumptions particularly related to the projected revenue growth, royalty rate, and discount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projected revenue growth, royalty rate, and discount rate for the Pura Vida brand included the following, among others:</w:t>
      </w:r>
    </w:p>
    <w:p>
      <w:pPr>
        <w:spacing w:after="0" w:line="102" w:lineRule="exact"/>
        <w:rPr>
          <w:sz w:val="20"/>
          <w:szCs w:val="20"/>
          <w:color w:val="auto"/>
        </w:rPr>
      </w:pPr>
    </w:p>
    <w:p>
      <w:pPr>
        <w:ind w:right="12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brand impairment analysis, including those over the determination of the fair value, such as controls related to management’s forecasts of projected revenue growth, selection of royalty rate, and selection of discount rates.</w:t>
      </w:r>
    </w:p>
    <w:p>
      <w:pPr>
        <w:spacing w:after="0" w:line="4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103" w:lineRule="exact"/>
        <w:rPr>
          <w:rFonts w:ascii="Times New Roman" w:cs="Times New Roman" w:eastAsia="Times New Roman" w:hAnsi="Times New Roman"/>
          <w:sz w:val="18"/>
          <w:szCs w:val="18"/>
          <w:color w:val="auto"/>
        </w:rPr>
      </w:pPr>
    </w:p>
    <w:p>
      <w:pPr>
        <w:ind w:right="880"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projected revenue growth by comparing the forecasts to (1) historical results, (2) internal communications to management and the Board of Directors, and (3) forecasted information included in industry reports.</w:t>
      </w:r>
    </w:p>
    <w:p>
      <w:pPr>
        <w:spacing w:after="0" w:line="26"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 and royalty rate by:</w:t>
      </w:r>
    </w:p>
    <w:p>
      <w:pPr>
        <w:spacing w:after="0" w:line="40" w:lineRule="exact"/>
        <w:rPr>
          <w:rFonts w:ascii="Times New Roman" w:cs="Times New Roman" w:eastAsia="Times New Roman" w:hAnsi="Times New Roman"/>
          <w:sz w:val="18"/>
          <w:szCs w:val="18"/>
          <w:color w:val="auto"/>
        </w:rPr>
      </w:pPr>
    </w:p>
    <w:p>
      <w:pPr>
        <w:ind w:left="780" w:hanging="178"/>
        <w:spacing w:after="0"/>
        <w:tabs>
          <w:tab w:leader="none" w:pos="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appropriateness of the valuation methodology used to determine the discount rate and royalty rate.</w:t>
      </w:r>
    </w:p>
    <w:p>
      <w:pPr>
        <w:spacing w:after="0" w:line="103" w:lineRule="exact"/>
        <w:rPr>
          <w:rFonts w:ascii="Times New Roman" w:cs="Times New Roman" w:eastAsia="Times New Roman" w:hAnsi="Times New Roman"/>
          <w:sz w:val="18"/>
          <w:szCs w:val="18"/>
          <w:color w:val="auto"/>
        </w:rPr>
      </w:pPr>
    </w:p>
    <w:p>
      <w:pPr>
        <w:ind w:left="780" w:hanging="178"/>
        <w:spacing w:after="0"/>
        <w:tabs>
          <w:tab w:leader="none" w:pos="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underlying source information and the mathematical accuracy of the calculations.</w:t>
      </w:r>
    </w:p>
    <w:p>
      <w:pPr>
        <w:spacing w:after="0" w:line="90" w:lineRule="exact"/>
        <w:rPr>
          <w:rFonts w:ascii="Times New Roman" w:cs="Times New Roman" w:eastAsia="Times New Roman" w:hAnsi="Times New Roman"/>
          <w:sz w:val="18"/>
          <w:szCs w:val="18"/>
          <w:color w:val="auto"/>
        </w:rPr>
      </w:pPr>
    </w:p>
    <w:p>
      <w:pPr>
        <w:ind w:left="780" w:hanging="178"/>
        <w:spacing w:after="0"/>
        <w:tabs>
          <w:tab w:leader="none" w:pos="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 and royalty rate selected by management.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7"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Vera Bradley, Inc.</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Vera Bradley, Inc. and subsidiaries (the “Company”) as of February 3,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3,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February 3, 2024, of the Company and our report dated March 29, 2024, expressed an unqualified opinion on those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1" w:lineRule="auto"/>
        <w:rPr>
          <w:sz w:val="20"/>
          <w:szCs w:val="20"/>
          <w:color w:val="auto"/>
        </w:rPr>
      </w:pPr>
      <w:r>
        <w:rPr>
          <w:rFonts w:ascii="Times New Roman" w:cs="Times New Roman" w:eastAsia="Times New Roman" w:hAnsi="Times New Roman"/>
          <w:sz w:val="18"/>
          <w:szCs w:val="18"/>
          <w:color w:val="auto"/>
        </w:rPr>
        <w:t>Indianapolis, Indiana</w:t>
      </w:r>
    </w:p>
    <w:p>
      <w:pPr>
        <w:spacing w:after="0"/>
        <w:rPr>
          <w:sz w:val="20"/>
          <w:szCs w:val="20"/>
          <w:color w:val="auto"/>
        </w:rPr>
      </w:pPr>
      <w:r>
        <w:rPr>
          <w:rFonts w:ascii="Times New Roman" w:cs="Times New Roman" w:eastAsia="Times New Roman" w:hAnsi="Times New Roman"/>
          <w:sz w:val="18"/>
          <w:szCs w:val="18"/>
          <w:color w:val="auto"/>
        </w:rPr>
        <w:t>March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2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142,275</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14,276</w:t>
            </w:r>
          </w:p>
        </w:tc>
      </w:tr>
      <w:tr>
        <w:trPr>
          <w:trHeight w:val="22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226,562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58,674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r>
      <w:tr>
        <w:trPr>
          <w:trHeight w:val="22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404,501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employment costs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12,723</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142,411</w:t>
            </w:r>
          </w:p>
        </w:tc>
      </w:tr>
      <w:tr>
        <w:trPr>
          <w:trHeight w:val="21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without par value; 200,000 shares authorized, 43,253 and 42,846 shares issued and 30,814</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30,766 outstanding, respectively</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109,718</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274,629</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(132,864)</w:t>
            </w:r>
          </w:p>
        </w:tc>
      </w:tr>
      <w:tr>
        <w:trPr>
          <w:trHeight w:val="223"/>
        </w:trPr>
        <w:tc>
          <w:tcPr>
            <w:tcW w:w="8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shareholders’ equity of Vera Bradley, Inc.</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251,378</w:t>
            </w:r>
          </w:p>
        </w:tc>
      </w:tr>
      <w:tr>
        <w:trPr>
          <w:trHeight w:val="223"/>
        </w:trPr>
        <w:tc>
          <w:tcPr>
            <w:tcW w:w="8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404,501</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1"/>
                <w:szCs w:val="11"/>
                <w:color w:val="auto"/>
              </w:rPr>
            </w:pPr>
          </w:p>
        </w:tc>
        <w:tc>
          <w:tcPr>
            <w:tcW w:w="120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6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252,510</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261,993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48"/>
        </w:trPr>
        <w:tc>
          <w:tcPr>
            <w:tcW w:w="6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34,437</w:t>
            </w:r>
          </w:p>
        </w:tc>
      </w:tr>
      <w:tr>
        <w:trPr>
          <w:trHeight w:val="270"/>
        </w:trPr>
        <w:tc>
          <w:tcPr>
            <w:tcW w:w="6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 attributable to Vera Bradley, Inc. common shareholders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attributable to Vera Bradley, Inc. common shareholders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29"/>
        </w:trPr>
        <w:tc>
          <w:tcPr>
            <w:tcW w:w="6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40" w:type="dxa"/>
            <w:vAlign w:val="bottom"/>
          </w:tcPr>
          <w:p>
            <w:pPr>
              <w:spacing w:after="0"/>
              <w:rPr>
                <w:sz w:val="11"/>
                <w:szCs w:val="11"/>
                <w:color w:val="auto"/>
              </w:rPr>
            </w:pPr>
          </w:p>
        </w:tc>
        <w:tc>
          <w:tcPr>
            <w:tcW w:w="1200" w:type="dxa"/>
            <w:vAlign w:val="bottom"/>
          </w:tcPr>
          <w:p>
            <w:pPr>
              <w:jc w:val="right"/>
              <w:ind w:right="275"/>
              <w:spacing w:after="0" w:line="129"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67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available for sale debt investments</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net of tax</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redeemable noncontrolling interest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Vera Bradley,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17,801</w:t>
            </w:r>
          </w:p>
        </w:tc>
      </w:tr>
      <w:tr>
        <w:trPr>
          <w:trHeight w:val="21"/>
        </w:trPr>
        <w:tc>
          <w:tcPr>
            <w:tcW w:w="6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25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of Vera</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Bradley, Inc.</w:t>
            </w:r>
          </w:p>
        </w:tc>
        <w:tc>
          <w:tcPr>
            <w:tcW w:w="0" w:type="dxa"/>
            <w:vAlign w:val="bottom"/>
          </w:tcPr>
          <w:p>
            <w:pPr>
              <w:spacing w:after="0"/>
              <w:rPr>
                <w:sz w:val="1"/>
                <w:szCs w:val="1"/>
                <w:color w:val="auto"/>
              </w:rPr>
            </w:pPr>
          </w:p>
        </w:tc>
      </w:tr>
      <w:tr>
        <w:trPr>
          <w:trHeight w:val="21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30,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33,414,490</w:t>
            </w: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8,393,207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316,526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(107,060)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314,907</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Unrealized loss on available for sale</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621,474</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4,930</w:t>
            </w:r>
          </w:p>
        </w:tc>
        <w:tc>
          <w:tcPr>
            <w:tcW w:w="0" w:type="dxa"/>
            <w:vAlign w:val="bottom"/>
          </w:tcPr>
          <w:p>
            <w:pPr>
              <w:spacing w:after="0"/>
              <w:rPr>
                <w:sz w:val="1"/>
                <w:szCs w:val="1"/>
                <w:color w:val="auto"/>
              </w:rPr>
            </w:pPr>
          </w:p>
        </w:tc>
      </w:tr>
      <w:tr>
        <w:trPr>
          <w:trHeight w:val="23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(865,534)</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29, 2022</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33,170,430</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9,258,741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107,907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334,364</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(114,802)</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327,440</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Vera Bradley, Inc.</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(59,735)</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416,543</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(2,820,949)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(18,062)</w:t>
            </w:r>
          </w:p>
        </w:tc>
        <w:tc>
          <w:tcPr>
            <w:tcW w:w="0" w:type="dxa"/>
            <w:vAlign w:val="bottom"/>
          </w:tcPr>
          <w:p>
            <w:pPr>
              <w:spacing w:after="0"/>
              <w:rPr>
                <w:sz w:val="1"/>
                <w:szCs w:val="1"/>
                <w:color w:val="auto"/>
              </w:rPr>
            </w:pPr>
          </w:p>
        </w:tc>
      </w:tr>
      <w:tr>
        <w:trPr>
          <w:trHeight w:val="208"/>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28, 2023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30,766,024</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12,079,690</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109,718</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274,629</w:t>
            </w:r>
          </w:p>
        </w:tc>
        <w:tc>
          <w:tcPr>
            <w:tcW w:w="80" w:type="dxa"/>
            <w:vAlign w:val="bottom"/>
          </w:tcPr>
          <w:p>
            <w:pPr>
              <w:spacing w:after="0"/>
              <w:rPr>
                <w:sz w:val="18"/>
                <w:szCs w:val="18"/>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(132,864)</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251,378</w:t>
            </w:r>
          </w:p>
        </w:tc>
        <w:tc>
          <w:tcPr>
            <w:tcW w:w="0" w:type="dxa"/>
            <w:vAlign w:val="bottom"/>
          </w:tcPr>
          <w:p>
            <w:pPr>
              <w:spacing w:after="0"/>
              <w:rPr>
                <w:sz w:val="1"/>
                <w:szCs w:val="1"/>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Vera Bradley, Inc.</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5"/>
        </w:trPr>
        <w:tc>
          <w:tcPr>
            <w:tcW w:w="3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shares vested, net of repurchase for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407,146</w:t>
            </w:r>
          </w:p>
        </w:tc>
        <w:tc>
          <w:tcPr>
            <w:tcW w:w="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purchased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(359,554)</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Purchase of noncontrolling interest equity</w:t>
            </w: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February 3, 2024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30,813,616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12,439,244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112,590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282,467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(135,056)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259,929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1"/>
        </w:trPr>
        <w:tc>
          <w:tcPr>
            <w:tcW w:w="7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1"/>
                <w:szCs w:val="11"/>
                <w:color w:val="auto"/>
              </w:rPr>
            </w:pPr>
          </w:p>
        </w:tc>
        <w:tc>
          <w:tcPr>
            <w:tcW w:w="1120" w:type="dxa"/>
            <w:vAlign w:val="bottom"/>
          </w:tcPr>
          <w:p>
            <w:pPr>
              <w:jc w:val="right"/>
              <w:ind w:right="211"/>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70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r>
      <w:tr>
        <w:trPr>
          <w:trHeight w:val="184"/>
        </w:trPr>
        <w:tc>
          <w:tcPr>
            <w:tcW w:w="70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9,315</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operating right-of-use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impairment charges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charges,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w:t>
            </w:r>
          </w:p>
        </w:tc>
      </w:tr>
      <w:tr>
        <w:trPr>
          <w:trHeight w:val="22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29"/>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29"/>
        </w:trPr>
        <w:tc>
          <w:tcPr>
            <w:tcW w:w="7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30"/>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r>
      <w:tr>
        <w:trPr>
          <w:trHeight w:val="230"/>
        </w:trPr>
        <w:tc>
          <w:tcPr>
            <w:tcW w:w="70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39,861</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maturities and sales of investments</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paid for business acquisition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withholdings for equity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64,175</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88,436</w:t>
            </w:r>
          </w:p>
        </w:tc>
      </w:tr>
      <w:tr>
        <w:trPr>
          <w:trHeight w:val="21"/>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36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00" w:type="dxa"/>
            <w:vAlign w:val="bottom"/>
          </w:tcPr>
          <w:p>
            <w:pPr>
              <w:spacing w:after="0"/>
              <w:rPr>
                <w:sz w:val="11"/>
                <w:szCs w:val="11"/>
                <w:color w:val="auto"/>
              </w:rPr>
            </w:pPr>
          </w:p>
        </w:tc>
        <w:tc>
          <w:tcPr>
            <w:tcW w:w="124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00" w:type="dxa"/>
            <w:vAlign w:val="bottom"/>
          </w:tcPr>
          <w:p>
            <w:pPr>
              <w:spacing w:after="0"/>
              <w:rPr>
                <w:sz w:val="11"/>
                <w:szCs w:val="11"/>
                <w:color w:val="auto"/>
              </w:rPr>
            </w:pPr>
          </w:p>
        </w:tc>
        <w:tc>
          <w:tcPr>
            <w:tcW w:w="112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6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cash-flow information</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(received) for income taxes,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plant, and equipment incurred but not yet paid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4 herein for supplemental cash flow information regarding the Company’s leases.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w:t>
      </w:r>
    </w:p>
    <w:p>
      <w:pPr>
        <w:spacing w:after="0" w:line="107" w:lineRule="exact"/>
        <w:rPr>
          <w:rFonts w:ascii="Times New Roman" w:cs="Times New Roman" w:eastAsia="Times New Roman" w:hAnsi="Times New Roman"/>
          <w:sz w:val="18"/>
          <w:szCs w:val="18"/>
          <w:b w:val="1"/>
          <w:bCs w:val="1"/>
          <w:color w:val="auto"/>
        </w:rPr>
      </w:pPr>
    </w:p>
    <w:p>
      <w:pPr>
        <w:ind w:left="34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and majority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3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Vera Bradley, Inc. operates two unique lifestyle brands – Vera Bradley and Pura Vida. We believe Vera Bradley and Pura Vida are complementary businesses, both with devoted, emotionally-connected, and multi-generational female customer bases; alignment as casual,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42" w:lineRule="exact"/>
        <w:rPr>
          <w:rFonts w:ascii="Times New Roman" w:cs="Times New Roman" w:eastAsia="Times New Roman" w:hAnsi="Times New Roman"/>
          <w:sz w:val="18"/>
          <w:szCs w:val="18"/>
          <w:b w:val="1"/>
          <w:bCs w:val="1"/>
          <w:color w:val="auto"/>
        </w:rPr>
      </w:pPr>
    </w:p>
    <w:p>
      <w:pPr>
        <w:ind w:left="34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34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has a differentiated and expanding offering of bracelets, jewelry, and other lifestyle accessories.</w:t>
      </w:r>
    </w:p>
    <w:p>
      <w:pPr>
        <w:spacing w:after="0" w:line="4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180" w:hanging="324"/>
        <w:spacing w:after="0" w:line="261" w:lineRule="auto"/>
        <w:tabs>
          <w:tab w:leader="none" w:pos="975" w:val="left"/>
        </w:tabs>
        <w:numPr>
          <w:ilvl w:val="1"/>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Direct business consists of sales of Vera Bradley products through Vera Bradley full-line and outlet stores in the United States; verabradley.com; outlet.verabradley.com; and typically the Vera Bradley annual outlet sale in Fort Wayne, Indiana. As of February 3, 2024, the Company operated 43 full-line stores and 81 outlet stores. In light of the COVID-19 pandemic, the Company cancelled its calendar year 2022 and 2021 annual outlet sales. The sale resumed in calendar year 2023.</w:t>
      </w:r>
    </w:p>
    <w:p>
      <w:pPr>
        <w:spacing w:after="0" w:line="58" w:lineRule="exact"/>
        <w:rPr>
          <w:rFonts w:ascii="Times New Roman" w:cs="Times New Roman" w:eastAsia="Times New Roman" w:hAnsi="Times New Roman"/>
          <w:sz w:val="18"/>
          <w:szCs w:val="18"/>
          <w:i w:val="1"/>
          <w:iCs w:val="1"/>
          <w:color w:val="auto"/>
        </w:rPr>
      </w:pPr>
    </w:p>
    <w:p>
      <w:pPr>
        <w:ind w:left="980" w:right="300" w:hanging="324"/>
        <w:spacing w:after="0" w:line="266" w:lineRule="auto"/>
        <w:tabs>
          <w:tab w:leader="none" w:pos="975" w:val="left"/>
        </w:tabs>
        <w:numPr>
          <w:ilvl w:val="1"/>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VB Indirect business consists of sales of Vera Bradley products to approximately 1,600 specialty retail locations, substantially all of which are located in the United States, as well as department stores, national accounts, third-party e-commerce sites, third-party inventory liquidators, and royalties recognized through licensing agreements related to the Vera Bradley brand.</w:t>
      </w:r>
    </w:p>
    <w:p>
      <w:pPr>
        <w:spacing w:after="0" w:line="40" w:lineRule="exact"/>
        <w:rPr>
          <w:rFonts w:ascii="Times New Roman" w:cs="Times New Roman" w:eastAsia="Times New Roman" w:hAnsi="Times New Roman"/>
          <w:sz w:val="18"/>
          <w:szCs w:val="18"/>
          <w:i w:val="1"/>
          <w:iCs w:val="1"/>
          <w:color w:val="auto"/>
        </w:rPr>
      </w:pPr>
    </w:p>
    <w:p>
      <w:pPr>
        <w:ind w:left="980" w:right="920" w:hanging="324"/>
        <w:spacing w:after="0" w:line="266" w:lineRule="auto"/>
        <w:tabs>
          <w:tab w:leader="none" w:pos="97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www.puravidabracelets.ca, and www.puravidabracelets.eu); the distribution of Pura Vida-branded products to wholesale retailers, substantially all of which are located in the United States; and through its five retail stores.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0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including Pura Vida. The Company has eliminated intercompany balances and transactions in consolidation.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340" w:right="300"/>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ended on the Saturday closest to January 31. As such, fiscal year 2024, ending on February 3, 2024 reflected a 53-week period. Fiscal years 2023 and 2022, ending on January 28, 2023 and January 29, 2022 respectively, each reflected a 52-week period.</w:t>
      </w:r>
    </w:p>
    <w:p>
      <w:pPr>
        <w:spacing w:after="0" w:line="172" w:lineRule="exact"/>
        <w:rPr>
          <w:sz w:val="20"/>
          <w:szCs w:val="20"/>
          <w:color w:val="auto"/>
        </w:rPr>
      </w:pPr>
    </w:p>
    <w:p>
      <w:pPr>
        <w:ind w:left="340" w:right="7520" w:hanging="332"/>
        <w:spacing w:after="0" w:line="354" w:lineRule="auto"/>
        <w:tabs>
          <w:tab w:leader="none" w:pos="33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Significant Estimates</w:t>
      </w:r>
    </w:p>
    <w:p>
      <w:pPr>
        <w:ind w:left="34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valuation of long-lived assets, including operating right-of-use assets, valuation of goodwill and indefinite-lived intangible assets, accounts receivable valuation allowances, and sales return allowances.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could differ from these estimates. The Company revises its estimates and assumptions as new information becomes available.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08"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Cash and cash equivalents represent cash on hand, deposits with financial institutions, and investments with an original maturity of three months or less.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Substantially all inventory relates to finished goods.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Property, plant, and equipment are carried at cost and depreciated or amortized over the following estimated useful lives using the straight-line method:</w:t>
      </w:r>
    </w:p>
    <w:p>
      <w:pPr>
        <w:spacing w:after="0" w:line="345" w:lineRule="exact"/>
        <w:rPr>
          <w:sz w:val="20"/>
          <w:szCs w:val="20"/>
          <w:color w:val="auto"/>
        </w:rPr>
      </w:pPr>
    </w:p>
    <w:tbl>
      <w:tblPr>
        <w:tblLayout w:type="fixed"/>
        <w:tblInd w:w="194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years</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15 years</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 and leasehold improvements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10 years</w:t>
            </w: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Equipment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Vehicles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4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The Company recognizes depreciation and amortization expense within cost of sales for expenditures related to distribution center, sourcing, and other related functions and selling, general, and administrative expenses for all other expenditures. Leasehold improvements are amortized over the shorter of the life of the asset or the lease term. Lease terms typically range from three to ten years.</w:t>
      </w:r>
    </w:p>
    <w:p>
      <w:pPr>
        <w:spacing w:after="0" w:line="54"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Operations.</w:t>
      </w:r>
    </w:p>
    <w:p>
      <w:pPr>
        <w:spacing w:after="0" w:line="45"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reviewed for impairment whenever events or changes in circumstances indicate that the carrying amount of the asset groups may not be recoverable. The reviews are conducted at the lowest identifiable level of cash flows, which is at the retail store level for store-related assets. If the estimated undiscounted future cash flows related to the property, plant, and equipment and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Routine maintenance and repair costs are expensed as incurred.</w:t>
      </w:r>
    </w:p>
    <w:p>
      <w:pPr>
        <w:spacing w:after="0" w:line="104"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w:t>
      </w:r>
    </w:p>
    <w:p>
      <w:pPr>
        <w:spacing w:after="0" w:line="108" w:lineRule="exact"/>
        <w:rPr>
          <w:sz w:val="20"/>
          <w:szCs w:val="20"/>
          <w:color w:val="auto"/>
        </w:rPr>
      </w:pPr>
    </w:p>
    <w:p>
      <w:pPr>
        <w:ind w:left="340" w:right="200"/>
        <w:spacing w:after="0" w:line="258" w:lineRule="auto"/>
        <w:rPr>
          <w:sz w:val="20"/>
          <w:szCs w:val="20"/>
          <w:color w:val="auto"/>
        </w:rPr>
      </w:pPr>
      <w:r>
        <w:rPr>
          <w:rFonts w:ascii="Times New Roman" w:cs="Times New Roman" w:eastAsia="Times New Roman" w:hAnsi="Times New Roman"/>
          <w:sz w:val="18"/>
          <w:szCs w:val="18"/>
          <w:color w:val="auto"/>
        </w:rPr>
        <w:t>Vera Bradley and Pura Vida product sales to customers, including amounts billed to customers for shipping fees, as well as royalties from licensing arrangements related to the Vera Bradley brand, are included in net revenues. Costs related to shipping of product are classified in cost of sales in the Consolidated Statements of Operations. The Company has elected to treat shipping and handling activities that occur after the customer has obtained control of a good as an activity to fulfill the promise to transfer the product rather than as an additional promised service. Net revenues exclude sales taxes collected from customers and remitted to governmental authorities from the transaction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120"/>
        <w:spacing w:after="0" w:line="281" w:lineRule="auto"/>
        <w:rPr>
          <w:sz w:val="20"/>
          <w:szCs w:val="20"/>
          <w:color w:val="auto"/>
        </w:rPr>
      </w:pPr>
      <w:r>
        <w:rPr>
          <w:rFonts w:ascii="Times New Roman" w:cs="Times New Roman" w:eastAsia="Times New Roman" w:hAnsi="Times New Roman"/>
          <w:sz w:val="17"/>
          <w:szCs w:val="17"/>
          <w:color w:val="auto"/>
        </w:rPr>
        <w:t>Revenue from the sale of the Company’s products is recognized when control of the promised goods or services is transferred to customers, in the amount that reflects the consideration the Company expects to be entitled to in exchange for those goods or services. Revenue is recognized using the five-step model. These steps are: (i) identify the contract with the customer; (ii) identify the performance obligations; (iii) determine the transaction price; (iv) allocate the transaction price to each performance obligation; and (v) recognize revenue as the performance obligations are satisfied.</w:t>
      </w:r>
    </w:p>
    <w:p>
      <w:pPr>
        <w:spacing w:after="0" w:line="29"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The Company collects payment at the point of sale for Vera Bradley and Pura Vida full-line and outlet store transactions, upon shipment for Vera Bradley e-commerce transactions, and upon purchase for Pura Vida e-commerce transactions. The Company generally collects payment in arrears in accordance with established payment terms for each customer within the VB Indirect segment and for Pura Vida wholesale retailers.</w:t>
      </w:r>
    </w:p>
    <w:p>
      <w:pPr>
        <w:spacing w:after="0" w:line="54"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Historical experience provides the Company the ability to reasonably estimate the amount of product sales that customers will return. Product returns are often resalable through multiple channels. Additionally, the Company reserves for customer allowances for certain VB Indirect retailers based upon various contract terms and other potential product credits granted to VB Indirect retailers.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returns and credits reserve and the related activity for each fiscal year presented were as follows (in thousands):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240" w:type="dxa"/>
            <w:vAlign w:val="bottom"/>
          </w:tcPr>
          <w:p>
            <w:pPr>
              <w:spacing w:after="0"/>
              <w:rPr>
                <w:sz w:val="13"/>
                <w:szCs w:val="13"/>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80" w:type="dxa"/>
            <w:vAlign w:val="bottom"/>
          </w:tcPr>
          <w:p>
            <w:pPr>
              <w:spacing w:after="0"/>
              <w:rPr>
                <w:sz w:val="13"/>
                <w:szCs w:val="13"/>
                <w:color w:val="auto"/>
              </w:rPr>
            </w:pPr>
          </w:p>
        </w:tc>
        <w:tc>
          <w:tcPr>
            <w:tcW w:w="122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Taken / Written Off</w:t>
            </w:r>
          </w:p>
        </w:tc>
        <w:tc>
          <w:tcPr>
            <w:tcW w:w="180" w:type="dxa"/>
            <w:vAlign w:val="bottom"/>
          </w:tcPr>
          <w:p>
            <w:pPr>
              <w:spacing w:after="0"/>
              <w:rPr>
                <w:sz w:val="16"/>
                <w:szCs w:val="16"/>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0" w:type="dxa"/>
            <w:vAlign w:val="bottom"/>
          </w:tcPr>
          <w:p>
            <w:pPr>
              <w:spacing w:after="0"/>
              <w:rPr>
                <w:sz w:val="1"/>
                <w:szCs w:val="1"/>
                <w:color w:val="auto"/>
              </w:rPr>
            </w:pPr>
          </w:p>
        </w:tc>
      </w:tr>
      <w:tr>
        <w:trPr>
          <w:trHeight w:val="228"/>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$1.1 million and $0.8 million as of February 3, 2024 and January 28, 2023, respectively. The provision for doubtful accounts is based upon the likelihood of default expected during the life of the receivable.</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08"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Cost of sales includes material and labor costs, freight, inventory shrinkage, operating lease costs, duty, and other operating expenses, including depreciation of the Vera Bradley distribution center and equipment. Costs and related expenses to purchase and distribute the products are recorded as cost of sales when the related revenues are recognized.</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08"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lease liabilities at the lease commencement date based upon the present value of the remaining lease payments. Operating right-of-use assets are based on the lease liability adjusted for prepaid rent, deferred rent, and tenant allowances received from certain of the Company’s landlords, primarily for its retail store locations.</w:t>
      </w:r>
    </w:p>
    <w:p>
      <w:pPr>
        <w:spacing w:after="0" w:line="54"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Operating lease liabilities are amortized based upon the effective interest method. Operating right-of-use assets are amortized based upon the straight-line lease expense less interest on the lease liability. Operating lease expense is recognized on a straight-line basis over the lease term. Variable rent expense is recognized in the period incurred.</w:t>
      </w:r>
    </w:p>
    <w:p>
      <w:pPr>
        <w:spacing w:after="0" w:line="41"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Operating right-of-use assets are reviewed for impairment whenever events or changes in circumstances indicate that the carrying amount of the assets may not be recoverable. The reviews are conducted at the lowest identifiable level of cash flows, which is at the retail store level for store-related assets. If the estimated undiscounted future cash flows related to the operating right-of-use assets are less than the carrying value, the Company recognizes a loss equal to the difference between the carrying value and the fair value, as further defined below in “Fair Value of Financial Instruments.”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4 herein for additional information regarding the Company's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Store Pre-Opening, Occupancy, and Operating Costs</w:t>
      </w:r>
    </w:p>
    <w:p>
      <w:pPr>
        <w:spacing w:after="0" w:line="94"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08"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In connection with a business combination, the Company records the identifiable assets acquired, liabilities assumed, contingent consideration liabilities, if any, and any noncontrolling interest in the acquiree at their acquisition-date fair values. Goodwill is measured indirectly as the excess of the sum of (1) the consideration transferred (including contingent consideration, if any) and (2) the fair value of any noncontrolling interest in the acquiree over the net assets acquired and liabilities assumed. Refer to Note 14 herein for additional information regarding the noncontrolling interest in Pura Vida as of February 3, 2024.</w:t>
      </w:r>
    </w:p>
    <w:p>
      <w:pPr>
        <w:spacing w:after="0" w:line="48"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These fair value assessments require management judgment and include the use of significant estimates and assumptions including future cash flows, discount and other market rates, and asset lives, among other items.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08"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As of February 3, 2024 identifiable intangible assets consisted of the Pura Vida brand and customer relationships. Goodwill was fully impaired during fiscal 2023, leaving no balance. Our Pura Vida brand, an indefinite-lived asset, is not amortized but assessed for impairment at least annually or whenever events or circumstances indicate that the brand may be impaired. The Pura Vida customer relationship, a definite-lived intangible asset, is amortized over its estimated useful life and is also subject to impairment testing, similar to the Company’s other long-lived assets.</w:t>
      </w:r>
    </w:p>
    <w:p>
      <w:pPr>
        <w:spacing w:after="0" w:line="45" w:lineRule="exact"/>
        <w:rPr>
          <w:sz w:val="20"/>
          <w:szCs w:val="20"/>
          <w:color w:val="auto"/>
        </w:rPr>
      </w:pPr>
    </w:p>
    <w:p>
      <w:pPr>
        <w:ind w:left="340" w:right="40"/>
        <w:spacing w:after="0" w:line="255" w:lineRule="auto"/>
        <w:rPr>
          <w:sz w:val="20"/>
          <w:szCs w:val="20"/>
          <w:color w:val="auto"/>
        </w:rPr>
      </w:pPr>
      <w:r>
        <w:rPr>
          <w:rFonts w:ascii="Times New Roman" w:cs="Times New Roman" w:eastAsia="Times New Roman" w:hAnsi="Times New Roman"/>
          <w:sz w:val="18"/>
          <w:szCs w:val="18"/>
          <w:color w:val="auto"/>
        </w:rPr>
        <w:t>We test the Pura Vida brand for impairment annually, or more frequently if events or changes in circumstances indicate that the asset may be impaired. Our annual impairment test may be completed through a qualitative assessment to determine if the fair value of the Pura Vida brand is more likely than not greater than the carrying amount. If we elect to bypass the qualitative assessment, or if a qualitative assessment indicates it is more likely than not that the estimated carrying value exceeds the fair value, we test for impairment using a quantitative process. Our quantitative process includes comparing the carrying value to the fair value of the Pura Vida brand, with any excess recognized as an impairment loss. Fair value is estimated using a relief-from-royalty method. The estimates and assumptions used in the determination of the fair value of the Pura Vida brand include the projected revenue growth, long-term growth rate, the royalty rate, and discount rate.</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fiscal 2024, the Company performed an annual impairment test for its goodwill.</w:t>
      </w:r>
    </w:p>
    <w:p>
      <w:pPr>
        <w:spacing w:after="0" w:line="104" w:lineRule="exact"/>
        <w:rPr>
          <w:sz w:val="20"/>
          <w:szCs w:val="20"/>
          <w:color w:val="auto"/>
        </w:rPr>
      </w:pPr>
    </w:p>
    <w:p>
      <w:pPr>
        <w:ind w:left="340" w:right="100"/>
        <w:spacing w:after="0" w:line="250" w:lineRule="auto"/>
        <w:rPr>
          <w:sz w:val="20"/>
          <w:szCs w:val="20"/>
          <w:color w:val="auto"/>
        </w:rPr>
      </w:pPr>
      <w:r>
        <w:rPr>
          <w:rFonts w:ascii="Times New Roman" w:cs="Times New Roman" w:eastAsia="Times New Roman" w:hAnsi="Times New Roman"/>
          <w:sz w:val="18"/>
          <w:szCs w:val="18"/>
          <w:color w:val="auto"/>
        </w:rPr>
        <w:t>As of February 3, 2024, the carrying value of the Pura Vida brand was $6.2 million. For the annual impairment analysis performed in the second quarter of fiscal 2024, the Company performed a quantitative analysis and no impairment was recorded. Subsequent to the annual impairment test, the Company performed an additional quantitative analysis of the carrying value of the Pura Vida brand due to triggering events and recorded an impairment charge of $5.4 million during the fourth quarter of fiscal 2024, further described in Note 15 herein.</w:t>
      </w:r>
    </w:p>
    <w:p>
      <w:pPr>
        <w:spacing w:after="0" w:line="56" w:lineRule="exact"/>
        <w:rPr>
          <w:sz w:val="20"/>
          <w:szCs w:val="20"/>
          <w:color w:val="auto"/>
        </w:rPr>
      </w:pPr>
    </w:p>
    <w:p>
      <w:pPr>
        <w:jc w:val="both"/>
        <w:ind w:left="340" w:right="140"/>
        <w:spacing w:after="0" w:line="250" w:lineRule="auto"/>
        <w:rPr>
          <w:sz w:val="20"/>
          <w:szCs w:val="20"/>
          <w:color w:val="auto"/>
        </w:rPr>
      </w:pPr>
      <w:r>
        <w:rPr>
          <w:rFonts w:ascii="Times New Roman" w:cs="Times New Roman" w:eastAsia="Times New Roman" w:hAnsi="Times New Roman"/>
          <w:sz w:val="18"/>
          <w:szCs w:val="18"/>
          <w:color w:val="auto"/>
        </w:rPr>
        <w:t>For the annual impairment analysis performed during fiscal 2023, the Company performed a quantitative analysis, as well as subsequent analyses due to triggering events, further described in Note 15 herein. Impairment charges of $44.3 million and $25.0 million were recorded during fiscal 2023 for goodwill and the Pura Vida brand, respectively.</w:t>
      </w:r>
    </w:p>
    <w:p>
      <w:pPr>
        <w:spacing w:after="0" w:line="55"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The estimated fair value of the Pura Vida brand is subject to change as a result of many factors, including changing economic conditions. Should actual and estimated cash flows change from the estimates we used in our fiscal 2024 impairment analysis, we may record additional impairment charges in future years.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sz w:val="20"/>
          <w:szCs w:val="20"/>
          <w:color w:val="auto"/>
        </w:rPr>
      </w:pPr>
    </w:p>
    <w:p>
      <w:pPr>
        <w:ind w:left="340" w:right="160"/>
        <w:spacing w:after="0" w:line="247" w:lineRule="auto"/>
        <w:rPr>
          <w:sz w:val="20"/>
          <w:szCs w:val="20"/>
          <w:color w:val="auto"/>
        </w:rPr>
      </w:pPr>
      <w:r>
        <w:rPr>
          <w:rFonts w:ascii="Times New Roman" w:cs="Times New Roman" w:eastAsia="Times New Roman" w:hAnsi="Times New Roman"/>
          <w:sz w:val="18"/>
          <w:szCs w:val="18"/>
          <w:color w:val="auto"/>
        </w:rPr>
        <w:t>On July 16, 2019, as contemplated by the Interest Purchase Agreement, the Company and certain of its subsidiaries and the owners of the remaining twenty-five percent (25%) ownership interest in Pura Vida (the “Sellers”) which was not acquired by the Company (the “Remaining Pura Vida Interest”) entered into a Put/Call Agreement (the “Put/Call Agreement”). Pursuant to the Put/Call Agreement, and subject to the terms and conditions thereof, the Sellers had the right to sell all of the Remaining Pura Vida Interest to the Company, and the Company had the right to purchase all of the Remaining Pura Vida Interests from Sellers, in each case generally at any time following the fifth anniversary of the closing date of the transaction until the tenth anniversary thereof. The purchase price for any Remaining Pura Vida Interest put to, or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40"/>
        <w:spacing w:after="0" w:line="250" w:lineRule="auto"/>
        <w:rPr>
          <w:sz w:val="20"/>
          <w:szCs w:val="20"/>
          <w:color w:val="auto"/>
        </w:rPr>
      </w:pPr>
      <w:r>
        <w:rPr>
          <w:rFonts w:ascii="Times New Roman" w:cs="Times New Roman" w:eastAsia="Times New Roman" w:hAnsi="Times New Roman"/>
          <w:sz w:val="18"/>
          <w:szCs w:val="18"/>
          <w:color w:val="auto"/>
        </w:rPr>
        <w:t>by, the Company was determined based on the arithmetic average of a multiple of adjusted EBITDA of Pura Vida and a multiple of adjusted EBITDA of the Company, as defined in the Put/Call Agreement, over the twelve-month period ending on the last day of the month immediately preceding the month in which an exercise notice was delivered by a relevant party. In the event of a change in control of the Company, the parties had the right to exercise a portion of their put and call rights prior to the fifth anniversary of the closing date (as defined in the Put/Call Agreement).</w:t>
      </w:r>
    </w:p>
    <w:p>
      <w:pPr>
        <w:spacing w:after="0" w:line="56" w:lineRule="exact"/>
        <w:rPr>
          <w:sz w:val="20"/>
          <w:szCs w:val="20"/>
          <w:color w:val="auto"/>
        </w:rPr>
      </w:pPr>
    </w:p>
    <w:p>
      <w:pPr>
        <w:ind w:left="340" w:right="40"/>
        <w:spacing w:after="0" w:line="241" w:lineRule="auto"/>
        <w:rPr>
          <w:sz w:val="20"/>
          <w:szCs w:val="20"/>
          <w:color w:val="auto"/>
        </w:rPr>
      </w:pPr>
      <w:r>
        <w:rPr>
          <w:rFonts w:ascii="Times New Roman" w:cs="Times New Roman" w:eastAsia="Times New Roman" w:hAnsi="Times New Roman"/>
          <w:sz w:val="18"/>
          <w:szCs w:val="18"/>
          <w:color w:val="auto"/>
        </w:rPr>
        <w:t>As a result of this redemption feature, the Company recorded the noncontrolling interest as redeemable and classified it in temporary equity within its Consolidated Balance Sheets initially at its acquisition-date fair value. The noncontrolling interest was adjusted each reporting period for income (or loss) attributable to the noncontrolling interest. A measurement period adjustment, if any, was then made to adjust the noncontrolling interest to the higher of the redemption value or carrying value each reporting period. These adjustments were recognized through retained earnings and were not reflected in net income or net income attributable to Vera Bradley, Inc. When calculating earnings per share attributable to Vera Bradley, Inc., the Company adjusted net income attributable to Vera Bradley, Inc. for the measurement period adjustment to the extent the redemption value exceeds the fair value of the noncontrolling interest on a cumulative basis. The fair value of the noncontrolling interest was estimated using a combination of the income approach, a discounted cash flow analysis, and the market approach, utilizing the guideline company method. The reporting unit’s discounted cash flow analysis required significant management judgment with respect to revenue, total direct costs, selling, general, and administrative expenses, capital expenditures, and the selection and use of an appropriate discount rate. The projected revenue and expense assumptions and capital expenditures were based on our annual and long-term business plans. Discount rates reflected market-based estimates of the risks associated with the projected cash flows directly resulting from the use of those assets in operations.</w:t>
      </w:r>
    </w:p>
    <w:p>
      <w:pPr>
        <w:spacing w:after="0" w:line="71" w:lineRule="exact"/>
        <w:rPr>
          <w:sz w:val="20"/>
          <w:szCs w:val="20"/>
          <w:color w:val="auto"/>
        </w:rPr>
      </w:pPr>
    </w:p>
    <w:p>
      <w:pPr>
        <w:ind w:left="340" w:right="240"/>
        <w:spacing w:after="0" w:line="261" w:lineRule="auto"/>
        <w:rPr>
          <w:sz w:val="20"/>
          <w:szCs w:val="20"/>
          <w:color w:val="auto"/>
        </w:rPr>
      </w:pPr>
      <w:r>
        <w:rPr>
          <w:rFonts w:ascii="Times New Roman" w:cs="Times New Roman" w:eastAsia="Times New Roman" w:hAnsi="Times New Roman"/>
          <w:sz w:val="18"/>
          <w:szCs w:val="18"/>
          <w:color w:val="auto"/>
        </w:rPr>
        <w:t>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Pura Vida. The closing date of the Transaction was January 30, 2023.</w:t>
      </w:r>
    </w:p>
    <w:p>
      <w:pPr>
        <w:spacing w:after="0" w:line="58"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Pursuant to the Interest Purchase Agreement, and subject to the terms and conditions thereof, on the closing date, the Company indirectly acquired the Remaining Pura Vida Interests (the “Transaction”) in exchange for cash consideration consisting of approximately $10 million payable at closing, subject to certain adjustments. The Transaction was not subject to financing conditions. The Company’s existing available cash and cash equivalents funded the purchase price. Following completion of the Transaction, the Company owned one hundred percent (100%) of the ownership interests in Pura Vida. The Interest Purchase Agreement also included certain non-competition and customer, supplier and employee non-solicitation and non-interference covenants from the Sellers in favor of the Company during the four-year period beginning on the closing date of the Transaction.</w:t>
      </w:r>
    </w:p>
    <w:p>
      <w:pPr>
        <w:spacing w:after="0" w:line="66"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27"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fiscal 2024. In addition, there was an APIC adjustment of $0.6 million related to deferred income taxes for the purchase of the redeemable noncontrolling interest. The total APIC adjustment for this matter during fiscal 2024 was $1.3 million.</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6"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using the fair-value recognition provisions of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Under these provisions, for its awards of restricted stock and restricted-stock units, the Company recognizes stock-based compensation expense in an amount equal to the fair market value of the underlying stock on the grant date of the respective award. The Company recognizes this expense, net of estimated forfeitures, on a straight-line basis over the requisite service period.</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08"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at the time the promotion first appears in media, in stores, or on its websites, and includes those costs in selling,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260" w:type="dxa"/>
            <w:vAlign w:val="bottom"/>
          </w:tcPr>
          <w:p>
            <w:pPr>
              <w:ind w:left="4580"/>
              <w:spacing w:after="0"/>
              <w:rPr>
                <w:sz w:val="20"/>
                <w:szCs w:val="20"/>
                <w:color w:val="auto"/>
              </w:rPr>
            </w:pPr>
            <w:r>
              <w:rPr>
                <w:rFonts w:ascii="Times New Roman" w:cs="Times New Roman" w:eastAsia="Times New Roman" w:hAnsi="Times New Roman"/>
                <w:sz w:val="18"/>
                <w:szCs w:val="18"/>
                <w:b w:val="1"/>
                <w:bCs w:val="1"/>
                <w:color w:val="auto"/>
              </w:rPr>
              <w:t>Vera Bradley, Inc.</w:t>
            </w:r>
          </w:p>
        </w:tc>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826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635"/>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 advertising expense was as follows (in thousands):</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0"/>
        </w:trPr>
        <w:tc>
          <w:tcPr>
            <w:tcW w:w="8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1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1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1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61,223</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08"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Consolidated Balance Sheets for cash and cash equivalents, accounts receivable, and accounts payable as of February 3, 2024 and January 28, 2023, approximated their fair values.</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February 3, 2024 and January 28, 2023 (in thousands):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40" w:type="dxa"/>
            <w:vAlign w:val="bottom"/>
            <w:gridSpan w:val="6"/>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1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4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900" w:type="dxa"/>
            <w:vAlign w:val="bottom"/>
            <w:tcBorders>
              <w:top w:val="single" w:sz="8" w:color="auto"/>
            </w:tcBorders>
          </w:tcPr>
          <w:p>
            <w:pPr>
              <w:jc w:val="center"/>
              <w:ind w:right="62"/>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27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900" w:type="dxa"/>
            <w:vAlign w:val="bottom"/>
            <w:tcBorders>
              <w:top w:val="single" w:sz="8" w:color="auto"/>
            </w:tcBorders>
          </w:tcPr>
          <w:p>
            <w:pPr>
              <w:jc w:val="center"/>
              <w:ind w:right="42"/>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4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55,262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49" w:lineRule="exact"/>
        <w:rPr>
          <w:sz w:val="20"/>
          <w:szCs w:val="20"/>
          <w:color w:val="auto"/>
        </w:rPr>
      </w:pPr>
    </w:p>
    <w:p>
      <w:pPr>
        <w:ind w:left="360" w:right="440" w:hanging="10"/>
        <w:spacing w:after="0" w:line="237" w:lineRule="auto"/>
        <w:tabs>
          <w:tab w:leader="none" w:pos="6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money market funds that have a maturity of three months or less at the date of purchase. Due to its short maturity, the Company believes the carrying value approximates fair value.</w:t>
      </w:r>
    </w:p>
    <w:p>
      <w:pPr>
        <w:spacing w:after="0" w:line="172"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 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$1.4 million and $0.1 million in impairment charges primarily related to store assets including property, plant, and equipment and lease right-of-use assets during the fiscal years ended January 28, 2023, and January 29, 2022, respectively. No impairment charges were recorded in fiscal 2024 for long-lived assets.</w:t>
      </w:r>
    </w:p>
    <w:p>
      <w:pPr>
        <w:spacing w:after="0" w:line="69" w:lineRule="exact"/>
        <w:rPr>
          <w:sz w:val="20"/>
          <w:szCs w:val="20"/>
          <w:color w:val="auto"/>
        </w:rPr>
      </w:pPr>
    </w:p>
    <w:p>
      <w:pPr>
        <w:ind w:left="340" w:right="80"/>
        <w:spacing w:after="0" w:line="281" w:lineRule="auto"/>
        <w:rPr>
          <w:sz w:val="20"/>
          <w:szCs w:val="20"/>
          <w:color w:val="auto"/>
        </w:rPr>
      </w:pPr>
      <w:r>
        <w:rPr>
          <w:rFonts w:ascii="Times New Roman" w:cs="Times New Roman" w:eastAsia="Times New Roman" w:hAnsi="Times New Roman"/>
          <w:sz w:val="17"/>
          <w:szCs w:val="17"/>
          <w:color w:val="auto"/>
        </w:rPr>
        <w:t>Assets recognized or disclosed at fair value on the consolidated financial statements on a nonrecurring basis include items such as property, plant, and equipment, including leasehold improvements, and operating lease assets, as well as assets related to the Pura Vida acquisition including goodwill and intangible assets. These assets are measured at fair value if determined to be impaired. Refer to Note 15 herein regarding the Pura Vida Brand impairment test and fiscal 2024 impairments charges and the 2023 Pura Vida Brand and goodwill impairment test and fiscal 2023 impairment charges.</w:t>
      </w:r>
    </w:p>
    <w:p>
      <w:pPr>
        <w:spacing w:after="0" w:line="2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160"/>
        <w:spacing w:after="0" w:line="289" w:lineRule="auto"/>
        <w:rPr>
          <w:sz w:val="20"/>
          <w:szCs w:val="20"/>
          <w:color w:val="auto"/>
        </w:rPr>
      </w:pPr>
      <w:r>
        <w:rPr>
          <w:rFonts w:ascii="Times New Roman" w:cs="Times New Roman" w:eastAsia="Times New Roman" w:hAnsi="Times New Roman"/>
          <w:sz w:val="17"/>
          <w:szCs w:val="17"/>
          <w:color w:val="auto"/>
        </w:rPr>
        <w:t>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w:t>
      </w:r>
    </w:p>
    <w:p>
      <w:pPr>
        <w:spacing w:after="0" w:line="54"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When measuring deferred tax assets, the Company considers both positive and negative evidence to determine whether it is more likely than not that the deferred tax assets will be realized. This evidence includes recent operating results, projected future taxable income, the reversal of existing taxable differences, tax planning strategies, among other factors. When necessary, a valuation allowance is recorded to reduce the deferred tax assets to their anticipated realizable value.</w:t>
      </w:r>
    </w:p>
    <w:p>
      <w:pPr>
        <w:spacing w:after="0" w:line="45" w:lineRule="exact"/>
        <w:rPr>
          <w:sz w:val="20"/>
          <w:szCs w:val="20"/>
          <w:color w:val="auto"/>
        </w:rPr>
      </w:pPr>
    </w:p>
    <w:p>
      <w:pPr>
        <w:ind w:left="340" w:right="820"/>
        <w:spacing w:after="0" w:line="282" w:lineRule="auto"/>
        <w:rPr>
          <w:sz w:val="20"/>
          <w:szCs w:val="20"/>
          <w:color w:val="auto"/>
        </w:rPr>
      </w:pPr>
      <w:r>
        <w:rPr>
          <w:rFonts w:ascii="Times New Roman" w:cs="Times New Roman" w:eastAsia="Times New Roman" w:hAnsi="Times New Roman"/>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108" w:lineRule="exact"/>
        <w:rPr>
          <w:sz w:val="20"/>
          <w:szCs w:val="20"/>
          <w:color w:val="auto"/>
        </w:rPr>
      </w:pPr>
    </w:p>
    <w:p>
      <w:pPr>
        <w:ind w:left="340" w:right="40"/>
        <w:spacing w:after="0" w:line="272" w:lineRule="auto"/>
        <w:rPr>
          <w:sz w:val="20"/>
          <w:szCs w:val="20"/>
          <w:color w:val="auto"/>
        </w:rPr>
      </w:pPr>
      <w:r>
        <w:rPr>
          <w:rFonts w:ascii="Times New Roman" w:cs="Times New Roman" w:eastAsia="Times New Roman" w:hAnsi="Times New Roman"/>
          <w:sz w:val="17"/>
          <w:szCs w:val="17"/>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Consolidated Statements of Operations, which is within the same line item as the related hosting fees. The balance of the unamortized CCA implementation costs totaled $3.8 million and $6.4 million as of February 3, 2024 and January 28, 2023, respectively. Of this total, $2.8 million and $3.0 million was recorded within prepaid expenses and other current assets and $1.0 million and $3.4 million was recorded within other assets on the Company's Consolidated Balance Sheets as of February 3, 2024 and January 28, 2023, respectively. The CCA implementation costs are recorded within operating activities in the Company's Consolidated Statements of Cash Flows.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340" w:right="120"/>
        <w:spacing w:after="0" w:line="261"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Improvements." The amendments in this update modify the disclosure or presentation requirements of a variety of topics in the codification. Certain of the amendments represent clarifications to or technical corrections of the current requirements. The amendments in this ASU are effective for public business entities for interim periods beginning after June 30, 2027. The Company is currently evaluating the impacts of the provisions of ASU 2023-06.</w:t>
      </w:r>
    </w:p>
    <w:p>
      <w:pPr>
        <w:spacing w:after="0" w:line="58"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7"/>
          <w:szCs w:val="17"/>
          <w:color w:val="auto"/>
        </w:rPr>
        <w:t>In November 2023, the FASB issued ASU 2023-07,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This ASU will likely result in additional required disclosures when adopted. The Company is currently evaluating this guidance to determine the impact on its disclosures; however, adoption will not impact our consolidated financial statements.</w:t>
      </w:r>
    </w:p>
    <w:p>
      <w:pPr>
        <w:spacing w:after="0" w:line="37"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This ASU establishes new income tax disclosure requirements in addition to modifying and eliminating certain existing requirements. Under the new guidance, entities must consistently categorize and provide greater disaggregation of information in the rate reconciliation. They must also further disaggregate income taxes paid. The new standard is effective for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420"/>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with retrospective application permitted. The Company is currently evaluating this guidance to determine the impact on its disclosures; however, adoption will not impact our consolidated financial statements.</w:t>
      </w:r>
    </w:p>
    <w:p>
      <w:pPr>
        <w:spacing w:after="0" w:line="266" w:lineRule="exact"/>
        <w:rPr>
          <w:sz w:val="20"/>
          <w:szCs w:val="20"/>
          <w:color w:val="auto"/>
        </w:rPr>
      </w:pPr>
    </w:p>
    <w:p>
      <w:pPr>
        <w:ind w:left="340" w:right="7780" w:hanging="332"/>
        <w:spacing w:after="0" w:line="362" w:lineRule="auto"/>
        <w:tabs>
          <w:tab w:leader="none" w:pos="33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presents the Company's net revenues disaggregated by product category for the fifty-three weeks ended February 3, 2024, and fifty-two weeks ended January 28, 2023 and January 29, 2022 (in thousands):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Fifty-Three Weeks Ended</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119,705</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39,609</w:t>
            </w:r>
          </w:p>
        </w:tc>
        <w:tc>
          <w:tcPr>
            <w:tcW w:w="320" w:type="dxa"/>
            <w:vAlign w:val="bottom"/>
          </w:tcPr>
          <w:p>
            <w:pPr>
              <w:spacing w:after="0"/>
              <w:rPr>
                <w:sz w:val="19"/>
                <w:szCs w:val="19"/>
                <w:color w:val="auto"/>
              </w:rPr>
            </w:pPr>
          </w:p>
        </w:tc>
        <w:tc>
          <w:tcPr>
            <w:tcW w:w="70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90,849</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82,731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41,609</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309,910</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470,786</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 million of net revenues related to product sales recognized at a point in time and $2.4 million of net revenues related to sales-based royalties recognized over time.</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131,432</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32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171,268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93,868</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159,987</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38,040</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328,231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499,961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42" w:lineRule="auto"/>
        <w:tabs>
          <w:tab w:leader="none" w:pos="6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$70.7 million of net revenues related to product sales recognized at a point in time and $2.6 million of net revenues related to sales-based royalties recognized over time.</w:t>
      </w:r>
    </w:p>
    <w:p>
      <w:pPr>
        <w:spacing w:after="0" w:line="1"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7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13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138,910</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32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173,009</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94,657</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111,248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186,488</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41,987</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46,403</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Apparel/Footwear</w:t>
            </w:r>
            <w:r>
              <w:rPr>
                <w:rFonts w:ascii="Times New Roman" w:cs="Times New Roman" w:eastAsia="Times New Roman" w:hAnsi="Times New Roman"/>
                <w:sz w:val="23"/>
                <w:szCs w:val="23"/>
                <w:color w:val="auto"/>
                <w:vertAlign w:val="superscript"/>
              </w:rPr>
              <w:t>(6)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25,108</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360" w:right="100" w:hanging="10"/>
        <w:spacing w:after="0" w:line="234" w:lineRule="auto"/>
        <w:tabs>
          <w:tab w:leader="none" w:pos="6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 million of net revenues related to product sales recognized at a point in time and $2.9 million of net revenues related to sales-based royalties recognized over time.</w:t>
      </w:r>
    </w:p>
    <w:p>
      <w:pPr>
        <w:spacing w:after="0" w:line="10"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mask sales.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94" w:lineRule="exact"/>
        <w:rPr>
          <w:sz w:val="20"/>
          <w:szCs w:val="20"/>
          <w:color w:val="auto"/>
        </w:rPr>
      </w:pPr>
    </w:p>
    <w:p>
      <w:pPr>
        <w:ind w:left="340" w:right="160"/>
        <w:spacing w:after="0" w:line="258" w:lineRule="auto"/>
        <w:rPr>
          <w:sz w:val="20"/>
          <w:szCs w:val="20"/>
          <w:color w:val="auto"/>
        </w:rPr>
      </w:pPr>
      <w:r>
        <w:rPr>
          <w:rFonts w:ascii="Times New Roman" w:cs="Times New Roman" w:eastAsia="Times New Roman" w:hAnsi="Times New Roman"/>
          <w:sz w:val="18"/>
          <w:szCs w:val="18"/>
          <w:color w:val="auto"/>
        </w:rPr>
        <w:t>Contract liabilities as of February 3, 2024 and January 28, 2023, were $2.6 million and $3.2 million, respectively. The balance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Consolidated Balance Sheets. Substantially all contract liabilities are recognized within one year. The Company did not have contract assets as of February 3, 2024 and January 28, 2023.</w:t>
      </w:r>
    </w:p>
    <w:p>
      <w:pPr>
        <w:spacing w:after="0" w:line="62"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February 3, 2024 and January 28, 2023 was $16.4 million and $20.7 million, respectively, which is recognized within accounts receivable, net, on the Company’s Consolidated Balance Sheets. The provision for doubtful accounts was $1.1 million and $0.8 million as of February 3, 2024 and January 28, 2023, respectively. The provision for doubtful accounts is based upon the likelihood of default expected during the life of the receivable.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0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February 3, 2024.</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Judgments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Sales</w:t>
      </w:r>
    </w:p>
    <w:p>
      <w:pPr>
        <w:spacing w:after="0" w:line="106"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In the Vera Bradley and Pura Vida retail stores (recognized within the VB Direct segment and the Pura Vida segments), control is transferred and net revenue is recognized at the point of sale. Product shipments for the Company’s e-commerce channels (recognized within the VB Direct and Pura Vida segments) and shipments to its wholesale retailers (recognized within the VB Indirect segment and Pura Vida segment) are generally shipped Free on Board (“FOB”) shipping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120"/>
        <w:spacing w:after="0" w:line="266" w:lineRule="auto"/>
        <w:rPr>
          <w:sz w:val="20"/>
          <w:szCs w:val="20"/>
          <w:color w:val="auto"/>
        </w:rPr>
      </w:pPr>
      <w:r>
        <w:rPr>
          <w:rFonts w:ascii="Times New Roman" w:cs="Times New Roman" w:eastAsia="Times New Roman" w:hAnsi="Times New Roman"/>
          <w:sz w:val="18"/>
          <w:szCs w:val="18"/>
          <w:color w:val="auto"/>
        </w:rPr>
        <w:t>typically from its distribution center in Roanoke, Indiana, for Vera Bradley products and primarily from its third-party fulfillment center in Tijuana, Mexico for Pura Vida products. Net revenue is recognized upon shipment consistent with when control is transferred to the customer. Upon shipment, the customer has the right to direct the use of, and obtain substantially all of the benefits from, the product.</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Licensing Royalties</w:t>
      </w:r>
    </w:p>
    <w:p>
      <w:pPr>
        <w:spacing w:after="0" w:line="106"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The Company grants rights to access its Vera Bradley IP and accounts for any resulting sales-based royalty revenue over time, as the subsequent sales occur. The Company has contractually guaranteed minimum royalties in certain of its sales-based royalty arrangements which are recognized straight-line over the remaining license period once determined that the minimum sales level will not be achieved. Licensing royalties are recognized within VB Indirect segment net revenues.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Price and Amounts Allocated to Performance Obligations</w:t>
      </w:r>
    </w:p>
    <w:p>
      <w:pPr>
        <w:spacing w:after="0" w:line="92" w:lineRule="exact"/>
        <w:rPr>
          <w:sz w:val="20"/>
          <w:szCs w:val="20"/>
          <w:color w:val="auto"/>
        </w:rPr>
      </w:pPr>
    </w:p>
    <w:p>
      <w:pPr>
        <w:ind w:left="340" w:right="140"/>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the Company expects to be entitled to in a sales transaction. The transaction price is net of discounts, estimated variable consideration (if any), and any customer allowances offered or estimated, including those offered to certain Indirect retailers based on various contract terms. The transaction price also is net of allowances for product returns, which the Company is able to reasonably estimate based upon historical experience. The transaction price is allocated to each performance obligation in the contract based upon the standalone selling price.</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0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Sales commissions are paid to certain employees based upon specific sales achieved during a time period. As the Company’s contracts related to these sales commissions do not exceed one year, these incentive payments are expensed as incurred.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Practical Expedients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Financing Components</w:t>
      </w:r>
    </w:p>
    <w:p>
      <w:pPr>
        <w:spacing w:after="0" w:line="10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does not adjust for the time value of money as the majority of its contracts have an original expected duration of one year or less; contracts that are greater than one year are related to net revenues that are constrained until the subsequent sales occur. The net revenues associated with these contracts are immaterial, and the Company does not adjust for the time value of money.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Five customers represented approximately 54.0% of the balance of accounts receivable, net as of February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81"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6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Leases</w:t>
      </w:r>
    </w:p>
    <w:p>
      <w:pPr>
        <w:spacing w:after="0" w:line="94" w:lineRule="exact"/>
        <w:rPr>
          <w:rFonts w:ascii="Times New Roman" w:cs="Times New Roman" w:eastAsia="Times New Roman" w:hAnsi="Times New Roman"/>
          <w:sz w:val="18"/>
          <w:szCs w:val="18"/>
          <w:b w:val="1"/>
          <w:bCs w:val="1"/>
          <w:color w:val="auto"/>
        </w:rPr>
      </w:pPr>
    </w:p>
    <w:p>
      <w:pPr>
        <w:ind w:left="34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at all of its Vera Bradley and Pura Vida retail stores (including storage spaces), as well as for its New York office, the California Pura Vida office, Asia sourcing office, and showrooms. The Company does not have residual value guarantees, restrictions, or covenants imposed by leases.</w:t>
      </w:r>
    </w:p>
    <w:p>
      <w:pPr>
        <w:spacing w:after="0" w:line="21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of Lease Terms</w:t>
      </w:r>
    </w:p>
    <w:p>
      <w:pPr>
        <w:spacing w:after="0" w:line="107" w:lineRule="exact"/>
        <w:rPr>
          <w:rFonts w:ascii="Times New Roman" w:cs="Times New Roman" w:eastAsia="Times New Roman" w:hAnsi="Times New Roman"/>
          <w:sz w:val="18"/>
          <w:szCs w:val="18"/>
          <w:b w:val="1"/>
          <w:bCs w:val="1"/>
          <w:color w:val="auto"/>
        </w:rPr>
      </w:pPr>
    </w:p>
    <w:p>
      <w:pPr>
        <w:ind w:left="34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Retail store leases have remaining terms of up to 10 years as of February 3, 2024. These leases generally have early termination rights when certain sales thresholds are not met for a specified measurement period. The Company's other leases generally have remaining terms of up to approximately three years as of February 3, 2024. If the lease contains a renewal period at the Company's option, the renewal period is included in the lease term if determined the option is reasonably certain to be exercised at lease commencement. The Company's lease options generally do not include termination rights other than those mentioned. The Company did not have financing leases as of February 3, 2024.</w:t>
      </w:r>
    </w:p>
    <w:p>
      <w:pPr>
        <w:spacing w:after="0" w:line="20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Rental Payments</w:t>
      </w:r>
    </w:p>
    <w:p>
      <w:pPr>
        <w:spacing w:after="0" w:line="107" w:lineRule="exact"/>
        <w:rPr>
          <w:rFonts w:ascii="Times New Roman" w:cs="Times New Roman" w:eastAsia="Times New Roman" w:hAnsi="Times New Roman"/>
          <w:sz w:val="18"/>
          <w:szCs w:val="18"/>
          <w:b w:val="1"/>
          <w:bCs w:val="1"/>
          <w:color w:val="auto"/>
        </w:rPr>
      </w:pPr>
    </w:p>
    <w:p>
      <w:pPr>
        <w:ind w:left="34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retail store leases contain variable rental payments based on each location's monthly gross sales, the majority of which have specified sales breakpoints. In addition, the majority of the Company's leases contain real estate taxes, common area maintenance, and similar items that are billed as pass-through charges from its landlords. These rental payments are not included in the measurement of the lease liability, but are recognized as variable lease cost in the period incurred.</w:t>
      </w:r>
    </w:p>
    <w:p>
      <w:pPr>
        <w:spacing w:after="0" w:line="58" w:lineRule="exact"/>
        <w:rPr>
          <w:rFonts w:ascii="Times New Roman" w:cs="Times New Roman" w:eastAsia="Times New Roman" w:hAnsi="Times New Roman"/>
          <w:sz w:val="18"/>
          <w:szCs w:val="18"/>
          <w:b w:val="1"/>
          <w:bCs w:val="1"/>
          <w:color w:val="auto"/>
        </w:rPr>
      </w:pPr>
    </w:p>
    <w:p>
      <w:pPr>
        <w:ind w:left="340" w:right="2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Certain of the Company's leases also contain lease components with increases based upon an index or rate. These lease components are included on the Company's balance sheet at the rate as of lease commencement. Future changes in the index or rate will generally be included as variable lease cost.</w:t>
      </w:r>
    </w:p>
    <w:p>
      <w:pPr>
        <w:spacing w:after="0" w:line="162" w:lineRule="exact"/>
        <w:rPr>
          <w:rFonts w:ascii="Times New Roman" w:cs="Times New Roman" w:eastAsia="Times New Roman" w:hAnsi="Times New Roman"/>
          <w:sz w:val="18"/>
          <w:szCs w:val="18"/>
          <w:b w:val="1"/>
          <w:bCs w:val="1"/>
          <w:color w:val="auto"/>
        </w:rPr>
      </w:pPr>
    </w:p>
    <w:p>
      <w:pPr>
        <w:ind w:left="340" w:right="6900"/>
        <w:spacing w:after="0" w:line="3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Significant Judgments and Assumptions </w:t>
      </w:r>
      <w:r>
        <w:rPr>
          <w:rFonts w:ascii="Times New Roman" w:cs="Times New Roman" w:eastAsia="Times New Roman" w:hAnsi="Times New Roman"/>
          <w:sz w:val="17"/>
          <w:szCs w:val="17"/>
          <w:i w:val="1"/>
          <w:iCs w:val="1"/>
          <w:color w:val="auto"/>
        </w:rPr>
        <w:t>Determination of Whether a Contract Contains a Lease</w:t>
      </w:r>
    </w:p>
    <w:p>
      <w:pPr>
        <w:spacing w:after="0" w:line="1"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whether a contract is or contains a lease at the inception of the contract. The contract is, or contains, a lease if the contract conveys the right to control the use of identified property, plant, or equipment for a period of time in exchange for consideration. The Company generally must also have the right to obtain substantially all of the economic benefits from use of the property, plant, and equipment and have the right to direct its use.</w:t>
      </w:r>
    </w:p>
    <w:p>
      <w:pPr>
        <w:spacing w:after="0" w:line="4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Discount Rate</w:t>
      </w:r>
    </w:p>
    <w:p>
      <w:pPr>
        <w:spacing w:after="0" w:line="105" w:lineRule="exact"/>
        <w:rPr>
          <w:rFonts w:ascii="Times New Roman" w:cs="Times New Roman" w:eastAsia="Times New Roman" w:hAnsi="Times New Roman"/>
          <w:sz w:val="18"/>
          <w:szCs w:val="18"/>
          <w:b w:val="1"/>
          <w:bCs w:val="1"/>
          <w:color w:val="auto"/>
        </w:rPr>
      </w:pPr>
    </w:p>
    <w:p>
      <w:pPr>
        <w:ind w:left="3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February 3, 2024 and January 28, 2023, was 4.8% and 4.6%, respectively. The discount rate is not readily determinable in the lease; therefore, the Company estimated the incremental borrowing rate, at the commencement or remeasurement date of each lease, which is the rate of interest it would have to borrow on a collateralized basis over a similar term with similar payments.</w:t>
      </w:r>
    </w:p>
    <w:p>
      <w:pPr>
        <w:spacing w:after="0" w:line="212"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94" w:lineRule="exact"/>
        <w:rPr>
          <w:rFonts w:ascii="Times New Roman" w:cs="Times New Roman" w:eastAsia="Times New Roman" w:hAnsi="Times New Roman"/>
          <w:sz w:val="18"/>
          <w:szCs w:val="18"/>
          <w:b w:val="1"/>
          <w:bCs w:val="1"/>
          <w:color w:val="auto"/>
        </w:rPr>
      </w:pPr>
    </w:p>
    <w:p>
      <w:pPr>
        <w:ind w:left="34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February 3, 2024, the Company had one lease which was executed but for which it did not have control of the underlying asset; therefore, the lease liability and right-of-use asset are not recorded on the Condensed Consolidated Balance Sheet. This lease contain undiscounted lease payments, which will be included in the determination of the lease liability, totaling approximately $0.8 million and has a term of approximately 5 years commencing in fiscal year 2025.</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Practical Expedients (Policy Elections)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elected the following practical expedients as policy elections upon the adoption of ASC Topic 842.</w:t>
      </w:r>
    </w:p>
    <w:p>
      <w:pPr>
        <w:spacing w:after="0" w:line="10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Leases</w:t>
            </w: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The Company elected to exclude leases with a term of 12 months or less from recognition on the</w:t>
            </w:r>
          </w:p>
        </w:tc>
      </w:tr>
      <w:tr>
        <w:trPr>
          <w:trHeight w:val="243"/>
        </w:trPr>
        <w:tc>
          <w:tcPr>
            <w:tcW w:w="3180" w:type="dxa"/>
            <w:vAlign w:val="bottom"/>
            <w:shd w:val="clear" w:color="auto" w:fill="CCEEFF"/>
          </w:tcPr>
          <w:p>
            <w:pPr>
              <w:spacing w:after="0"/>
              <w:rPr>
                <w:sz w:val="21"/>
                <w:szCs w:val="21"/>
                <w:color w:val="auto"/>
              </w:rPr>
            </w:pPr>
          </w:p>
        </w:tc>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balance sheet for all leases.</w:t>
            </w:r>
          </w:p>
        </w:tc>
      </w:tr>
      <w:tr>
        <w:trPr>
          <w:trHeight w:val="176"/>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Not Separating Lease and Nonlease</w:t>
            </w:r>
          </w:p>
        </w:tc>
        <w:tc>
          <w:tcPr>
            <w:tcW w:w="77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The Company elected to combine lease and nonlease components and recognize as a single lease</w:t>
            </w:r>
          </w:p>
        </w:tc>
      </w:tr>
      <w:tr>
        <w:trPr>
          <w:trHeight w:val="23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7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component for all leases.</w:t>
            </w:r>
          </w:p>
        </w:tc>
      </w:tr>
    </w:tbl>
    <w:p>
      <w:pPr>
        <w:spacing w:after="0" w:line="200" w:lineRule="exact"/>
        <w:rPr>
          <w:sz w:val="20"/>
          <w:szCs w:val="20"/>
          <w:color w:val="auto"/>
        </w:rPr>
      </w:pP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Financial Statements</w:t>
      </w:r>
    </w:p>
    <w:p>
      <w:pPr>
        <w:spacing w:after="0" w:line="108" w:lineRule="exact"/>
        <w:rPr>
          <w:sz w:val="20"/>
          <w:szCs w:val="20"/>
          <w:color w:val="auto"/>
        </w:rPr>
      </w:pPr>
    </w:p>
    <w:p>
      <w:pPr>
        <w:jc w:val="both"/>
        <w:ind w:left="340" w:right="140"/>
        <w:spacing w:after="0" w:line="266" w:lineRule="auto"/>
        <w:rPr>
          <w:sz w:val="20"/>
          <w:szCs w:val="20"/>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 and administrative expenses for all other leases, including retail store leases, in the Company's Consolidated Statements of Operations for the fiscal years ended February 3, 2024, January 28, 2023, and January 29, 2022 (in thousands):</w:t>
      </w:r>
    </w:p>
    <w:p>
      <w:pPr>
        <w:spacing w:after="0" w:line="7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Fifty-Three Weeks Ended</w:t>
            </w:r>
          </w:p>
        </w:tc>
        <w:tc>
          <w:tcPr>
            <w:tcW w:w="260" w:type="dxa"/>
            <w:vAlign w:val="bottom"/>
          </w:tcPr>
          <w:p>
            <w:pPr>
              <w:spacing w:after="0"/>
              <w:rPr>
                <w:sz w:val="16"/>
                <w:szCs w:val="16"/>
                <w:color w:val="auto"/>
              </w:rPr>
            </w:pPr>
          </w:p>
        </w:tc>
        <w:tc>
          <w:tcPr>
            <w:tcW w:w="3560" w:type="dxa"/>
            <w:vAlign w:val="bottom"/>
            <w:gridSpan w:val="4"/>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Fifty-Two Weeks Ended</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6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60" w:type="dxa"/>
            <w:vAlign w:val="bottom"/>
          </w:tcPr>
          <w:p>
            <w:pPr>
              <w:spacing w:after="0"/>
              <w:rPr>
                <w:sz w:val="16"/>
                <w:szCs w:val="16"/>
                <w:color w:val="auto"/>
              </w:rPr>
            </w:pPr>
          </w:p>
        </w:tc>
        <w:tc>
          <w:tcPr>
            <w:tcW w:w="16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0" w:type="dxa"/>
            <w:vAlign w:val="bottom"/>
          </w:tcPr>
          <w:p>
            <w:pPr>
              <w:spacing w:after="0"/>
              <w:rPr>
                <w:sz w:val="1"/>
                <w:szCs w:val="1"/>
                <w:color w:val="auto"/>
              </w:rPr>
            </w:pP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33,275</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5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lease term as of February 3, 2024 and January 28, 2023 was 5.3 years and 5.4 years, respectively.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Fifty-Three Weeks Ended</w:t>
            </w:r>
          </w:p>
        </w:tc>
        <w:tc>
          <w:tcPr>
            <w:tcW w:w="320" w:type="dxa"/>
            <w:vAlign w:val="bottom"/>
          </w:tcPr>
          <w:p>
            <w:pPr>
              <w:spacing w:after="0"/>
              <w:rPr>
                <w:sz w:val="16"/>
                <w:szCs w:val="16"/>
                <w:color w:val="auto"/>
              </w:rPr>
            </w:pPr>
          </w:p>
        </w:tc>
        <w:tc>
          <w:tcPr>
            <w:tcW w:w="4020" w:type="dxa"/>
            <w:vAlign w:val="bottom"/>
            <w:gridSpan w:val="4"/>
          </w:tcPr>
          <w:p>
            <w:pPr>
              <w:jc w:val="right"/>
              <w:ind w:right="1336"/>
              <w:spacing w:after="0"/>
              <w:rPr>
                <w:sz w:val="20"/>
                <w:szCs w:val="20"/>
                <w:color w:val="auto"/>
              </w:rPr>
            </w:pPr>
            <w:r>
              <w:rPr>
                <w:rFonts w:ascii="Times New Roman" w:cs="Times New Roman" w:eastAsia="Times New Roman" w:hAnsi="Times New Roman"/>
                <w:sz w:val="14"/>
                <w:szCs w:val="14"/>
                <w:b w:val="1"/>
                <w:bCs w:val="1"/>
                <w:color w:val="auto"/>
              </w:rPr>
              <w:t>Fifty-Two Weeks Ended</w:t>
            </w:r>
          </w:p>
        </w:tc>
      </w:tr>
      <w:tr>
        <w:trPr>
          <w:trHeight w:val="23"/>
        </w:trPr>
        <w:tc>
          <w:tcPr>
            <w:tcW w:w="4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320" w:type="dxa"/>
            <w:vAlign w:val="bottom"/>
          </w:tcPr>
          <w:p>
            <w:pPr>
              <w:spacing w:after="0"/>
              <w:rPr>
                <w:sz w:val="16"/>
                <w:szCs w:val="16"/>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320" w:type="dxa"/>
            <w:vAlign w:val="bottom"/>
          </w:tcPr>
          <w:p>
            <w:pPr>
              <w:spacing w:after="0"/>
              <w:rPr>
                <w:sz w:val="16"/>
                <w:szCs w:val="16"/>
                <w:color w:val="auto"/>
              </w:rPr>
            </w:pPr>
          </w:p>
        </w:tc>
        <w:tc>
          <w:tcPr>
            <w:tcW w:w="18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162"/>
        </w:trPr>
        <w:tc>
          <w:tcPr>
            <w:tcW w:w="43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8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r>
      <w:tr>
        <w:trPr>
          <w:trHeight w:val="24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33,517</w:t>
            </w:r>
          </w:p>
        </w:tc>
      </w:tr>
      <w:tr>
        <w:trPr>
          <w:trHeight w:val="176"/>
        </w:trPr>
        <w:tc>
          <w:tcPr>
            <w:tcW w:w="4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w:t>
            </w:r>
          </w:p>
        </w:tc>
        <w:tc>
          <w:tcPr>
            <w:tcW w:w="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Maturity Analysis of Operating Lease Liabilities</w:t>
      </w:r>
    </w:p>
    <w:p>
      <w:pPr>
        <w:spacing w:after="0" w:line="108"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Maturities of the Company's operating lease liabilities (undiscounted) reconciled to its lease liability as of February 3, 2024 were as follows (in thousands):</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8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19,123</w:t>
            </w: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10,962</w:t>
            </w:r>
          </w:p>
        </w:tc>
      </w:tr>
      <w:tr>
        <w:trPr>
          <w:trHeight w:val="23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16,988</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obligations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92,110</w:t>
            </w:r>
          </w:p>
        </w:tc>
      </w:tr>
      <w:tr>
        <w:trPr>
          <w:trHeight w:val="230"/>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w:t>
            </w:r>
          </w:p>
        </w:tc>
      </w:tr>
      <w:tr>
        <w:trPr>
          <w:trHeight w:val="248"/>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81,005</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6"/>
        </w:trPr>
        <w:tc>
          <w:tcPr>
            <w:tcW w:w="80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leasehold improvements, computer equipment and software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3"/>
        </w:trPr>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167,454</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(108,780)</w:t>
            </w:r>
          </w:p>
        </w:tc>
      </w:tr>
      <w:tr>
        <w:trPr>
          <w:trHeight w:val="22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58,674</w:t>
            </w: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 associated with property, plant, and equipment, excluding impairment charges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3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9,315</w:t>
            </w:r>
          </w:p>
        </w:tc>
      </w:tr>
    </w:tbl>
    <w:p>
      <w:pPr>
        <w:spacing w:after="0" w:line="288"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rFonts w:ascii="Times New Roman" w:cs="Times New Roman" w:eastAsia="Times New Roman" w:hAnsi="Times New Roman"/>
          <w:sz w:val="18"/>
          <w:szCs w:val="18"/>
          <w:b w:val="1"/>
          <w:bCs w:val="1"/>
          <w:color w:val="auto"/>
        </w:rPr>
      </w:pPr>
    </w:p>
    <w:p>
      <w:pPr>
        <w:ind w:left="340" w:right="7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February 3, 2024 and January 28, 2023, the Company had no borrowings outstanding and availability of $75.0 million under its Credit Agreement.</w:t>
      </w:r>
    </w:p>
    <w:p>
      <w:pPr>
        <w:spacing w:after="0" w:line="200"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Credit Agreement</w:t>
      </w:r>
    </w:p>
    <w:p>
      <w:pPr>
        <w:spacing w:after="0" w:line="105" w:lineRule="exact"/>
        <w:rPr>
          <w:rFonts w:ascii="Times New Roman" w:cs="Times New Roman" w:eastAsia="Times New Roman" w:hAnsi="Times New Roman"/>
          <w:sz w:val="18"/>
          <w:szCs w:val="18"/>
          <w:b w:val="1"/>
          <w:bCs w:val="1"/>
          <w:color w:val="auto"/>
        </w:rPr>
      </w:pPr>
    </w:p>
    <w:p>
      <w:pPr>
        <w:ind w:left="34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44" w:lineRule="exact"/>
        <w:rPr>
          <w:rFonts w:ascii="Times New Roman" w:cs="Times New Roman" w:eastAsia="Times New Roman" w:hAnsi="Times New Roman"/>
          <w:sz w:val="18"/>
          <w:szCs w:val="18"/>
          <w:b w:val="1"/>
          <w:bCs w:val="1"/>
          <w:color w:val="auto"/>
        </w:rPr>
      </w:pPr>
    </w:p>
    <w:p>
      <w:pPr>
        <w:ind w:left="34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61" w:lineRule="exact"/>
        <w:rPr>
          <w:rFonts w:ascii="Times New Roman" w:cs="Times New Roman" w:eastAsia="Times New Roman" w:hAnsi="Times New Roman"/>
          <w:sz w:val="18"/>
          <w:szCs w:val="18"/>
          <w:b w:val="1"/>
          <w:bCs w:val="1"/>
          <w:color w:val="auto"/>
        </w:rPr>
      </w:pPr>
    </w:p>
    <w:p>
      <w:pPr>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1" w:lineRule="exact"/>
        <w:rPr>
          <w:sz w:val="20"/>
          <w:szCs w:val="20"/>
          <w:color w:val="auto"/>
        </w:rPr>
      </w:pPr>
    </w:p>
    <w:p>
      <w:pPr>
        <w:ind w:left="340" w:right="160"/>
        <w:spacing w:after="0" w:line="258" w:lineRule="auto"/>
        <w:rPr>
          <w:sz w:val="20"/>
          <w:szCs w:val="20"/>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2"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 1.00 to 1.00 during periods when borrowing availability is less than the greater of (A) $9.4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58"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 (v)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34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income tax expense (benefit) were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65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w:t>
            </w: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6,757</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3"/>
        </w:trPr>
        <w:tc>
          <w:tcPr>
            <w:tcW w:w="6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breakdown of the Company’s income (loss) before income taxes is as follows (in thousands):</w:t>
      </w: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3"/>
                <w:szCs w:val="13"/>
                <w:color w:val="auto"/>
              </w:rPr>
            </w:pPr>
          </w:p>
        </w:tc>
        <w:tc>
          <w:tcPr>
            <w:tcW w:w="11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24,881</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income tax expense (benefit) to the amount computed at the federal statutory rate is as follows (in thousands):</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3"/>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3"/>
          </w:tcPr>
          <w:p>
            <w:pPr>
              <w:jc w:val="center"/>
              <w:ind w:left="313"/>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700" w:type="dxa"/>
            <w:vAlign w:val="bottom"/>
          </w:tcPr>
          <w:p>
            <w:pPr>
              <w:spacing w:after="0"/>
              <w:rPr>
                <w:sz w:val="13"/>
                <w:szCs w:val="13"/>
                <w:color w:val="auto"/>
              </w:rPr>
            </w:pPr>
          </w:p>
        </w:tc>
      </w:tr>
      <w:tr>
        <w:trPr>
          <w:trHeight w:val="196"/>
        </w:trPr>
        <w:tc>
          <w:tcPr>
            <w:tcW w:w="3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taxes at statutory rate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6"/>
        </w:trPr>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Impact related to redeemable</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176"/>
        </w:trPr>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(Windfall) shortfall from stock-based</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rate differential</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right="76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30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22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28,</w:t>
            </w:r>
          </w:p>
        </w:tc>
      </w:tr>
      <w:tr>
        <w:trPr>
          <w:trHeight w:val="195"/>
        </w:trPr>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w:t>
            </w: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r>
      <w:tr>
        <w:trPr>
          <w:trHeight w:val="230"/>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deferred tax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r>
      <w:tr>
        <w:trPr>
          <w:trHeight w:val="229"/>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46,228</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w:t>
            </w: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r>
      <w:tr>
        <w:trPr>
          <w:trHeight w:val="230"/>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considered both positive and negative evidence to determine whether it was more likely than not that some, or all, of the deferred tax</w:t>
      </w:r>
    </w:p>
    <w:p>
      <w:pPr>
        <w:spacing w:after="0" w:line="27" w:lineRule="exact"/>
        <w:rPr>
          <w:sz w:val="20"/>
          <w:szCs w:val="20"/>
          <w:color w:val="auto"/>
        </w:rPr>
      </w:pPr>
    </w:p>
    <w:p>
      <w:pPr>
        <w:ind w:left="340" w:right="140"/>
        <w:spacing w:after="0" w:line="267" w:lineRule="auto"/>
        <w:rPr>
          <w:sz w:val="20"/>
          <w:szCs w:val="20"/>
          <w:color w:val="auto"/>
        </w:rPr>
      </w:pPr>
      <w:r>
        <w:rPr>
          <w:rFonts w:ascii="Times New Roman" w:cs="Times New Roman" w:eastAsia="Times New Roman" w:hAnsi="Times New Roman"/>
          <w:sz w:val="18"/>
          <w:szCs w:val="18"/>
          <w:color w:val="auto"/>
        </w:rPr>
        <w:t xml:space="preserve">assets would not be realized in its valuation allowance assessment. Based on this assessment,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he Company recorded immaterial valuation allowances as of February 3, 2024 and January 28,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gross amount of unrecognized tax benefits (excluding interest and penalties) is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6"/>
        </w:trPr>
        <w:tc>
          <w:tcPr>
            <w:tcW w:w="62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increases in unrecognized tax benefits as a result of current year activity</w:t>
            </w:r>
          </w:p>
        </w:tc>
        <w:tc>
          <w:tcPr>
            <w:tcW w:w="1120" w:type="dxa"/>
            <w:vAlign w:val="bottom"/>
          </w:tcPr>
          <w:p>
            <w:pPr>
              <w:spacing w:after="0"/>
              <w:rPr>
                <w:sz w:val="19"/>
                <w:szCs w:val="19"/>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6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160"/>
        <w:spacing w:after="0" w:line="258" w:lineRule="auto"/>
        <w:rPr>
          <w:sz w:val="20"/>
          <w:szCs w:val="20"/>
          <w:color w:val="auto"/>
        </w:rPr>
      </w:pPr>
      <w:r>
        <w:rPr>
          <w:rFonts w:ascii="Times New Roman" w:cs="Times New Roman" w:eastAsia="Times New Roman" w:hAnsi="Times New Roman"/>
          <w:sz w:val="18"/>
          <w:szCs w:val="18"/>
          <w:color w:val="auto"/>
        </w:rPr>
        <w:t>As of February 3, 2024, the Company had an immaterial amount of total unrecognized tax benefits, net of federal benefit, that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January 28, 2023 and January 29, 2022. Unrecognized tax benefits are included within other long-term liabilities in the Company's Consolidated Balance Sheets.</w:t>
      </w:r>
    </w:p>
    <w:p>
      <w:pPr>
        <w:spacing w:after="0" w:line="129"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U.S. state and foreign jurisdictions. The Company is subject to U.S. federal income tax examinations for fiscal years 2021 and forward. With a few exceptions, the Company is subject to audit by various state and foreign taxing authorities for fiscal 2020 through the current fiscal year.</w:t>
      </w:r>
    </w:p>
    <w:p>
      <w:pPr>
        <w:spacing w:after="0" w:line="199"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4" w:lineRule="exact"/>
        <w:rPr>
          <w:rFonts w:ascii="Times New Roman" w:cs="Times New Roman" w:eastAsia="Times New Roman" w:hAnsi="Times New Roman"/>
          <w:sz w:val="18"/>
          <w:szCs w:val="18"/>
          <w:b w:val="1"/>
          <w:bCs w:val="1"/>
          <w:color w:val="auto"/>
        </w:rPr>
      </w:pPr>
    </w:p>
    <w:p>
      <w:pPr>
        <w:ind w:left="34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stock-based compensation consists of awards of restricted stock and restricted stock units. The Company recognized stock-based compensation expense of $2.9 million, $3.2 million, and $4.9 million in the fiscal years ended February 3, 2024, January 28, 2023, and January 29, 2022, respectively.</w:t>
      </w:r>
    </w:p>
    <w:p>
      <w:pPr>
        <w:spacing w:after="0" w:line="214"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Restricted-Stock Units</w:t>
      </w:r>
    </w:p>
    <w:p>
      <w:pPr>
        <w:spacing w:after="0" w:line="105" w:lineRule="exact"/>
        <w:rPr>
          <w:rFonts w:ascii="Times New Roman" w:cs="Times New Roman" w:eastAsia="Times New Roman" w:hAnsi="Times New Roman"/>
          <w:sz w:val="18"/>
          <w:szCs w:val="18"/>
          <w:b w:val="1"/>
          <w:bCs w:val="1"/>
          <w:color w:val="auto"/>
        </w:rPr>
      </w:pPr>
    </w:p>
    <w:p>
      <w:pPr>
        <w:ind w:left="34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3,000,000 shares of common stock for issuance or transfer under the 2020 Equity and Incentive Plan, which allows for grants of restricted stock units, as well as other equity awards.</w:t>
      </w:r>
    </w:p>
    <w:p>
      <w:pPr>
        <w:spacing w:after="0" w:line="26" w:lineRule="exact"/>
        <w:rPr>
          <w:rFonts w:ascii="Times New Roman" w:cs="Times New Roman" w:eastAsia="Times New Roman" w:hAnsi="Times New Roman"/>
          <w:sz w:val="18"/>
          <w:szCs w:val="18"/>
          <w:b w:val="1"/>
          <w:bCs w:val="1"/>
          <w:color w:val="auto"/>
        </w:rPr>
      </w:pPr>
    </w:p>
    <w:p>
      <w:pPr>
        <w:ind w:left="34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fiscal year ended February 3, 2024, the Company granted a total of 753,454 time-based and performance-based restricted stock units to certain employees and non-employee directors under the 2020 Equity and Incentive Plan with an aggregate fair value of $4.4 million. The Company determined the fair value of the units based on the closing price of the Company’s common stock on the grant date.</w:t>
      </w:r>
    </w:p>
    <w:p>
      <w:pPr>
        <w:spacing w:after="0" w:line="54" w:lineRule="exact"/>
        <w:rPr>
          <w:rFonts w:ascii="Times New Roman" w:cs="Times New Roman" w:eastAsia="Times New Roman" w:hAnsi="Times New Roman"/>
          <w:sz w:val="18"/>
          <w:szCs w:val="18"/>
          <w:b w:val="1"/>
          <w:bCs w:val="1"/>
          <w:color w:val="auto"/>
        </w:rPr>
      </w:pPr>
    </w:p>
    <w:p>
      <w:pPr>
        <w:ind w:left="34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recognizes the expense relating to these awards, net of estimated forfeitures, on a straight-line basis over the vesting period.</w:t>
      </w:r>
    </w:p>
    <w:p>
      <w:pPr>
        <w:spacing w:after="0" w:line="58" w:lineRule="exact"/>
        <w:rPr>
          <w:rFonts w:ascii="Times New Roman" w:cs="Times New Roman" w:eastAsia="Times New Roman" w:hAnsi="Times New Roman"/>
          <w:sz w:val="18"/>
          <w:szCs w:val="18"/>
          <w:b w:val="1"/>
          <w:bCs w:val="1"/>
          <w:color w:val="auto"/>
        </w:rPr>
      </w:pPr>
    </w:p>
    <w:p>
      <w:pPr>
        <w:ind w:left="340"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recognizes the expense relating to these units, net of estimated forfeitures and based on the probable outcome of achievement of the financial targets, on a straight-line basis over the vesting period.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restricted-stock units as of and for the year ended February 3, 2024 (units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820" w:type="dxa"/>
            <w:vAlign w:val="bottom"/>
            <w:gridSpan w:val="3"/>
          </w:tcPr>
          <w:p>
            <w:pPr>
              <w:jc w:val="center"/>
              <w:ind w:left="937"/>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29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84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259"/>
              <w:spacing w:after="0" w:line="13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5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right="139"/>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6"/>
        </w:trPr>
        <w:tc>
          <w:tcPr>
            <w:tcW w:w="5100" w:type="dxa"/>
            <w:vAlign w:val="bottom"/>
          </w:tcPr>
          <w:p>
            <w:pPr>
              <w:spacing w:after="0"/>
              <w:rPr>
                <w:sz w:val="12"/>
                <w:szCs w:val="12"/>
                <w:color w:val="auto"/>
              </w:rPr>
            </w:pP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3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3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January 28, 2023</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performance condition achievement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3, 2024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left="340" w:right="220"/>
        <w:spacing w:after="0" w:line="266" w:lineRule="auto"/>
        <w:rPr>
          <w:sz w:val="20"/>
          <w:szCs w:val="20"/>
          <w:color w:val="auto"/>
        </w:rPr>
      </w:pPr>
      <w:r>
        <w:rPr>
          <w:rFonts w:ascii="Times New Roman" w:cs="Times New Roman" w:eastAsia="Times New Roman" w:hAnsi="Times New Roman"/>
          <w:sz w:val="18"/>
          <w:szCs w:val="18"/>
          <w:color w:val="auto"/>
        </w:rPr>
        <w:t>As of February 3, 2024, there was $4.0 million of total unrecognized compensation cost, net of estimated forfeitures, related to nonvested restricted stock units. That cost is expected to be recognized over a weighted average period of 1.8 years, subject to meeting performance conditions. The total fair value of restricted stock units for which restrictions lapsed (vested) during fiscal 2024 was $3.9 million.</w:t>
      </w:r>
    </w:p>
    <w:p>
      <w:pPr>
        <w:spacing w:after="0" w:line="172"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94"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34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2019, Vesi Incorporated (“Vesi”) filed suit against the Company in the U.S. District Court for the Southern District of Ohio related to the Company’s licensing business and alleging breach of fiduciary duty, unfair competition, defamation, and tortious interference with prospective business relationships. The complaint seeks damages in an amount not less than $10.0 million for punitive damages, attorney fees, prejudgment interest, and any other additional relief. The Company has denied any liability and intends to vigorously defend itself in the case. In November 2019, the Company filed a counterclaim against the principals of Vesi as personal guarantors for monies owed to the Company by Vesi. The Company filed a motion for summary judgement asking the Court to dismiss all claims with prejudice and grant judgement on its counterclaim. On January 4, 2023, the Court granted the Company’s motion for summary judgment dismissing Vesi’s claims and also granted judgment on the Company’s counterclaims against the principals of Vesi for an immaterial amount. Vesi appealed this decision. On November 9, 2023 the United States Court of Appeals for the Sixth Circuit issued an opinion affirming the District Court’s judgment in favor of the Company dismissing Vesi’s claims and granting the Company’s counterclaims.</w:t>
      </w:r>
    </w:p>
    <w:p>
      <w:pPr>
        <w:spacing w:after="0" w:line="72" w:lineRule="exact"/>
        <w:rPr>
          <w:rFonts w:ascii="Times New Roman" w:cs="Times New Roman" w:eastAsia="Times New Roman" w:hAnsi="Times New Roman"/>
          <w:sz w:val="18"/>
          <w:szCs w:val="18"/>
          <w:b w:val="1"/>
          <w:bCs w:val="1"/>
          <w:color w:val="auto"/>
        </w:rPr>
      </w:pPr>
    </w:p>
    <w:p>
      <w:pPr>
        <w:ind w:left="34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401(k) Profit Sharing Plan and Trust</w:t>
      </w:r>
    </w:p>
    <w:p>
      <w:pPr>
        <w:spacing w:after="0" w:line="108"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February 3, 2024, January 28, 2023, and January 29, 2022, no discretionary profit sharing payments had been approved. The Company recognizes 401(k) Company contributions within cost of sales for employees related to distribution center, sourcing, and other related functions and selling, general, and administrative expenses for all other employees. Total Company contributions to the plan were as follows (in thousands):</w:t>
      </w:r>
    </w:p>
    <w:p>
      <w:pPr>
        <w:spacing w:after="0" w:line="30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3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3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3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r>
    </w:tbl>
    <w:p>
      <w:pPr>
        <w:spacing w:after="0" w:line="275"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106"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i w:val="1"/>
          <w:iCs w:val="1"/>
          <w:color w:val="auto"/>
        </w:rPr>
        <w:t>Charitable Contributions</w:t>
      </w:r>
      <w:r>
        <w:rPr>
          <w:rFonts w:ascii="Times New Roman" w:cs="Times New Roman" w:eastAsia="Times New Roman" w:hAnsi="Times New Roman"/>
          <w:sz w:val="18"/>
          <w:szCs w:val="18"/>
          <w:color w:val="auto"/>
        </w:rPr>
        <w:t>. The Vera Bradley Foundation for Breast Cancer (the “Foundation”) was founded by one of the Company’s directors,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on the board of directors of the Foundation. The liability associated with commitments to the Foundation was approximately $0.1 million as of February 3, 2024 and January 28, 2023. The liability consisted of pass-through donations from customers and is included in other accrued liabilities in the Consolidated Balance Sheets.</w:t>
      </w:r>
    </w:p>
    <w:p>
      <w:pPr>
        <w:spacing w:after="0" w:line="60"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The associated expense for contributions to the Foundation, which is included in selling, general, and administrative expenses, was as follows (in thousands):</w:t>
      </w:r>
    </w:p>
    <w:p>
      <w:pPr>
        <w:spacing w:after="0" w:line="27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February 3, 2024</w:t>
            </w:r>
          </w:p>
        </w:tc>
        <w:tc>
          <w:tcPr>
            <w:tcW w:w="40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January 28, 2023</w:t>
            </w:r>
          </w:p>
        </w:tc>
        <w:tc>
          <w:tcPr>
            <w:tcW w:w="40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January 29, 2022</w:t>
            </w:r>
          </w:p>
        </w:tc>
        <w:tc>
          <w:tcPr>
            <w:tcW w:w="40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94"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computed based on the weighted-average number of shares of common stock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(loss) per share are as follows (in thousands, except per share data):</w:t>
      </w:r>
    </w:p>
    <w:p>
      <w:pPr>
        <w:spacing w:after="0" w:line="28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1"/>
                <w:szCs w:val="11"/>
                <w:color w:val="auto"/>
              </w:rPr>
            </w:pPr>
          </w:p>
        </w:tc>
        <w:tc>
          <w:tcPr>
            <w:tcW w:w="118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20,218</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redeemable noncontrolling interest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Vera Bradley,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33,785</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per share attributable to Vera Bradley, Inc.: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r>
    </w:tbl>
    <w:p>
      <w:pPr>
        <w:spacing w:after="0" w:line="200" w:lineRule="exact"/>
        <w:rPr>
          <w:sz w:val="20"/>
          <w:szCs w:val="20"/>
          <w:color w:val="auto"/>
        </w:rPr>
      </w:pPr>
    </w:p>
    <w:p>
      <w:pPr>
        <w:spacing w:after="0" w:line="214"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As of February 3, 2024,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41"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As of January 28, 2023, all potential common shares were excluded from the diluted share calculation because they were anti-dilutive due to the net loss in the period.</w:t>
      </w:r>
    </w:p>
    <w:p>
      <w:pPr>
        <w:spacing w:after="0" w:line="40"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As of January 29, 2022,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26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9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On November 29, 2018, the Company's board of directors approved a share repurchase plan (the “2018 Share Repurchase Program”) authorizing up to $50.0 million of repurchases of shares of the Company's common stock. On December 3, 2020, the 2018 Share Repurchase Program was extended through December 11, 2021.</w:t>
      </w:r>
    </w:p>
    <w:p>
      <w:pPr>
        <w:spacing w:after="0" w:line="5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During the fiscal year ended February 3, 2024, the Company purchased and held 359,554 shares at an average price of $6.10 per share, excluding commissions, for an aggregate amount of $2.2 million, under the 2021 Share Repurchase Program.</w:t>
      </w:r>
    </w:p>
    <w:p>
      <w:pPr>
        <w:spacing w:after="0" w:line="27" w:lineRule="exact"/>
        <w:rPr>
          <w:sz w:val="20"/>
          <w:szCs w:val="20"/>
          <w:color w:val="auto"/>
        </w:rPr>
      </w:pPr>
    </w:p>
    <w:p>
      <w:pPr>
        <w:ind w:left="340" w:right="30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28, 2023, the Company purchased and held 2,820,949 shares at an average price of $6.40 per share, excluding commissions, for an aggregate amount of $18.1 million, under the 2021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29, 2022, the Company purchased and held 865,534 shares at an average price of $8.94 per share, excluding commissions, for an aggregate amount of $7.7 million, under the 2018 and 2021 Share Repurchase Programs.</w:t>
      </w:r>
    </w:p>
    <w:p>
      <w:pPr>
        <w:spacing w:after="0" w:line="27" w:lineRule="exact"/>
        <w:rPr>
          <w:sz w:val="20"/>
          <w:szCs w:val="20"/>
          <w:color w:val="auto"/>
        </w:rPr>
      </w:pPr>
    </w:p>
    <w:p>
      <w:pPr>
        <w:ind w:left="340" w:right="460"/>
        <w:spacing w:after="0" w:line="282" w:lineRule="auto"/>
        <w:rPr>
          <w:sz w:val="20"/>
          <w:szCs w:val="20"/>
          <w:color w:val="auto"/>
        </w:rPr>
      </w:pPr>
      <w:r>
        <w:rPr>
          <w:rFonts w:ascii="Times New Roman" w:cs="Times New Roman" w:eastAsia="Times New Roman" w:hAnsi="Times New Roman"/>
          <w:sz w:val="18"/>
          <w:szCs w:val="18"/>
          <w:color w:val="auto"/>
        </w:rPr>
        <w:t>As of February 3, 2024, there was $25.5 million remaining available to repurchase shares of the Company’s common stock under the 2021 Share Repurchase Program.</w:t>
      </w:r>
    </w:p>
    <w:p>
      <w:pPr>
        <w:spacing w:after="0" w:line="40"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As of February 3, 2024, the Company held as treasury shares 12,439,244 shares of its common stock at an average price of $10.86 per share, excluding commissions, for an aggregate carrying amount of $135.1 million. The Company’s treasury shares may be issued under the 2020 Equity and Incentive Plan, or for other corporate purposes.</w:t>
      </w:r>
    </w:p>
    <w:p>
      <w:pPr>
        <w:spacing w:after="0" w:line="1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08" w:lineRule="exact"/>
        <w:rPr>
          <w:sz w:val="20"/>
          <w:szCs w:val="20"/>
          <w:color w:val="auto"/>
        </w:rPr>
      </w:pPr>
    </w:p>
    <w:p>
      <w:pPr>
        <w:ind w:left="340" w:right="600"/>
        <w:spacing w:after="0" w:line="282" w:lineRule="auto"/>
        <w:rPr>
          <w:sz w:val="20"/>
          <w:szCs w:val="20"/>
          <w:color w:val="auto"/>
        </w:rPr>
      </w:pPr>
      <w:r>
        <w:rPr>
          <w:rFonts w:ascii="Times New Roman" w:cs="Times New Roman" w:eastAsia="Times New Roman" w:hAnsi="Times New Roman"/>
          <w:sz w:val="18"/>
          <w:szCs w:val="18"/>
          <w:color w:val="auto"/>
        </w:rPr>
        <w:t>Redeemable noncontrolling interest represents the remaining twenty-five percent (25%) interest in Pura Vida not acquired by the Company. On January 30, 2023, the Company purchased the remaining 25% interest in Pura Vida. Refer to Note 2 herein for additional information.</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redeemable noncontrolling interest for the fifty-three weeks ended February 3, 2024, and fifty-two weeks ended January 28, 2023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January 29, 2022 were as follows (in thousands):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30, 2021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29,809</w:t>
            </w:r>
          </w:p>
        </w:tc>
        <w:tc>
          <w:tcPr>
            <w:tcW w:w="0" w:type="dxa"/>
            <w:vAlign w:val="bottom"/>
          </w:tcPr>
          <w:p>
            <w:pPr>
              <w:spacing w:after="0"/>
              <w:rPr>
                <w:sz w:val="1"/>
                <w:szCs w:val="1"/>
                <w:color w:val="auto"/>
              </w:rPr>
            </w:pP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0" w:type="dxa"/>
            <w:vAlign w:val="bottom"/>
          </w:tcPr>
          <w:p>
            <w:pPr>
              <w:spacing w:after="0"/>
              <w:rPr>
                <w:sz w:val="1"/>
                <w:szCs w:val="1"/>
                <w:color w:val="auto"/>
              </w:rPr>
            </w:pPr>
          </w:p>
        </w:tc>
      </w:tr>
      <w:tr>
        <w:trPr>
          <w:trHeight w:val="20"/>
        </w:trPr>
        <w:tc>
          <w:tcPr>
            <w:tcW w:w="9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0" w:type="dxa"/>
            <w:vAlign w:val="bottom"/>
          </w:tcPr>
          <w:p>
            <w:pPr>
              <w:spacing w:after="0"/>
              <w:rPr>
                <w:sz w:val="1"/>
                <w:szCs w:val="1"/>
                <w:color w:val="auto"/>
              </w:rPr>
            </w:pPr>
          </w:p>
        </w:tc>
      </w:tr>
      <w:tr>
        <w:trPr>
          <w:trHeight w:val="229"/>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Distributions to redeemable noncontrolling interest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10,712</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Adjustment for purchase of noncontrolling interest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20" w:type="dxa"/>
            <w:vAlign w:val="bottom"/>
            <w:tcBorders>
              <w:bottom w:val="single" w:sz="8" w:color="CCEEFF"/>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(10,712)</w:t>
            </w:r>
          </w:p>
        </w:tc>
        <w:tc>
          <w:tcPr>
            <w:tcW w:w="0" w:type="dxa"/>
            <w:vAlign w:val="bottom"/>
          </w:tcPr>
          <w:p>
            <w:pPr>
              <w:spacing w:after="0"/>
              <w:rPr>
                <w:sz w:val="1"/>
                <w:szCs w:val="1"/>
                <w:color w:val="auto"/>
              </w:rPr>
            </w:pPr>
          </w:p>
        </w:tc>
      </w:tr>
      <w:tr>
        <w:trPr>
          <w:trHeight w:val="24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Intangible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detail the carrying value of the Company’s intangible assets related to the acquisition of a majority interest in Pura Vida.</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00" w:type="dxa"/>
            <w:vAlign w:val="bottom"/>
          </w:tcPr>
          <w:p>
            <w:pPr>
              <w:spacing w:after="0"/>
              <w:rPr>
                <w:sz w:val="11"/>
                <w:szCs w:val="11"/>
                <w:color w:val="auto"/>
              </w:rPr>
            </w:pPr>
          </w:p>
        </w:tc>
        <w:tc>
          <w:tcPr>
            <w:tcW w:w="15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5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of $5.4 million was recorded within the Pura Vida segment during fourth quarter of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200" w:type="dxa"/>
            <w:vAlign w:val="bottom"/>
          </w:tcPr>
          <w:p>
            <w:pPr>
              <w:spacing w:after="0"/>
              <w:rPr>
                <w:sz w:val="11"/>
                <w:szCs w:val="11"/>
                <w:color w:val="auto"/>
              </w:rPr>
            </w:pPr>
          </w:p>
        </w:tc>
        <w:tc>
          <w:tcPr>
            <w:tcW w:w="15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4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58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7"/>
              </w:rPr>
              <w:t>Amortization</w:t>
            </w:r>
            <w:r>
              <w:rPr>
                <w:rFonts w:ascii="Times New Roman" w:cs="Times New Roman" w:eastAsia="Times New Roman" w:hAnsi="Times New Roman"/>
                <w:sz w:val="18"/>
                <w:szCs w:val="18"/>
                <w:b w:val="1"/>
                <w:bCs w:val="1"/>
                <w:color w:val="auto"/>
                <w:w w:val="97"/>
                <w:vertAlign w:val="superscript"/>
              </w:rPr>
              <w:t>(1)</w:t>
            </w:r>
          </w:p>
        </w:tc>
        <w:tc>
          <w:tcPr>
            <w:tcW w:w="1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50"/>
        </w:trPr>
        <w:tc>
          <w:tcPr>
            <w:tcW w:w="5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15,918</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360" w:right="160" w:hanging="10"/>
        <w:spacing w:after="0" w:line="234" w:lineRule="auto"/>
        <w:tabs>
          <w:tab w:leader="none" w:pos="6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of $9.9 million and $15.1 million were recorded within the Pura Vida segment during the second and fourth quarters of fiscal 2023.</w:t>
      </w: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amortization expense for intangible assets is as follows (in thousands):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8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1"/>
        </w:trPr>
        <w:tc>
          <w:tcPr>
            <w:tcW w:w="8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Fiscal 2024 Impairment</w:t>
      </w:r>
    </w:p>
    <w:p>
      <w:pPr>
        <w:spacing w:after="0" w:line="108" w:lineRule="exact"/>
        <w:rPr>
          <w:sz w:val="20"/>
          <w:szCs w:val="20"/>
          <w:color w:val="auto"/>
        </w:rPr>
      </w:pPr>
    </w:p>
    <w:p>
      <w:pPr>
        <w:ind w:left="340" w:right="20"/>
        <w:spacing w:after="0" w:line="255" w:lineRule="auto"/>
        <w:rPr>
          <w:sz w:val="20"/>
          <w:szCs w:val="20"/>
          <w:color w:val="auto"/>
        </w:rPr>
      </w:pPr>
      <w:r>
        <w:rPr>
          <w:rFonts w:ascii="Times New Roman" w:cs="Times New Roman" w:eastAsia="Times New Roman" w:hAnsi="Times New Roman"/>
          <w:sz w:val="18"/>
          <w:szCs w:val="18"/>
          <w:color w:val="auto"/>
        </w:rPr>
        <w:t>The Company performed its fiscal 2024 annual impairment test over the indefinite-lived Pura Vida brand during the second quarter of fiscal 2024 and no impairment was recorded. In the fourth quarter of fiscal 2024, the Company identified triggering events and determined that the fair value of the Pura Vida brand was less than its carrying value, recording an impairment charge of $5.4 million. The Company continued to experience lower sales from its Pura Vida e-commerce channel due to a continued decline in social and digital media effectiveness, as well as continued lower sales from the wholesale channel. These lower sales volumes had a negative impact on the fair value determination of the aforementioned assets. The fair value of the Pura Vida brand was estimated using a relief-from-royalty method. The estimates and assumptions used in the determination of the fair value of the Pura Vida brand included the projected revenue growth, long-term growth rate, the royalty rate, and discount rate.</w:t>
      </w:r>
    </w:p>
    <w:p>
      <w:pPr>
        <w:spacing w:after="0" w:line="54" w:lineRule="exact"/>
        <w:rPr>
          <w:sz w:val="20"/>
          <w:szCs w:val="20"/>
          <w:color w:val="auto"/>
        </w:rPr>
      </w:pPr>
    </w:p>
    <w:p>
      <w:pPr>
        <w:ind w:left="340" w:right="40"/>
        <w:spacing w:after="0" w:line="256" w:lineRule="auto"/>
        <w:rPr>
          <w:sz w:val="20"/>
          <w:szCs w:val="20"/>
          <w:color w:val="auto"/>
        </w:rPr>
      </w:pPr>
      <w:r>
        <w:rPr>
          <w:rFonts w:ascii="Times New Roman" w:cs="Times New Roman" w:eastAsia="Times New Roman" w:hAnsi="Times New Roman"/>
          <w:sz w:val="18"/>
          <w:szCs w:val="18"/>
          <w:color w:val="auto"/>
        </w:rPr>
        <w:t>While we consider our assumptions in the determination of the fair value of these assets to be reasonable, they are complex and highly subjective. Adverse changes in key assumptions in future periods may result in further declines in the fair value estimates of the Pura Vida brand below its carrying value resulting in additional impairment charges, which could be material. Our key assumptions (as described above in the valuation methodologies used in the determination of fair value) may be impacted by macroeconomic conditions, including inflationary pressures and the impact on consumer discretionary spending, supply chain challenges, as well as a sustained decline in stock price and potential changes in business strategy. Refer to Note 2 herein for additional information regarding fair value measurement.</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Fiscal 2023 Impairments</w:t>
      </w:r>
    </w:p>
    <w:p>
      <w:pPr>
        <w:spacing w:after="0" w:line="108" w:lineRule="exact"/>
        <w:rPr>
          <w:sz w:val="20"/>
          <w:szCs w:val="20"/>
          <w:color w:val="auto"/>
        </w:rPr>
      </w:pPr>
    </w:p>
    <w:p>
      <w:pPr>
        <w:ind w:left="340" w:right="280"/>
        <w:spacing w:after="0" w:line="282" w:lineRule="auto"/>
        <w:rPr>
          <w:sz w:val="20"/>
          <w:szCs w:val="20"/>
          <w:color w:val="auto"/>
        </w:rPr>
      </w:pPr>
      <w:r>
        <w:rPr>
          <w:rFonts w:ascii="Times New Roman" w:cs="Times New Roman" w:eastAsia="Times New Roman" w:hAnsi="Times New Roman"/>
          <w:sz w:val="18"/>
          <w:szCs w:val="18"/>
          <w:color w:val="auto"/>
        </w:rPr>
        <w:t>The Company performed its fiscal 2023 annual impairment test over goodwill and the indefinite-lived Pura Vida brand during the second quarter of fiscal 2023.</w:t>
      </w:r>
    </w:p>
    <w:p>
      <w:pPr>
        <w:spacing w:after="0" w:line="27"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The fair value of the Pura Vida reporting unit was determined using a combination of an income-based approach (discounted cash flows) and a market-based approach (guideline transaction method). The discounted cash flow method involved subjective estimates and assumptions such as projected revenue growth, operating profit, and the discount rate. The guideline transaction method involved transaction multiples derived from the acquisition of controlling interests in stocks of companies that are engaged in the same or similar lines of business as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During the assessment for the fiscal 2023 annual test, it was determined that the fair values of the Pura Vida reporting unit and the Pura Vida brand were less than their carrying values. As a result, the Company recorded an impairment charge of $9.9 million and $19.4 million for the Pura Vida brand and goodwill, respectively, during the second quarter of fiscal 2023 within the Pura Vida segment.</w:t>
      </w:r>
    </w:p>
    <w:p>
      <w:pPr>
        <w:spacing w:after="0" w:line="41"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We identified triggering events during the subsequent quarters of fiscal 2023, due to lower operating profit compared to previous forecasts, as well as changes in the long-range plan such as a pause on the opening of new Pura Vida retail stores. We performed further testing on the Pura Vida reporting unit and Pura Vida brand as a result. These analyses caused additional impairment charges to be recorded in the fourth quarter of fiscal 2023 of $15.1 million and $24.9 million for the Pura Vida brand and goodwill, respectively, which reflects a full goodwill impairment. Collectively, impairment charges for the Pura Vida brand and goodwill during fiscal 2023 totaled $69.3 million.</w:t>
      </w:r>
    </w:p>
    <w:p>
      <w:pPr>
        <w:spacing w:after="0" w:line="395" w:lineRule="exact"/>
        <w:rPr>
          <w:sz w:val="20"/>
          <w:szCs w:val="20"/>
          <w:color w:val="auto"/>
        </w:rPr>
      </w:pPr>
    </w:p>
    <w:p>
      <w:pPr>
        <w:jc w:val="both"/>
        <w:ind w:left="340" w:right="7360" w:hanging="332"/>
        <w:spacing w:after="0" w:line="375" w:lineRule="auto"/>
        <w:tabs>
          <w:tab w:leader="none" w:pos="421"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spacing w:after="0" w:line="1"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charges during the 53-weeks ended February 3, 2024 (in thousands):</w:t>
      </w:r>
    </w:p>
    <w:p>
      <w:pPr>
        <w:spacing w:after="0" w:line="286"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vMerge w:val="restart"/>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120" w:type="dxa"/>
            <w:vAlign w:val="bottom"/>
          </w:tcPr>
          <w:p>
            <w:pPr>
              <w:spacing w:after="0"/>
              <w:rPr>
                <w:sz w:val="10"/>
                <w:szCs w:val="10"/>
                <w:color w:val="auto"/>
              </w:rPr>
            </w:pPr>
          </w:p>
        </w:tc>
        <w:tc>
          <w:tcPr>
            <w:tcW w:w="15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Severance charges</w:t>
            </w:r>
            <w:r>
              <w:rPr>
                <w:rFonts w:ascii="Times New Roman" w:cs="Times New Roman" w:eastAsia="Times New Roman" w:hAnsi="Times New Roman"/>
                <w:sz w:val="23"/>
                <w:szCs w:val="23"/>
                <w:color w:val="auto"/>
                <w:vertAlign w:val="superscript"/>
              </w:rPr>
              <w:t>(1)</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w w:val="97"/>
              </w:rPr>
              <w:t>Consulting fees and other costs</w:t>
            </w:r>
            <w:r>
              <w:rPr>
                <w:rFonts w:ascii="Times New Roman" w:cs="Times New Roman" w:eastAsia="Times New Roman" w:hAnsi="Times New Roman"/>
                <w:sz w:val="23"/>
                <w:szCs w:val="23"/>
                <w:color w:val="auto"/>
                <w:w w:val="97"/>
                <w:vertAlign w:val="superscript"/>
              </w:rPr>
              <w:t>(2)</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242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CFO severance</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professional fees</w:t>
      </w:r>
    </w:p>
    <w:p>
      <w:pPr>
        <w:spacing w:after="0" w:line="22"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are recorded within selling, general, and administrative expenses</w:t>
      </w:r>
    </w:p>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Severance Charges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8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202"/>
        </w:trPr>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January 28, 2023</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 charges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3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the following charges during the 52-weeks ended January 28,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120" w:type="dxa"/>
            <w:vAlign w:val="bottom"/>
          </w:tcPr>
          <w:p>
            <w:pPr>
              <w:spacing w:after="0"/>
              <w:rPr>
                <w:sz w:val="10"/>
                <w:szCs w:val="10"/>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300" w:type="dxa"/>
            <w:vAlign w:val="bottom"/>
          </w:tcPr>
          <w:p>
            <w:pPr>
              <w:spacing w:after="0"/>
              <w:rPr>
                <w:sz w:val="10"/>
                <w:szCs w:val="10"/>
                <w:color w:val="auto"/>
              </w:rPr>
            </w:pPr>
          </w:p>
        </w:tc>
        <w:tc>
          <w:tcPr>
            <w:tcW w:w="13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Severance charges and cash</w:t>
            </w:r>
          </w:p>
        </w:tc>
        <w:tc>
          <w:tcPr>
            <w:tcW w:w="30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retention payment acceleration</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vMerge w:val="restart"/>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p>
        </w:tc>
        <w:tc>
          <w:tcPr>
            <w:tcW w:w="3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Consulting fees and other costs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48"/>
        </w:trPr>
        <w:tc>
          <w:tcPr>
            <w:tcW w:w="25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280" w:hanging="254"/>
        <w:spacing w:after="0"/>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CEO retirement severance and Vera Bradley brand executive officer severance</w:t>
      </w:r>
    </w:p>
    <w:p>
      <w:pPr>
        <w:spacing w:after="0" w:line="27" w:lineRule="exact"/>
        <w:rPr>
          <w:rFonts w:ascii="Times New Roman" w:cs="Times New Roman" w:eastAsia="Times New Roman" w:hAnsi="Times New Roman"/>
          <w:sz w:val="18"/>
          <w:szCs w:val="18"/>
          <w:color w:val="auto"/>
        </w:rPr>
      </w:pPr>
    </w:p>
    <w:p>
      <w:pPr>
        <w:ind w:left="20" w:right="60" w:firstLine="6"/>
        <w:spacing w:after="0" w:line="242" w:lineRule="auto"/>
        <w:tabs>
          <w:tab w:leader="none" w:pos="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 million for fees related to cost savings initiatives and CEO search; $0.3 million for concept brand exit costs; and $0.3 million for certain professional fees</w:t>
      </w:r>
    </w:p>
    <w:p>
      <w:pPr>
        <w:spacing w:after="0" w:line="1"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 million of the charges are recorded within selling, general, and administrative expenses and $0.2 million are recorded within cost of sales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140" w:type="dxa"/>
            <w:vAlign w:val="bottom"/>
          </w:tcPr>
          <w:p>
            <w:pPr>
              <w:spacing w:after="0"/>
              <w:rPr>
                <w:sz w:val="13"/>
                <w:szCs w:val="13"/>
                <w:color w:val="auto"/>
              </w:rPr>
            </w:pPr>
          </w:p>
        </w:tc>
        <w:tc>
          <w:tcPr>
            <w:tcW w:w="18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146"/>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w:t>
            </w: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Acceleration Charges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1840" w:type="dxa"/>
            <w:vAlign w:val="bottom"/>
          </w:tcPr>
          <w:p>
            <w:pPr>
              <w:jc w:val="right"/>
              <w:ind w:right="67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Costs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 charges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charges and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January 28,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7" w:lineRule="exact"/>
        <w:rPr>
          <w:rFonts w:ascii="Times New Roman" w:cs="Times New Roman" w:eastAsia="Times New Roman" w:hAnsi="Times New Roman"/>
          <w:sz w:val="18"/>
          <w:szCs w:val="18"/>
          <w:color w:val="auto"/>
        </w:rPr>
      </w:pPr>
    </w:p>
    <w:p>
      <w:pPr>
        <w:ind w:left="600" w:hanging="250"/>
        <w:spacing w:after="0"/>
        <w:tabs>
          <w:tab w:leader="none" w:pos="6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accounts payable</w:t>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similar charges during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Charges</w:t>
      </w:r>
    </w:p>
    <w:p>
      <w:pPr>
        <w:spacing w:after="0" w:line="77" w:lineRule="exact"/>
        <w:rPr>
          <w:sz w:val="20"/>
          <w:szCs w:val="20"/>
          <w:color w:val="auto"/>
        </w:rPr>
      </w:pPr>
    </w:p>
    <w:p>
      <w:pPr>
        <w:ind w:left="340" w:right="6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Fiscal 2024. </w:t>
      </w:r>
      <w:r>
        <w:rPr>
          <w:rFonts w:ascii="Times New Roman" w:cs="Times New Roman" w:eastAsia="Times New Roman" w:hAnsi="Times New Roman"/>
          <w:sz w:val="18"/>
          <w:szCs w:val="18"/>
          <w:color w:val="auto"/>
        </w:rPr>
        <w:t>During the fifty-three weeks ended February 3, 2024, the Company recorded within selling,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$0.8 million of professional fees associated with strategic initiatives and other costs.</w:t>
      </w:r>
    </w:p>
    <w:p>
      <w:pPr>
        <w:spacing w:after="0" w:line="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Collectively, $0.2 million was recorded within the Pura Vida segment and $0.6 million was recorded within corporate unallocated expenses.</w:t>
      </w:r>
    </w:p>
    <w:p>
      <w:pPr>
        <w:spacing w:after="0" w:line="75" w:lineRule="exact"/>
        <w:rPr>
          <w:sz w:val="20"/>
          <w:szCs w:val="20"/>
          <w:color w:val="auto"/>
        </w:rPr>
      </w:pPr>
    </w:p>
    <w:p>
      <w:pPr>
        <w:ind w:left="340" w:right="240"/>
        <w:spacing w:after="0" w:line="233" w:lineRule="auto"/>
        <w:rPr>
          <w:sz w:val="20"/>
          <w:szCs w:val="20"/>
          <w:color w:val="auto"/>
        </w:rPr>
      </w:pPr>
      <w:r>
        <w:rPr>
          <w:rFonts w:ascii="Times New Roman" w:cs="Times New Roman" w:eastAsia="Times New Roman" w:hAnsi="Times New Roman"/>
          <w:sz w:val="18"/>
          <w:szCs w:val="18"/>
          <w:i w:val="1"/>
          <w:iCs w:val="1"/>
          <w:color w:val="auto"/>
        </w:rPr>
        <w:t>Fiscal 2023</w:t>
      </w:r>
      <w:r>
        <w:rPr>
          <w:rFonts w:ascii="Times New Roman" w:cs="Times New Roman" w:eastAsia="Times New Roman" w:hAnsi="Times New Roman"/>
          <w:sz w:val="18"/>
          <w:szCs w:val="18"/>
          <w:color w:val="auto"/>
        </w:rPr>
        <w:t>. During the fifty-two weeks ended January 28, 2023, the Company recorded within cost of sales $18.1 million of inventory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consisted of: $8.9 million of excess Pura Vida inventory recognized in the fourth quarter as a result of a change in the Company’s liquidation strategy during the quarter; $6.4 million related to the exit of certain technology products and excess mask products recognized in the second and fourth quarters; $1.2 million of valuation adjustments to write discounted inventory down to its net realizable value recognized in the fourth quarter; and $1.6 million for purchase order cancellation fees related to spring 2023 product and certain raw materials.</w:t>
      </w:r>
    </w:p>
    <w:p>
      <w:pPr>
        <w:spacing w:after="0" w:line="64"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During the fifty-two weeks ended January 28, 2023, the Company recorded within selling, general, and administrative expenses: $1.0 million for CEO sign-on bonus and relocation expenses; $0.4 million for former CEO salary retention payments and stock-based compensation associated with retirement; and $0.2 million of professional fees associated with strategic initiatives and other costs.</w:t>
      </w:r>
    </w:p>
    <w:p>
      <w:pPr>
        <w:spacing w:after="0" w:line="41"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Collectively, $6.2 million was recorded within the Direct segment, $1.7 million was recorded within the Indirect segment,$10.2 million was recorded within the Pura Vida segment, and $1.6 million was recorded within corporate unallocated expenses.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similar charges during fiscal year 2022.</w:t>
      </w:r>
    </w:p>
    <w:p>
      <w:pPr>
        <w:spacing w:after="0" w:line="200" w:lineRule="exact"/>
        <w:rPr>
          <w:sz w:val="20"/>
          <w:szCs w:val="20"/>
          <w:color w:val="auto"/>
        </w:rPr>
      </w:pPr>
    </w:p>
    <w:p>
      <w:pPr>
        <w:spacing w:after="0" w:line="2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94"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4"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outlet stores, the Vera Bradley websites (verabradley.com, outlet.verabradley.com), and the Vera Bradley annual outlet sale. Revenues generated through this segment are driven through the sale of Vera Bradley-branded products from Vera Bradley to end consumers.</w:t>
      </w:r>
    </w:p>
    <w:p>
      <w:pPr>
        <w:spacing w:after="0" w:line="54" w:lineRule="exact"/>
        <w:rPr>
          <w:sz w:val="20"/>
          <w:szCs w:val="20"/>
          <w:color w:val="auto"/>
        </w:rPr>
      </w:pPr>
    </w:p>
    <w:p>
      <w:pPr>
        <w:ind w:left="340" w:right="80"/>
        <w:spacing w:after="0" w:line="261"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Company-branded products to specialty retailers representing approximately 1,600 locations, substantially all of which are located in the United States, as well as select department stores, national accounts, third-party e-commerce sites, third-party inventory liquidators, and licensing agreements related to the Vera Bradley brand. No customer accounted for 10% or more of the Company’s net revenues during fiscal years 2024, 2023, and 2022.</w:t>
      </w:r>
    </w:p>
    <w:p>
      <w:pPr>
        <w:spacing w:after="0" w:line="45"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www.puravidabracelets.ca, and www.puravidabracelets.eu), Pura Vida retail stores, and through the distribution of Pura Vida-branded products to wholesale retailers, substantially all of which are located in the United States.</w:t>
      </w:r>
    </w:p>
    <w:p>
      <w:pPr>
        <w:spacing w:after="0" w:line="54"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58"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VB Direct, VB Indirect, and Pura Vida.</w:t>
      </w:r>
    </w:p>
    <w:p>
      <w:pPr>
        <w:spacing w:after="0" w:line="4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revenues and operating income (loss) information for the Company’s reportable segments consisted of the following (in thousands):</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January 28,</w:t>
            </w:r>
          </w:p>
        </w:tc>
        <w:tc>
          <w:tcPr>
            <w:tcW w:w="220" w:type="dxa"/>
            <w:vAlign w:val="bottom"/>
          </w:tcPr>
          <w:p>
            <w:pPr>
              <w:spacing w:after="0"/>
              <w:rPr>
                <w:sz w:val="11"/>
                <w:szCs w:val="11"/>
                <w:color w:val="auto"/>
              </w:rPr>
            </w:pPr>
          </w:p>
        </w:tc>
        <w:tc>
          <w:tcPr>
            <w:tcW w:w="1180" w:type="dxa"/>
            <w:vAlign w:val="bottom"/>
          </w:tcPr>
          <w:p>
            <w:pPr>
              <w:jc w:val="right"/>
              <w:ind w:right="253"/>
              <w:spacing w:after="0" w:line="131"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95"/>
        </w:trPr>
        <w:tc>
          <w:tcPr>
            <w:tcW w:w="65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354,875</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119,577</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540,453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73,506</w:t>
            </w: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0" w:type="dxa"/>
            <w:vAlign w:val="bottom"/>
          </w:tcPr>
          <w:p>
            <w:pPr>
              <w:spacing w:after="0"/>
              <w:rPr>
                <w:sz w:val="1"/>
                <w:szCs w:val="1"/>
                <w:color w:val="auto"/>
              </w:rPr>
            </w:pP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103,348</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(76,437)</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Sales outside of the United States were immaterial for all periods presented.</w:t>
      </w:r>
    </w:p>
    <w:p>
      <w:pPr>
        <w:spacing w:after="0" w:line="104"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Revenues from external customers for Vera Bradley brand products are attributable to sales of bags, accessories, travel, apparel/footwear, and home items. Other revenues from Vera Bradley external customers primarily include revenues associated with our freight, stationery, licensing, merchandising, and gift card breakage.</w:t>
      </w:r>
    </w:p>
    <w:p>
      <w:pPr>
        <w:spacing w:after="0" w:line="54"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for Pura Vida brand products are primarily attributable to sales of accessories and apparel. Other revenues from Pura Vida external customers include revenues associated with freight.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herein for disaggregation of net revenues by reportable segment.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3, 2024 and January 28, 2023, substantially all of the Company’s long-lived assets were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48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5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disclosures. Because of inherent limitations, disclosure controls and procedures, no matter how well designed and operated, can provide only reasonable, and not absolute, assurance that the objectives of disclosure controls and procedures are met.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w:t>
      </w:r>
    </w:p>
    <w:p>
      <w:pPr>
        <w:spacing w:after="0" w:line="27" w:lineRule="exact"/>
        <w:rPr>
          <w:sz w:val="20"/>
          <w:szCs w:val="20"/>
          <w:color w:val="auto"/>
        </w:rPr>
      </w:pPr>
    </w:p>
    <w:p>
      <w:pPr>
        <w:jc w:val="both"/>
        <w:ind w:right="2400"/>
        <w:spacing w:after="0" w:line="255" w:lineRule="auto"/>
        <w:rPr>
          <w:sz w:val="20"/>
          <w:szCs w:val="20"/>
          <w:color w:val="auto"/>
        </w:rPr>
      </w:pPr>
      <w:r>
        <w:rPr>
          <w:rFonts w:ascii="Times New Roman" w:cs="Times New Roman" w:eastAsia="Times New Roman" w:hAnsi="Times New Roman"/>
          <w:sz w:val="18"/>
          <w:szCs w:val="18"/>
          <w:color w:val="auto"/>
        </w:rPr>
        <w:t>the effectiveness of our disclosure controls and procedures as of the end of the period covered by this report. Based on that evaluation, our Chief Executive Officer and our Chief Financial Officer each has concluded that the Company’s disclosure controls and procedures are effective as of February 3,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Internal Control-Integrated Framework. Based on the results of that evaluation, management has concluded that such internal control over financial reporting was effective as of February 3, 2024.</w:t>
      </w:r>
    </w:p>
    <w:p>
      <w:pPr>
        <w:spacing w:after="0" w:line="6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February 3, 2024, has been audited by Deloitte and Touche LLP, an independent registered public accounting firm, as stated in their report which appears in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ind w:right="5140"/>
        <w:spacing w:after="0" w:line="38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Directors, Executive Officers and Corporate Governance</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2024 Annual Meeting of Shareholders under the headings “The Board of Directors,” “Family Relationships,” “Delinquent Section 16(a) Reports,” “Conflict of Interest and Business Ethics Policy,” “Code of Ethics for Senior Financial Officers,” and “Standing Committees and Meetings of the Board”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spacing w:after="0" w:line="1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2024 Annual Meeting of Shareholders under the headings “Executive Compensation Discussion and Analysis,” “Compensation Committee Interlocks and Insider Participation,” “Compensation Tables,”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2024 Annual Meeting of Shareholders under the heading “Share Ownership of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securities authorized for issuance under our equity compensation plans as of February 3, 2024:</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08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Equity</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20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and Rights (a) </w:t>
            </w:r>
            <w:r>
              <w:rPr>
                <w:rFonts w:ascii="Times New Roman" w:cs="Times New Roman" w:eastAsia="Times New Roman" w:hAnsi="Times New Roman"/>
                <w:sz w:val="18"/>
                <w:szCs w:val="18"/>
                <w:b w:val="1"/>
                <w:bCs w:val="1"/>
                <w:color w:val="auto"/>
                <w:w w:val="99"/>
                <w:vertAlign w:val="superscript"/>
              </w:rPr>
              <w:t>(1)</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and Rights (b) ($)</w:t>
            </w: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7"/>
              </w:rPr>
              <w:t xml:space="preserve">(a)) (c) </w:t>
            </w:r>
            <w:r>
              <w:rPr>
                <w:rFonts w:ascii="Times New Roman" w:cs="Times New Roman" w:eastAsia="Times New Roman" w:hAnsi="Times New Roman"/>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1,523,010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3,910,429</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1,523,010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3,910,429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580" w:right="360" w:hanging="572"/>
        <w:spacing w:after="0" w:line="261" w:lineRule="auto"/>
        <w:tabs>
          <w:tab w:leader="none" w:pos="5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target performance requirements will be achieved for performance shares with incomplete performance periods. These securities represent awards to be issued under the 2020 Equity and Incentive Plan.</w:t>
      </w:r>
    </w:p>
    <w:p>
      <w:pPr>
        <w:ind w:left="560" w:hanging="55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available for issuance under the 2020 Equity and Incentive Plan.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set forth in the Proxy Statement for the 2024 Annual Meeting of Shareholders under the headings “Policy on Related Party Transactions,” “Related Party Transactions for Fiscal 2024,”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9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2024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Vera Bradley, Inc. are filed as part of this report under Item 8. Financial Statements and Supplementary Data:</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020" w:type="dxa"/>
            <w:vAlign w:val="bottom"/>
            <w:gridSpan w:val="6"/>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February 3, 2024, and January 28, 2023</w:t>
            </w:r>
          </w:p>
        </w:tc>
        <w:tc>
          <w:tcPr>
            <w:tcW w:w="4920" w:type="dxa"/>
            <w:vAlign w:val="bottom"/>
            <w:gridSpan w:val="5"/>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February 3, 2024, January 28, 2023, and January 29,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7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February 3, 2024, January 28, 2023, and January 29,</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56"/>
        </w:trPr>
        <w:tc>
          <w:tcPr>
            <w:tcW w:w="3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2022</w:t>
            </w:r>
          </w:p>
        </w:tc>
        <w:tc>
          <w:tcPr>
            <w:tcW w:w="280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35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for the fiscal years ended February 3, 2024, January 28, 2023, and January 29, 2022</w:t>
            </w:r>
          </w:p>
        </w:tc>
        <w:tc>
          <w:tcPr>
            <w:tcW w:w="6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0"/>
        </w:trPr>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February 3, 2024, January 28, 2023, and January 29,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3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00" w:type="dxa"/>
            <w:vAlign w:val="bottom"/>
            <w:tcBorders>
              <w:top w:val="single" w:sz="8" w:color="0000FF"/>
            </w:tcBorders>
            <w:gridSpan w:val="4"/>
          </w:tcPr>
          <w:p>
            <w:pPr>
              <w:spacing w:after="0"/>
              <w:rPr>
                <w:sz w:val="18"/>
                <w:szCs w:val="18"/>
                <w:color w:val="auto"/>
              </w:rPr>
            </w:pPr>
          </w:p>
        </w:tc>
        <w:tc>
          <w:tcPr>
            <w:tcW w:w="1360" w:type="dxa"/>
            <w:vAlign w:val="bottom"/>
            <w:gridSpan w:val="3"/>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9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0" w:type="dxa"/>
            <w:vAlign w:val="bottom"/>
            <w:gridSpan w:val="29"/>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01"/>
        </w:trPr>
        <w:tc>
          <w:tcPr>
            <w:tcW w:w="20" w:type="dxa"/>
            <w:vAlign w:val="bottom"/>
          </w:tcPr>
          <w:p>
            <w:pPr>
              <w:spacing w:after="0"/>
              <w:rPr>
                <w:sz w:val="24"/>
                <w:szCs w:val="24"/>
                <w:color w:val="auto"/>
              </w:rPr>
            </w:pPr>
          </w:p>
        </w:tc>
        <w:tc>
          <w:tcPr>
            <w:tcW w:w="12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740" w:type="dxa"/>
            <w:vAlign w:val="bottom"/>
            <w:gridSpan w:val="28"/>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331"/>
        </w:trPr>
        <w:tc>
          <w:tcPr>
            <w:tcW w:w="440" w:type="dxa"/>
            <w:vAlign w:val="bottom"/>
            <w:gridSpan w:val="5"/>
          </w:tcPr>
          <w:p>
            <w:pPr>
              <w:ind w:left="2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Interest Purchase Agreement dated January 23, 2023, among Vera Bradley Holdings, LLC; Creative Genius Holdings, Inc.; Creative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54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Genius, Inc.; Griffin Thall; and Paul Goodman (incorporated by reference to Exhibit 10.1 to the Current Report on Form 8-K filed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38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January 24, 2023)</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Amended and Restated Articles of Incorporation (Incorporated by reference to Exhibit 3.1 to the Current Report on Form 8-K filed June</w:t>
              </w:r>
            </w:hyperlink>
          </w:p>
        </w:tc>
      </w:tr>
      <w:tr>
        <w:trPr>
          <w:trHeight w:val="183"/>
        </w:trPr>
        <w:tc>
          <w:tcPr>
            <w:tcW w:w="20" w:type="dxa"/>
            <w:vAlign w:val="bottom"/>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6"/>
              </w:rPr>
            </w:pPr>
            <w:hyperlink r:id="rId103">
              <w:r>
                <w:rPr>
                  <w:rFonts w:ascii="Times New Roman" w:cs="Times New Roman" w:eastAsia="Times New Roman" w:hAnsi="Times New Roman"/>
                  <w:sz w:val="18"/>
                  <w:szCs w:val="18"/>
                  <w:color w:val="0000FF"/>
                  <w:w w:val="96"/>
                </w:rPr>
                <w:t>8, 2021)</w:t>
              </w:r>
            </w:hyperlink>
          </w:p>
        </w:tc>
        <w:tc>
          <w:tcPr>
            <w:tcW w:w="6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16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21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98"/>
        </w:trPr>
        <w:tc>
          <w:tcPr>
            <w:tcW w:w="20" w:type="dxa"/>
            <w:vAlign w:val="bottom"/>
          </w:tcPr>
          <w:p>
            <w:pPr>
              <w:spacing w:after="0"/>
              <w:rPr>
                <w:sz w:val="24"/>
                <w:szCs w:val="24"/>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104">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Amended and Restated Bylaws (Incorporated by reference to Exhibit 3.2 to the Current Report on Form 8-K filed March 6, 2019)</w:t>
              </w:r>
            </w:hyperlink>
          </w:p>
        </w:tc>
        <w:tc>
          <w:tcPr>
            <w:tcW w:w="640" w:type="dxa"/>
            <w:vAlign w:val="bottom"/>
            <w:gridSpan w:val="19"/>
          </w:tcPr>
          <w:p>
            <w:pPr>
              <w:spacing w:after="0"/>
              <w:rPr>
                <w:sz w:val="24"/>
                <w:szCs w:val="24"/>
                <w:color w:val="auto"/>
              </w:rPr>
            </w:pPr>
          </w:p>
        </w:tc>
      </w:tr>
      <w:tr>
        <w:trPr>
          <w:trHeight w:val="372"/>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5">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Specimen Common Stock Certificate (Incorporated by reference to Exhibit 4.1 to the Registration Statement on Form S-1, Registration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No. 333-167934)</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10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Description of Registrant’s Securities (Incorporated by reference to Exhibit 4.2 to the Annual Report on Form 10-K for the fiscal year</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ended February 1, 2020)</w:t>
              </w:r>
            </w:hyperlink>
          </w:p>
        </w:tc>
        <w:tc>
          <w:tcPr>
            <w:tcW w:w="78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w:t>
            </w: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Indemnification Agreement (Incorporated by reference to Exhibit 10.5 to the Registration Statement on Form S-1, Registration</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No. 333-167934)</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w:t>
            </w: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Outside Director Restricted Stock Unit Terms and Conditions (Incorporated by reference to Exhibit 10.4 to the Quarterly Report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on Form 10-Q for the quarter ended May 1, 2021)</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w:t>
            </w:r>
          </w:p>
        </w:tc>
        <w:tc>
          <w:tcPr>
            <w:tcW w:w="10000" w:type="dxa"/>
            <w:vAlign w:val="bottom"/>
            <w:gridSpan w:val="34"/>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Vera Bradley, Inc. 2014 Executive Severance Plan (Amended May 30, 2018) (Incorporated by reference to Exhibit 10.4 to the Annual</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Report on Form 10-K for the year ended February 2, 2019)</w:t>
              </w:r>
            </w:hyperlink>
          </w:p>
        </w:tc>
        <w:tc>
          <w:tcPr>
            <w:tcW w:w="5400" w:type="dxa"/>
            <w:vAlign w:val="bottom"/>
            <w:tcBorders>
              <w:top w:val="single" w:sz="8" w:color="0000FF"/>
            </w:tcBorders>
            <w:gridSpan w:val="1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Pledge and Security Agreement dated as of September 7, 2018 among Vera Bradley Designs, Inc., Vera Bradley, Inc., Vera Bradley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International, LLC, Vera Bradley Sales, LLC, and JP Morgan Chase Bank, N.A. (Incorporated by reference to Exhibit 10.2 to the</w:t>
              </w:r>
            </w:hyperlink>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Quarterly Report on Form 10-Q for the quarter ended August 4, 2018)</w:t>
              </w:r>
            </w:hyperlink>
          </w:p>
        </w:tc>
        <w:tc>
          <w:tcPr>
            <w:tcW w:w="18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5†</w:t>
            </w:r>
          </w:p>
        </w:tc>
        <w:tc>
          <w:tcPr>
            <w:tcW w:w="10000" w:type="dxa"/>
            <w:vAlign w:val="bottom"/>
            <w:gridSpan w:val="34"/>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Fiscal 2024 Annual Incentive Compensation Plan (Executives) (Incorporated by reference to Exhibit 10.1 to the Quarterly Report on</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10-Q for the quarter ended April 29, 2023)</w:t>
              </w:r>
            </w:hyperlink>
          </w:p>
        </w:tc>
        <w:tc>
          <w:tcPr>
            <w:tcW w:w="1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6†</w:t>
            </w:r>
          </w:p>
        </w:tc>
        <w:tc>
          <w:tcPr>
            <w:tcW w:w="10000" w:type="dxa"/>
            <w:vAlign w:val="bottom"/>
            <w:gridSpan w:val="34"/>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Form of Restricted Stock Unit/Performance Unit Terms and Conditions (Revised Fiscal 2019) (Incorporated by reference to Exhibit 10.2</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to the Quarterly Report on Form 10-Q for the quarter ended May 5, 2018)</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Third Amendment to Credit Agreement dated as of August 3, 2023 among Vera Bradley Designs, Inc., the other borrowers party thereto,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JPMorgan Chase Bank, N.A., and the lenders party thereto (Incorporated by reference to Exhibit 10.1 on Form 8-K filed August 8, 2023)</w:t>
              </w:r>
            </w:hyperlink>
          </w:p>
        </w:tc>
        <w:tc>
          <w:tcPr>
            <w:tcW w:w="60" w:type="dxa"/>
            <w:vAlign w:val="bottom"/>
            <w:tcBorders>
              <w:bottom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Joinder Agreement dated August 3, 2023 between Creative Genius, LLC and JPMorgan Chase Bank, N.A. (Incorporated by reference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Exhibit 10.2 on Form 8-K filed August 8, 2023)</w:t>
              </w:r>
            </w:hyperlink>
          </w:p>
        </w:tc>
        <w:tc>
          <w:tcPr>
            <w:tcW w:w="160" w:type="dxa"/>
            <w:vAlign w:val="bottom"/>
            <w:gridSpan w:val="5"/>
          </w:tcPr>
          <w:p>
            <w:pPr>
              <w:spacing w:after="0"/>
              <w:rPr>
                <w:sz w:val="13"/>
                <w:szCs w:val="13"/>
                <w:color w:val="auto"/>
              </w:rPr>
            </w:pPr>
          </w:p>
        </w:tc>
      </w:tr>
      <w:tr>
        <w:trPr>
          <w:trHeight w:val="20"/>
        </w:trPr>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3460" w:type="dxa"/>
            <w:vAlign w:val="bottom"/>
            <w:gridSpan w:val="4"/>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85"/>
        </w:trPr>
        <w:tc>
          <w:tcPr>
            <w:tcW w:w="360" w:type="dxa"/>
            <w:vAlign w:val="bottom"/>
            <w:gridSpan w:val="4"/>
          </w:tcPr>
          <w:p>
            <w:pPr>
              <w:ind w:left="20"/>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0" w:type="dxa"/>
            <w:vAlign w:val="bottom"/>
            <w:gridSpan w:val="3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Supplement to Pledge and Security Agreement dated as of September 7, 2018 by and among Vera Bradley Designs, Inc., Vera Bradley,</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 Vera Bradley International, LLC, Vera Bradley Sales, LLC, Vera Bradley Holdings, LLC, and JP Morgan Chase Bank, N.A.</w:t>
              </w:r>
            </w:hyperlink>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(Incorporated by reference to Exhibit 10.3 on Form 8-K filed August 8, 2023)</w:t>
              </w:r>
            </w:hyperlink>
          </w:p>
        </w:tc>
        <w:tc>
          <w:tcPr>
            <w:tcW w:w="3680" w:type="dxa"/>
            <w:vAlign w:val="bottom"/>
            <w:tcBorders>
              <w:top w:val="single" w:sz="8" w:color="0000FF"/>
            </w:tcBorders>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10000" w:type="dxa"/>
            <w:vAlign w:val="bottom"/>
            <w:gridSpan w:val="34"/>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Performance-Based Award Agreement under the 2020 Equity and Incentive Plan (Incorporated by reference to Exhibit 10.2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the Quarterly Report on Form 10-Q for the quarter ended May 1, 2021)</w:t>
              </w:r>
            </w:hyperlink>
          </w:p>
        </w:tc>
        <w:tc>
          <w:tcPr>
            <w:tcW w:w="4600" w:type="dxa"/>
            <w:vAlign w:val="bottom"/>
            <w:tcBorders>
              <w:top w:val="single" w:sz="8" w:color="0000FF"/>
            </w:tcBorders>
            <w:gridSpan w:val="17"/>
          </w:tcPr>
          <w:p>
            <w:pPr>
              <w:spacing w:after="0"/>
              <w:rPr>
                <w:sz w:val="13"/>
                <w:szCs w:val="13"/>
                <w:color w:val="auto"/>
              </w:rPr>
            </w:pPr>
          </w:p>
        </w:tc>
        <w:tc>
          <w:tcPr>
            <w:tcW w:w="260" w:type="dxa"/>
            <w:vAlign w:val="bottom"/>
            <w:gridSpan w:val="9"/>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11†</w:t>
              </w:r>
            </w:hyperlink>
          </w:p>
        </w:tc>
        <w:tc>
          <w:tcPr>
            <w:tcW w:w="10000" w:type="dxa"/>
            <w:vAlign w:val="bottom"/>
            <w:gridSpan w:val="3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Restricted Stock Unit/Performance Unit Terms and Conditions (under the 2020 Equity and Incentive Plan) (Incorporated by</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reference to Exhibit 10.3 to the Quarterly Report on Form 10-Q for the quarter ended May 1, 2021)</w:t>
              </w:r>
            </w:hyperlink>
          </w:p>
        </w:tc>
        <w:tc>
          <w:tcPr>
            <w:tcW w:w="2400" w:type="dxa"/>
            <w:vAlign w:val="bottom"/>
            <w:tcBorders>
              <w:top w:val="single" w:sz="8" w:color="0000FF"/>
            </w:tcBorders>
            <w:gridSpan w:val="8"/>
          </w:tcPr>
          <w:p>
            <w:pPr>
              <w:spacing w:after="0"/>
              <w:rPr>
                <w:sz w:val="13"/>
                <w:szCs w:val="13"/>
                <w:color w:val="auto"/>
              </w:rPr>
            </w:pPr>
          </w:p>
        </w:tc>
        <w:tc>
          <w:tcPr>
            <w:tcW w:w="440" w:type="dxa"/>
            <w:vAlign w:val="bottom"/>
            <w:gridSpan w:val="14"/>
          </w:tcPr>
          <w:p>
            <w:pPr>
              <w:spacing w:after="0"/>
              <w:rPr>
                <w:sz w:val="13"/>
                <w:szCs w:val="13"/>
                <w:color w:val="auto"/>
              </w:rPr>
            </w:pPr>
          </w:p>
        </w:tc>
      </w:tr>
      <w:tr>
        <w:trPr>
          <w:trHeight w:val="385"/>
        </w:trPr>
        <w:tc>
          <w:tcPr>
            <w:tcW w:w="20" w:type="dxa"/>
            <w:vAlign w:val="bottom"/>
          </w:tcPr>
          <w:p>
            <w:pPr>
              <w:spacing w:after="0"/>
              <w:rPr>
                <w:sz w:val="24"/>
                <w:szCs w:val="24"/>
                <w:color w:val="auto"/>
              </w:rPr>
            </w:pPr>
          </w:p>
        </w:tc>
        <w:tc>
          <w:tcPr>
            <w:tcW w:w="1200" w:type="dxa"/>
            <w:vAlign w:val="bottom"/>
            <w:gridSpan w:val="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10000" w:type="dxa"/>
            <w:vAlign w:val="bottom"/>
            <w:gridSpan w:val="3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Employment Agreement between Vera Bradley, Inc. and Jacqueline Ardrey dated September 20, 2022 (Incorporated by reference to</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10.1 to the Current Report on Form 8-K filed on September 20, 2022)</w:t>
              </w:r>
            </w:hyperlink>
          </w:p>
        </w:tc>
        <w:tc>
          <w:tcPr>
            <w:tcW w:w="500" w:type="dxa"/>
            <w:vAlign w:val="bottom"/>
            <w:gridSpan w:val="16"/>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1180" w:type="dxa"/>
            <w:vAlign w:val="bottom"/>
            <w:gridSpan w:val="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hyperlink>
          </w:p>
        </w:tc>
        <w:tc>
          <w:tcPr>
            <w:tcW w:w="20" w:type="dxa"/>
            <w:vAlign w:val="bottom"/>
          </w:tcPr>
          <w:p>
            <w:pPr>
              <w:spacing w:after="0"/>
              <w:rPr>
                <w:sz w:val="24"/>
                <w:szCs w:val="24"/>
                <w:color w:val="auto"/>
              </w:rPr>
            </w:pPr>
          </w:p>
        </w:tc>
        <w:tc>
          <w:tcPr>
            <w:tcW w:w="9980" w:type="dxa"/>
            <w:vAlign w:val="bottom"/>
            <w:gridSpan w:val="13"/>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Retention Letter Agreement dated December 6, 2022 with John Enwright (Incorporated by reference to Exhibit 10.1 to the Quarterly</w:t>
              </w:r>
            </w:hyperlink>
          </w:p>
        </w:tc>
      </w:tr>
      <w:tr>
        <w:trPr>
          <w:trHeight w:val="155"/>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Report on Form 10-Q for the quarter ended October 29, 2022)</w:t>
              </w:r>
            </w:hyperlink>
          </w:p>
        </w:tc>
        <w:tc>
          <w:tcPr>
            <w:tcW w:w="5080" w:type="dxa"/>
            <w:vAlign w:val="bottom"/>
            <w:tcBorders>
              <w:top w:val="single" w:sz="8" w:color="0000FF"/>
            </w:tcBorders>
            <w:gridSpan w:val="5"/>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372"/>
        </w:trPr>
        <w:tc>
          <w:tcPr>
            <w:tcW w:w="20" w:type="dxa"/>
            <w:vAlign w:val="bottom"/>
          </w:tcPr>
          <w:p>
            <w:pPr>
              <w:spacing w:after="0"/>
              <w:rPr>
                <w:sz w:val="24"/>
                <w:szCs w:val="24"/>
                <w:color w:val="auto"/>
              </w:rPr>
            </w:pPr>
          </w:p>
        </w:tc>
        <w:tc>
          <w:tcPr>
            <w:tcW w:w="1180" w:type="dxa"/>
            <w:vAlign w:val="bottom"/>
            <w:gridSpan w:val="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14†</w:t>
            </w:r>
          </w:p>
        </w:tc>
        <w:tc>
          <w:tcPr>
            <w:tcW w:w="20" w:type="dxa"/>
            <w:vAlign w:val="bottom"/>
          </w:tcPr>
          <w:p>
            <w:pPr>
              <w:spacing w:after="0"/>
              <w:rPr>
                <w:sz w:val="24"/>
                <w:szCs w:val="24"/>
                <w:color w:val="auto"/>
              </w:rPr>
            </w:pPr>
          </w:p>
        </w:tc>
        <w:tc>
          <w:tcPr>
            <w:tcW w:w="9980" w:type="dxa"/>
            <w:vAlign w:val="bottom"/>
            <w:gridSpan w:val="1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Restricted Stock Unit/Performance Unit Terms and Conditions Under the 2020 Equity and Incentive Plan (Revised)</w:t>
              </w:r>
            </w:hyperlink>
          </w:p>
        </w:tc>
      </w:tr>
      <w:tr>
        <w:trPr>
          <w:trHeight w:val="156"/>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(Incorporated by reference to Exhibit 10.2 to the Quarterly Report on Form 10-Q for the quarter ended April 30, 2022)</w:t>
              </w:r>
            </w:hyperlink>
          </w:p>
        </w:tc>
        <w:tc>
          <w:tcPr>
            <w:tcW w:w="420" w:type="dxa"/>
            <w:vAlign w:val="bottom"/>
            <w:tcBorders>
              <w:top w:val="single" w:sz="8" w:color="0000FF"/>
            </w:tcBorders>
          </w:tcPr>
          <w:p>
            <w:pPr>
              <w:spacing w:after="0"/>
              <w:rPr>
                <w:sz w:val="13"/>
                <w:szCs w:val="13"/>
                <w:color w:val="auto"/>
              </w:rPr>
            </w:pPr>
          </w:p>
        </w:tc>
        <w:tc>
          <w:tcPr>
            <w:tcW w:w="7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r>
      <w:tr>
        <w:trPr>
          <w:trHeight w:val="371"/>
        </w:trPr>
        <w:tc>
          <w:tcPr>
            <w:tcW w:w="20" w:type="dxa"/>
            <w:vAlign w:val="bottom"/>
          </w:tcPr>
          <w:p>
            <w:pPr>
              <w:spacing w:after="0"/>
              <w:rPr>
                <w:sz w:val="24"/>
                <w:szCs w:val="24"/>
                <w:color w:val="auto"/>
              </w:rPr>
            </w:pPr>
          </w:p>
        </w:tc>
        <w:tc>
          <w:tcPr>
            <w:tcW w:w="1180" w:type="dxa"/>
            <w:vAlign w:val="bottom"/>
            <w:gridSpan w:val="4"/>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15†</w:t>
            </w:r>
          </w:p>
        </w:tc>
        <w:tc>
          <w:tcPr>
            <w:tcW w:w="20" w:type="dxa"/>
            <w:vAlign w:val="bottom"/>
          </w:tcPr>
          <w:p>
            <w:pPr>
              <w:spacing w:after="0"/>
              <w:rPr>
                <w:sz w:val="24"/>
                <w:szCs w:val="24"/>
                <w:color w:val="auto"/>
              </w:rPr>
            </w:pPr>
          </w:p>
        </w:tc>
        <w:tc>
          <w:tcPr>
            <w:tcW w:w="9980" w:type="dxa"/>
            <w:vAlign w:val="bottom"/>
            <w:gridSpan w:val="1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Vera Bradley, Inc. 2020 Equity and Incentive Plan (incorporated by reference to Appendix A to the registrant’s</w:t>
              </w:r>
            </w:hyperlink>
          </w:p>
        </w:tc>
      </w:tr>
      <w:tr>
        <w:trPr>
          <w:trHeight w:val="156"/>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Definitive Proxy Statement filed April 21, 2023)</w:t>
              </w:r>
            </w:hyperlink>
          </w:p>
        </w:tc>
        <w:tc>
          <w:tcPr>
            <w:tcW w:w="300" w:type="dxa"/>
            <w:vAlign w:val="bottom"/>
          </w:tcPr>
          <w:p>
            <w:pPr>
              <w:spacing w:after="0"/>
              <w:rPr>
                <w:sz w:val="13"/>
                <w:szCs w:val="13"/>
                <w:color w:val="auto"/>
              </w:rPr>
            </w:pPr>
          </w:p>
        </w:tc>
      </w:tr>
      <w:tr>
        <w:trPr>
          <w:trHeight w:val="371"/>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3"/>
              </w:rPr>
              <w:t>21.</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Subsidiaries of Vera Bradley, Inc.</w:t>
            </w:r>
          </w:p>
        </w:tc>
        <w:tc>
          <w:tcPr>
            <w:tcW w:w="6480" w:type="dxa"/>
            <w:vAlign w:val="bottom"/>
            <w:gridSpan w:val="8"/>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r>
      <w:tr>
        <w:trPr>
          <w:trHeight w:val="372"/>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3"/>
              </w:rPr>
              <w:t>23.</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r>
      <w:tr>
        <w:trPr>
          <w:trHeight w:val="372"/>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r>
      <w:tr>
        <w:trPr>
          <w:trHeight w:val="371"/>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3"/>
              </w:rPr>
              <w:t>31.</w:t>
            </w:r>
            <w:r>
              <w:rPr>
                <w:rFonts w:ascii="Times New Roman" w:cs="Times New Roman" w:eastAsia="Times New Roman" w:hAnsi="Times New Roman"/>
                <w:sz w:val="18"/>
                <w:szCs w:val="18"/>
                <w:u w:val="single" w:color="auto"/>
                <w:color w:val="0000FF"/>
                <w:w w:val="93"/>
              </w:rPr>
              <w:t>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5220" w:type="dxa"/>
            <w:vAlign w:val="bottom"/>
            <w:gridSpan w:val="5"/>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r>
      <w:tr>
        <w:trPr>
          <w:trHeight w:val="372"/>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3"/>
              </w:rPr>
              <w:t>32.</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Section 1350 Certifications</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r>
      <w:tr>
        <w:trPr>
          <w:trHeight w:val="371"/>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3"/>
              </w:rPr>
              <w:t>97.</w:t>
            </w:r>
            <w:r>
              <w:rPr>
                <w:rFonts w:ascii="Times New Roman" w:cs="Times New Roman" w:eastAsia="Times New Roman" w:hAnsi="Times New Roman"/>
                <w:sz w:val="18"/>
                <w:szCs w:val="18"/>
                <w:u w:val="single" w:color="auto"/>
                <w:color w:val="0000FF"/>
                <w:w w:val="93"/>
              </w:rPr>
              <w:t>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6760" w:type="dxa"/>
            <w:vAlign w:val="bottom"/>
            <w:gridSpan w:val="9"/>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2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240" w:right="2420" w:hanging="1201"/>
        <w:spacing w:after="0" w:line="237" w:lineRule="auto"/>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this exhibit because it is not material and would likely cause competitive harm to the registrant if publicly disclosed.</w:t>
      </w:r>
    </w:p>
    <w:p>
      <w:pPr>
        <w:spacing w:after="0" w:line="64" w:lineRule="exact"/>
        <w:rPr>
          <w:sz w:val="20"/>
          <w:szCs w:val="20"/>
          <w:color w:val="auto"/>
        </w:rPr>
      </w:pPr>
    </w:p>
    <w:p>
      <w:pPr>
        <w:ind w:left="1240" w:hanging="1201"/>
        <w:spacing w:after="0"/>
        <w:tabs>
          <w:tab w:leader="none" w:pos="12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7" w:lineRule="exact"/>
        <w:rPr>
          <w:sz w:val="20"/>
          <w:szCs w:val="20"/>
          <w:color w:val="auto"/>
        </w:rPr>
      </w:pPr>
    </w:p>
    <w:p>
      <w:pPr>
        <w:ind w:left="1240" w:hanging="1201"/>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compensation plan, contract or arrangement.</w:t>
      </w:r>
    </w:p>
    <w:p>
      <w:pPr>
        <w:spacing w:after="0" w:line="1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March 29, 2024.</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Vera Bradley, Inc.</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Michael Schwindle and Jacqueline Ardrey,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3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Registrant and in the capacities indicated on March 29, 2024.</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Signature</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0689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Barbara Bradley Baekgaard</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Kristina Cashman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Kristina Cashman</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J. Hall</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Lou Kelley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Frances P. Philip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Rodriguez</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Bradley Weston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Bradley Weston</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Carrie Tharp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Tharp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2">
            <w:col w:w="4240" w:space="720"/>
            <w:col w:w="5179"/>
          </w:cols>
          <w:pgMar w:left="320" w:top="117"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19"/>
                <w:szCs w:val="19"/>
                <w:color w:val="auto"/>
              </w:rPr>
            </w:pPr>
          </w:p>
        </w:tc>
        <w:tc>
          <w:tcPr>
            <w:tcW w:w="6840" w:type="dxa"/>
            <w:vAlign w:val="bottom"/>
            <w:gridSpan w:val="3"/>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w w:val="98"/>
              </w:rPr>
              <w:t>Vera Bradley, Inc.</w:t>
            </w:r>
          </w:p>
        </w:tc>
      </w:tr>
      <w:tr>
        <w:trPr>
          <w:trHeight w:val="229"/>
        </w:trPr>
        <w:tc>
          <w:tcPr>
            <w:tcW w:w="4340" w:type="dxa"/>
            <w:vAlign w:val="bottom"/>
          </w:tcPr>
          <w:p>
            <w:pPr>
              <w:spacing w:after="0"/>
              <w:rPr>
                <w:sz w:val="19"/>
                <w:szCs w:val="19"/>
                <w:color w:val="auto"/>
              </w:rPr>
            </w:pPr>
          </w:p>
        </w:tc>
        <w:tc>
          <w:tcPr>
            <w:tcW w:w="6840" w:type="dxa"/>
            <w:vAlign w:val="bottom"/>
            <w:gridSpan w:val="3"/>
          </w:tcPr>
          <w:p>
            <w:pPr>
              <w:jc w:val="center"/>
              <w:ind w:right="42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Designs, Inc</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International,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Sales,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Handbag Design (Dongguan) Co., Ltd.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3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Hong Kong Co., Limited</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Holdings,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Creative Genius, LLC</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Pura Vida Europe Limited</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bl>
    <w:p>
      <w:pPr>
        <w:sectPr>
          <w:pgSz w:w="11900" w:h="16838" w:orient="portrait"/>
          <w:cols w:equalWidth="0" w:num="1">
            <w:col w:w="11200"/>
          </w:cols>
          <w:pgMar w:left="36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333-249701 and 333-272824 on Form S-8 of our reports dated March 29, 2024, relating to the financial statements of Vera Bradley, Inc. and the effectiveness of Vera Bradley, Inc.’s internal control over financial reporting appearing in this Annual Report on Form 10-K for the year ended February 3, 2024.</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29, 2024</w:t>
      </w:r>
    </w:p>
    <w:p>
      <w:pPr>
        <w:sectPr>
          <w:pgSz w:w="11900" w:h="16838" w:orient="portrait"/>
          <w:cols w:equalWidth="0" w:num="1">
            <w:col w:w="11240"/>
          </w:cols>
          <w:pgMar w:left="320" w:top="98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18"/>
          <w:szCs w:val="18"/>
          <w:color w:val="auto"/>
        </w:rPr>
        <w:t>Date: March 29, 2024</w:t>
      </w:r>
      <w:r>
        <w:rPr>
          <w:sz w:val="20"/>
          <w:szCs w:val="20"/>
          <w:color w:val="auto"/>
        </w:rPr>
        <w:tab/>
      </w: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1"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88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Schwindle, certify that:</w:t>
      </w:r>
    </w:p>
    <w:p>
      <w:pPr>
        <w:spacing w:after="0" w:line="10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Vera Bradley, Inc.;</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4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300" w:right="120" w:firstLine="4"/>
        <w:spacing w:after="0" w:line="266"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55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60" w:firstLine="4"/>
        <w:spacing w:after="0" w:line="266"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right="340" w:firstLine="4"/>
        <w:spacing w:after="0" w:line="266" w:lineRule="auto"/>
        <w:tabs>
          <w:tab w:leader="none" w:pos="155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0" w:firstLine="4"/>
        <w:spacing w:after="0" w:line="282" w:lineRule="auto"/>
        <w:tabs>
          <w:tab w:leader="none" w:pos="15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480" w:firstLine="4"/>
        <w:spacing w:after="0" w:line="282" w:lineRule="auto"/>
        <w:tabs>
          <w:tab w:leader="none" w:pos="155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29, 2024</w:t>
            </w:r>
          </w:p>
        </w:tc>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6"/>
        </w:trPr>
        <w:tc>
          <w:tcPr>
            <w:tcW w:w="5620" w:type="dxa"/>
            <w:vAlign w:val="bottom"/>
          </w:tcPr>
          <w:p>
            <w:pPr>
              <w:spacing w:after="0"/>
              <w:rPr>
                <w:sz w:val="18"/>
                <w:szCs w:val="18"/>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6"/>
        </w:trPr>
        <w:tc>
          <w:tcPr>
            <w:tcW w:w="5620" w:type="dxa"/>
            <w:vAlign w:val="bottom"/>
          </w:tcPr>
          <w:p>
            <w:pPr>
              <w:spacing w:after="0"/>
              <w:rPr>
                <w:sz w:val="20"/>
                <w:szCs w:val="20"/>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 Section 906 of the Sarbanes - Oxley Act of 2002</w:t>
      </w:r>
    </w:p>
    <w:p>
      <w:pPr>
        <w:spacing w:after="0" w:line="108"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annual report on Form 10-K for the fiscal year ended February 3,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85"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1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p>
      <w:pPr>
        <w:spacing w:after="0" w:line="10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Michael Schwindle, the Chief Financial Officer of Vera Bradley, Inc., certify that (i) the annual report on Form 10-K for the fiscal year ended February 3,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9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240"/>
          </w:cols>
          <w:pgMar w:left="320" w:top="88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Vera Bradley, Inc. Compensation Recoupment Policy</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This Recoupment Policy applies to any person who was an employee of </w:t>
      </w:r>
      <w:r>
        <w:rPr>
          <w:rFonts w:ascii="Times New Roman" w:cs="Times New Roman" w:eastAsia="Times New Roman" w:hAnsi="Times New Roman"/>
          <w:sz w:val="18"/>
          <w:szCs w:val="18"/>
          <w:color w:val="333333"/>
        </w:rPr>
        <w:t>Vera Bradley, Inc. or any of its subsidiaries (the “Company”)</w:t>
      </w:r>
      <w:r>
        <w:rPr>
          <w:rFonts w:ascii="Times New Roman" w:cs="Times New Roman" w:eastAsia="Times New Roman" w:hAnsi="Times New Roman"/>
          <w:sz w:val="18"/>
          <w:szCs w:val="18"/>
          <w:color w:val="auto"/>
        </w:rPr>
        <w:t xml:space="preserve"> at the time compensation covered by the policy was received by such person, regardless of whether such person remains an employee at the time such compensation is subject to recoupment pursuant to this Policy.</w:t>
      </w:r>
    </w:p>
    <w:p>
      <w:pPr>
        <w:spacing w:after="0" w:line="204"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333333"/>
        </w:rPr>
        <w:t>With respect to any performance-based compensation paid in any of the last three completed fiscal years preceding the date on which the Company is required to prepare a financial restatement on the basis of performance during those fiscal periods affected by the restatement, the Company, by action of its Board of Directors (the “Board”), shall have the obligation or right to require the forfeiture of, or seek to recoup all or any portion of the value of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proceeds from, such compensation in the event of the following:</w:t>
      </w:r>
    </w:p>
    <w:p>
      <w:pPr>
        <w:spacing w:after="0" w:line="192" w:lineRule="exact"/>
        <w:rPr>
          <w:sz w:val="20"/>
          <w:szCs w:val="20"/>
          <w:color w:val="auto"/>
        </w:rPr>
      </w:pPr>
    </w:p>
    <w:p>
      <w:pPr>
        <w:jc w:val="both"/>
        <w:ind w:left="660" w:hanging="328"/>
        <w:spacing w:after="0" w:line="23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If Vera Bradley, Inc. is required to prepare a financial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as determined with the oversight of the Board’s Audit Committee, the Board will review all performance-based compensation earned by an Executive Officer in whole or part for the period affected by the restatement (the “Recoupment Period"). This review will be without regard to the responsibility or involvement of any Executive Officer in the actions that led to the restatement. If the performance-based compensation for any of the three completed fiscal years immediately preceding the date on which Vera Bradley, Inc. was required to prepare a financial restatement would have been lower if such compensation had been based on the restated results, the Board shall, to the full extent required and permitted by applicable law, seek recoupment from (or not pay to) any Executive Officer any portion of such performance-based compensation, calculated on a pre-tax basis, that would not have been paid (or is not payable) if the performance-based compensation had been granted, vested, or earned based on the restated financial information.</w:t>
      </w:r>
    </w:p>
    <w:p>
      <w:pPr>
        <w:spacing w:after="0" w:line="21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activity, fraud, or intentional or willful misconduct by any award recipient under any of the Company’s compensation plans, which results in material harm to the Company. Forfeiture or recoupment may be sought from any award recipient who engaged in such misconduct in an amount determined by the Board in its sole discretion if the underlying conduct occurred during any of the three fiscal years preceding the grant, payment, vesting, or settlement of the award. The amount of such forfeiture or recoupment shall be determined by the Board in its sole discretion, and may be the entire incentive compensation amount, not limited to the achievement of specified financial results.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Except to the extent provided in the paragraph below, the Board has full discretion to make all determinations necessary to implement, interpret and enforce this policy, including (without limitation) to determine whether misconduct occurred, whether compensation is subject to this policy, whether to seek repayment of performance-based compensation, the amount of compensation subject to repayment, and, in the case of equity awards, to permit repayment in cash or shares. Any determination by the Board shall be final, binding and conclusive on all interested parties.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Board shall be required to recoup any performance-based incentive compensation subject to recoupment under Section 1 of this policy from any Officer of the Company as defined in Rule 16a-1(f) of the Exchange Act (herein defined as “Executive Officer”), unless (i) the Company has made a reasonable and documented attempt to recover the compensation and has reasonably determined that the expense paid to a third party to recover the compensation would exceed the amount to be recovered; (ii) the Company receives an opinion of home country counsel advising that the recovery would violate home country laws; (iii) the recovery of the compensation would draw from deferred compensation under a tax-qualified retirement plan; or (iv) another exception to the recoupment requirement applies.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recoupment of compensation under this policy shall not prohibit or otherwise limit any other remedial or recovery action available to the Company pursuant to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Board of Directors at its quarterly meeting on November 29,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lvl w:ilvl="1">
      <w:lvlJc w:val="left"/>
      <w:lvlText w:val="%2."/>
      <w:numFmt w:val="lowerLetter"/>
      <w:start w:val="1"/>
    </w:lvl>
  </w:abstractNum>
  <w:abstractNum w:abstractNumId="18">
    <w:nsid w:val="6CEAF087"/>
    <w:multiLevelType w:val="hybridMultilevel"/>
    <w:lvl w:ilvl="0">
      <w:lvlJc w:val="left"/>
      <w:lvlText w:val="%1."/>
      <w:numFmt w:val="decimal"/>
      <w:start w:val="1"/>
    </w:lvl>
    <w:lvl w:ilvl="1">
      <w:lvlJc w:val="left"/>
      <w:lvlText w:val="•"/>
      <w:numFmt w:val="bullet"/>
      <w:start w:val="1"/>
    </w:lvl>
  </w:abstractNum>
  <w:abstractNum w:abstractNumId="19">
    <w:nsid w:val="22221A70"/>
    <w:multiLevelType w:val="hybridMultilevel"/>
    <w:lvl w:ilvl="0">
      <w:lvlJc w:val="left"/>
      <w:lvlText w:val="%1."/>
      <w:numFmt w:val="decimal"/>
      <w:start w:val="2"/>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3"/>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4"/>
    </w:lvl>
  </w:abstractNum>
  <w:abstractNum w:abstractNumId="27">
    <w:nsid w:val="3804823E"/>
    <w:multiLevelType w:val="hybridMultilevel"/>
    <w:lvl w:ilvl="0">
      <w:lvlJc w:val="left"/>
      <w:lvlText w:val="%1."/>
      <w:numFmt w:val="decimal"/>
      <w:start w:val="6"/>
    </w:lvl>
  </w:abstractNum>
  <w:abstractNum w:abstractNumId="28">
    <w:nsid w:val="77465F01"/>
    <w:multiLevelType w:val="hybridMultilevel"/>
    <w:lvl w:ilvl="0">
      <w:lvlJc w:val="left"/>
      <w:lvlText w:val="%1."/>
      <w:numFmt w:val="decimal"/>
      <w:start w:val="7"/>
    </w:lvl>
  </w:abstractNum>
  <w:abstractNum w:abstractNumId="29">
    <w:nsid w:val="7724C67E"/>
    <w:multiLevelType w:val="hybridMultilevel"/>
    <w:lvl w:ilvl="0">
      <w:lvlJc w:val="left"/>
      <w:lvlText w:val="%1."/>
      <w:numFmt w:val="decimal"/>
      <w:start w:val="8"/>
    </w:lvl>
  </w:abstractNum>
  <w:abstractNum w:abstractNumId="30">
    <w:nsid w:val="5C482A97"/>
    <w:multiLevelType w:val="hybridMultilevel"/>
    <w:lvl w:ilvl="0">
      <w:lvlJc w:val="left"/>
      <w:lvlText w:val="%1."/>
      <w:numFmt w:val="decimal"/>
      <w:start w:val="9"/>
    </w:lvl>
  </w:abstractNum>
  <w:abstractNum w:abstractNumId="31">
    <w:nsid w:val="2463B9EA"/>
    <w:multiLevelType w:val="hybridMultilevel"/>
    <w:lvl w:ilvl="0">
      <w:lvlJc w:val="left"/>
      <w:lvlText w:val="%1."/>
      <w:numFmt w:val="decimal"/>
      <w:start w:val="1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6"/>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1"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02" Type="http://schemas.openxmlformats.org/officeDocument/2006/relationships/hyperlink" Target="https://www.sec.gov/Archives/edgar/data/1495320/000149532023000007/vra-2023123xex101.htm" TargetMode="External"/><Relationship Id="rId103" Type="http://schemas.openxmlformats.org/officeDocument/2006/relationships/hyperlink" Target="https://www.sec.gov/Archives/edgar/data/1495320/000149532021000027/vra-20210603xex31.htm" TargetMode="External"/><Relationship Id="rId104" Type="http://schemas.openxmlformats.org/officeDocument/2006/relationships/hyperlink" Target="http://www.sec.gov/Archives/edgar/data/1495320/000149532019000003/vra-20190228xex32.htm" TargetMode="External"/><Relationship Id="rId105" Type="http://schemas.openxmlformats.org/officeDocument/2006/relationships/hyperlink" Target="http://www.sec.gov/Archives/edgar/data/1495320/000119312510231184/dex41.htm" TargetMode="External"/><Relationship Id="rId106" Type="http://schemas.openxmlformats.org/officeDocument/2006/relationships/hyperlink" Target="https://www.sec.gov/Archives/edgar/data/1495320/000149532020000010/vra-20200201xex42.htm" TargetMode="External"/><Relationship Id="rId107" Type="http://schemas.openxmlformats.org/officeDocument/2006/relationships/hyperlink" Target="http://www.sec.gov/Archives/edgar/data/1495320/000119312510224879/dex105.htm" TargetMode="External"/><Relationship Id="rId108" Type="http://schemas.openxmlformats.org/officeDocument/2006/relationships/hyperlink" Target="https://www.sec.gov/Archives/edgar/data/1495320/000149532021000036/vra-20210501xex104.htm" TargetMode="External"/><Relationship Id="rId109" Type="http://schemas.openxmlformats.org/officeDocument/2006/relationships/hyperlink" Target="http://www.sec.gov/Archives/edgar/data/1495320/000149532019000010/vra-20190202xex104.htm" TargetMode="External"/><Relationship Id="rId110" Type="http://schemas.openxmlformats.org/officeDocument/2006/relationships/hyperlink" Target="https://www.sec.gov/Archives/edgar/data/1495320/000149532018000031/vra-20180804xex102.htm" TargetMode="External"/><Relationship Id="rId111" Type="http://schemas.openxmlformats.org/officeDocument/2006/relationships/hyperlink" Target="http://www.sec.gov/Archives/edgar/data/1495320/000149532018000031/vra-20180804xex102.htm" TargetMode="External"/><Relationship Id="rId112" Type="http://schemas.openxmlformats.org/officeDocument/2006/relationships/hyperlink" Target="https://www.sec.gov/Archives/edgar/data/0001495320/000149532023000037/vra-20230429xex101.htm" TargetMode="External"/><Relationship Id="rId113" Type="http://schemas.openxmlformats.org/officeDocument/2006/relationships/hyperlink" Target="http://www.sec.gov/Archives/edgar/data/1495320/000149532018000019/vra-20180505xex102.htm" TargetMode="External"/><Relationship Id="rId114" Type="http://schemas.openxmlformats.org/officeDocument/2006/relationships/hyperlink" Target="https://www.sec.gov/Archives/edgar/data/1495320/000149532023000049/vra-2023x0803xexx101.htm" TargetMode="External"/><Relationship Id="rId115" Type="http://schemas.openxmlformats.org/officeDocument/2006/relationships/hyperlink" Target="https://www.sec.gov/Archives/edgar/data/1495320/000149532023000049/vra-20230803xex102.htm" TargetMode="External"/><Relationship Id="rId116" Type="http://schemas.openxmlformats.org/officeDocument/2006/relationships/hyperlink" Target="https://www.sec.gov/Archives/edgar/data/0001495320/000149532023000049/vra-20230803xex102.htm" TargetMode="External"/><Relationship Id="rId117" Type="http://schemas.openxmlformats.org/officeDocument/2006/relationships/hyperlink" Target="https://www.sec.gov/Archives/edgar/data/0001495320/000149532023000049/vra-20230803xex103.htm" TargetMode="External"/><Relationship Id="rId118" Type="http://schemas.openxmlformats.org/officeDocument/2006/relationships/hyperlink" Target="https://www.sec.gov/Archives/edgar/data/1495320/000149532021000036/vra-20210501xex102.htm" TargetMode="External"/><Relationship Id="rId119" Type="http://schemas.openxmlformats.org/officeDocument/2006/relationships/hyperlink" Target="https://www.sec.gov/Archives/edgar/data/1495320/000149532021000036/vra-20210501xex103.htm" TargetMode="External"/><Relationship Id="rId120" Type="http://schemas.openxmlformats.org/officeDocument/2006/relationships/hyperlink" Target="https://www.sec.gov/Archives/edgar/data/1495320/000149532022000039/ex-10120220920.htm" TargetMode="External"/><Relationship Id="rId122" Type="http://schemas.openxmlformats.org/officeDocument/2006/relationships/hyperlink" Target="https://www.sec.gov/Archives/edgar/data/1495320/000149532022000046/vra-20221029xex101.htm" TargetMode="External"/><Relationship Id="rId123" Type="http://schemas.openxmlformats.org/officeDocument/2006/relationships/hyperlink" Target="https://www.sec.gov/Archives/edgar/data/0001495320/000149532022000046/vra-20221029xex101.htm" TargetMode="External"/><Relationship Id="rId124" Type="http://schemas.openxmlformats.org/officeDocument/2006/relationships/hyperlink" Target="https://www.sec.gov/Archives/edgar/data/1495320/000149532022000026/vra-20220430xex102.htm" TargetMode="External"/><Relationship Id="rId125" Type="http://schemas.openxmlformats.org/officeDocument/2006/relationships/hyperlink" Target="https://www.sec.gov/ix?doc=/Archives/edgar/data/1495320/000119312523110460/d442568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2024-03-29T12:38:38Z</dcterms:created>
  <dcterms:modified xsi:type="dcterms:W3CDTF">2024-03-29T12:38:38Z</dcterms:modified>
</cp:coreProperties>
</file>