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30, 2016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14605</wp:posOffset>
            </wp:positionV>
            <wp:extent cx="1766570" cy="892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92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VERA BRADLEY,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9" w:right="2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300" w:space="720"/>
            <w:col w:w="160" w:space="100"/>
            <w:col w:w="3920" w:space="720"/>
            <w:col w:w="2460" w:space="720"/>
            <w:col w:w="320"/>
          </w:cols>
          <w:pgMar w:left="240" w:top="229" w:right="239" w:bottom="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ectPr>
          <w:pgSz w:w="11900" w:h="16838" w:orient="portrait"/>
          <w:cols w:equalWidth="0" w:num="2">
            <w:col w:w="8880" w:space="180"/>
            <w:col w:w="2360"/>
          </w:cols>
          <w:pgMar w:left="240" w:top="229"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registrant had 36,585,514 shares of its common stock outstanding as of August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8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9"/>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9"/>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81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8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July 30, 2016, and January 30, 2016</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for the Thirteen and Twenty-Six Weeks Ended July 30, 2016, and August 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2015</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 for the Thirteen and Twenty-Six Weeks Ended July 30, 2016,</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August 1, 2015</w:t>
              </w:r>
            </w:hyperlink>
          </w:p>
        </w:tc>
        <w:tc>
          <w:tcPr>
            <w:tcW w:w="124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Twenty-Six Weeks Ended July 30, 2016, and August 1, 2015</w:t>
              </w:r>
            </w:hyperlink>
          </w:p>
        </w:tc>
        <w:tc>
          <w:tcPr>
            <w:tcW w:w="16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60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 OTHER INFORMATION</w:t>
              </w:r>
            </w:hyperlink>
          </w:p>
        </w:tc>
        <w:tc>
          <w:tcPr>
            <w:tcW w:w="84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936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3740" w:type="dxa"/>
            <w:vAlign w:val="bottom"/>
            <w:tcBorders>
              <w:top w:val="single" w:sz="8" w:color="0000EE"/>
            </w:tcBorders>
            <w:gridSpan w:val="8"/>
          </w:tcPr>
          <w:p>
            <w:pPr>
              <w:spacing w:after="0"/>
              <w:rPr>
                <w:sz w:val="24"/>
                <w:szCs w:val="24"/>
                <w:color w:val="auto"/>
              </w:rPr>
            </w:pPr>
          </w:p>
        </w:tc>
        <w:tc>
          <w:tcPr>
            <w:tcW w:w="592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60" w:type="dxa"/>
            <w:vAlign w:val="bottom"/>
            <w:gridSpan w:val="13"/>
          </w:tcPr>
          <w:p>
            <w:pPr>
              <w:ind w:left="470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5"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continued declines in our comparable sales;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 and</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2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January 30, 2016.</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30,</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97,681</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30,051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31,294</w:t>
            </w:r>
          </w:p>
        </w:tc>
        <w:tc>
          <w:tcPr>
            <w:tcW w:w="0" w:type="dxa"/>
            <w:vAlign w:val="bottom"/>
          </w:tcPr>
          <w:p>
            <w:pPr>
              <w:spacing w:after="0"/>
              <w:rPr>
                <w:sz w:val="1"/>
                <w:szCs w:val="1"/>
                <w:color w:val="auto"/>
              </w:rPr>
            </w:pPr>
          </w:p>
        </w:tc>
      </w:tr>
      <w:tr>
        <w:trPr>
          <w:trHeight w:val="243"/>
        </w:trPr>
        <w:tc>
          <w:tcPr>
            <w:tcW w:w="1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96,547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113,590</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253,642</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114,792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113,711</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353,630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380,679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360" w:type="dxa"/>
            <w:vAlign w:val="bottom"/>
            <w:gridSpan w:val="2"/>
          </w:tcPr>
          <w:p>
            <w:pPr>
              <w:spacing w:after="0"/>
              <w:rPr>
                <w:sz w:val="4"/>
                <w:szCs w:val="4"/>
                <w:color w:val="auto"/>
              </w:rPr>
            </w:pPr>
          </w:p>
        </w:tc>
        <w:tc>
          <w:tcPr>
            <w:tcW w:w="7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17,283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24,606</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Accrued employment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14,937</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17,803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16,924</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66,552</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28,872</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75,123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95,424</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gridSpan w:val="3"/>
          </w:tcPr>
          <w:p>
            <w:pPr>
              <w:ind w:left="280"/>
              <w:spacing w:after="0"/>
              <w:rPr>
                <w:sz w:val="20"/>
                <w:szCs w:val="20"/>
                <w:color w:val="auto"/>
              </w:rPr>
            </w:pPr>
            <w:r>
              <w:rPr>
                <w:rFonts w:ascii="Arial" w:cs="Arial" w:eastAsia="Arial" w:hAnsi="Arial"/>
                <w:sz w:val="18"/>
                <w:szCs w:val="18"/>
                <w:color w:val="auto"/>
                <w:w w:val="93"/>
              </w:rPr>
              <w:t>Common stock, without par value; 200,000 shares authorized, 40,911 and 40,804 shares issued and 36,817</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and 37,701 shares outstanding, respectively</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85,436</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251,536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244,009</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Treasury stock</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(44,147)</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285,255</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353,630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380,679</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30,</w:t>
            </w:r>
          </w:p>
        </w:tc>
        <w:tc>
          <w:tcPr>
            <w:tcW w:w="28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1,</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30,</w:t>
            </w:r>
          </w:p>
        </w:tc>
        <w:tc>
          <w:tcPr>
            <w:tcW w:w="280" w:type="dxa"/>
            <w:vAlign w:val="bottom"/>
          </w:tcPr>
          <w:p>
            <w:pPr>
              <w:spacing w:after="0"/>
              <w:rPr>
                <w:sz w:val="13"/>
                <w:szCs w:val="13"/>
                <w:color w:val="auto"/>
              </w:rPr>
            </w:pPr>
          </w:p>
        </w:tc>
        <w:tc>
          <w:tcPr>
            <w:tcW w:w="1200" w:type="dxa"/>
            <w:vAlign w:val="bottom"/>
          </w:tcPr>
          <w:p>
            <w:pPr>
              <w:jc w:val="right"/>
              <w:ind w:right="372"/>
              <w:spacing w:after="0" w:line="153" w:lineRule="exact"/>
              <w:rPr>
                <w:sz w:val="20"/>
                <w:szCs w:val="20"/>
                <w:color w:val="auto"/>
              </w:rPr>
            </w:pPr>
            <w:r>
              <w:rPr>
                <w:rFonts w:ascii="Arial" w:cs="Arial" w:eastAsia="Arial" w:hAnsi="Arial"/>
                <w:sz w:val="14"/>
                <w:szCs w:val="14"/>
                <w:b w:val="1"/>
                <w:bCs w:val="1"/>
                <w:color w:val="auto"/>
              </w:rPr>
              <w:t>August 1,</w:t>
            </w:r>
          </w:p>
        </w:tc>
      </w:tr>
      <w:tr>
        <w:trPr>
          <w:trHeight w:val="192"/>
        </w:trPr>
        <w:tc>
          <w:tcPr>
            <w:tcW w:w="5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119,245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221,828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50,857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54,170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96,382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103,580</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68,388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60,305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116,681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114,963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4,515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4,366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2,787</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5,109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1,579</w:t>
            </w:r>
          </w:p>
        </w:tc>
      </w:tr>
      <w:tr>
        <w:trPr>
          <w:trHeight w:val="67"/>
        </w:trPr>
        <w:tc>
          <w:tcPr>
            <w:tcW w:w="51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37,113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37,419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39,606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0.04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5"/>
          </w:tcPr>
          <w:p>
            <w:pPr>
              <w:jc w:val="right"/>
              <w:ind w:right="757"/>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1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30,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1,</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30,</w:t>
            </w:r>
          </w:p>
        </w:tc>
        <w:tc>
          <w:tcPr>
            <w:tcW w:w="280" w:type="dxa"/>
            <w:vAlign w:val="bottom"/>
          </w:tcPr>
          <w:p>
            <w:pPr>
              <w:spacing w:after="0"/>
              <w:rPr>
                <w:sz w:val="13"/>
                <w:szCs w:val="13"/>
                <w:color w:val="auto"/>
              </w:rPr>
            </w:pPr>
          </w:p>
        </w:tc>
        <w:tc>
          <w:tcPr>
            <w:tcW w:w="120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August 1,</w:t>
            </w:r>
          </w:p>
        </w:tc>
      </w:tr>
      <w:tr>
        <w:trPr>
          <w:trHeight w:val="192"/>
        </w:trPr>
        <w:tc>
          <w:tcPr>
            <w:tcW w:w="5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5,109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5,101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30,</w:t>
            </w:r>
          </w:p>
        </w:tc>
        <w:tc>
          <w:tcPr>
            <w:tcW w:w="280" w:type="dxa"/>
            <w:vAlign w:val="bottom"/>
          </w:tcPr>
          <w:p>
            <w:pPr>
              <w:spacing w:after="0"/>
              <w:rPr>
                <w:sz w:val="13"/>
                <w:szCs w:val="13"/>
                <w:color w:val="auto"/>
              </w:rPr>
            </w:pPr>
          </w:p>
        </w:tc>
        <w:tc>
          <w:tcPr>
            <w:tcW w:w="120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August 1,</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1,579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9,555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9,904</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436</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2,515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Gain on short-term investment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(1,982)</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(15,359)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Proceeds from disposal of property, plant, and equipment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(15,359)</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(19,364)</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(19,894)</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0"/>
        </w:trPr>
        <w:tc>
          <w:tcPr>
            <w:tcW w:w="8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016" w:gutter="0" w:footer="0" w:header="0"/>
        </w:sect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beginning of period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jc w:val="both"/>
        <w:ind w:left="800"/>
        <w:spacing w:after="0"/>
        <w:tabs>
          <w:tab w:leader="none" w:pos="2360" w:val="left"/>
        </w:tabs>
        <w:rPr>
          <w:sz w:val="20"/>
          <w:szCs w:val="20"/>
          <w:color w:val="auto"/>
        </w:rPr>
      </w:pPr>
      <w:r>
        <w:rPr>
          <w:rFonts w:ascii="Arial" w:cs="Arial" w:eastAsia="Arial" w:hAnsi="Arial"/>
          <w:sz w:val="18"/>
          <w:szCs w:val="18"/>
          <w:color w:val="auto"/>
        </w:rPr>
        <w:t>(42,225)</w:t>
      </w:r>
      <w:r>
        <w:rPr>
          <w:sz w:val="20"/>
          <w:szCs w:val="20"/>
          <w:color w:val="auto"/>
        </w:rPr>
        <w:tab/>
      </w:r>
      <w:r>
        <w:rPr>
          <w:rFonts w:ascii="Arial" w:cs="Arial" w:eastAsia="Arial" w:hAnsi="Arial"/>
          <w:sz w:val="18"/>
          <w:szCs w:val="18"/>
          <w:color w:val="auto"/>
        </w:rPr>
        <w:t>(36,250)</w:t>
      </w:r>
    </w:p>
    <w:p>
      <w:pPr>
        <w:spacing w:after="0" w:line="63" w:lineRule="exact"/>
        <w:rPr>
          <w:sz w:val="20"/>
          <w:szCs w:val="20"/>
          <w:color w:val="auto"/>
        </w:rPr>
      </w:pPr>
    </w:p>
    <w:p>
      <w:pPr>
        <w:ind w:left="860"/>
        <w:spacing w:after="0"/>
        <w:tabs>
          <w:tab w:leader="none" w:pos="2340" w:val="left"/>
        </w:tabs>
        <w:rPr>
          <w:sz w:val="20"/>
          <w:szCs w:val="20"/>
          <w:color w:val="auto"/>
        </w:rPr>
      </w:pPr>
      <w:r>
        <w:rPr>
          <w:rFonts w:ascii="Arial" w:cs="Arial" w:eastAsia="Arial" w:hAnsi="Arial"/>
          <w:sz w:val="17"/>
          <w:szCs w:val="17"/>
          <w:color w:val="auto"/>
        </w:rPr>
        <w:t>97,681</w:t>
      </w:r>
      <w:r>
        <w:rPr>
          <w:sz w:val="20"/>
          <w:szCs w:val="20"/>
          <w:color w:val="auto"/>
        </w:rPr>
        <w:tab/>
      </w:r>
      <w:r>
        <w:rPr>
          <w:rFonts w:ascii="Arial" w:cs="Arial" w:eastAsia="Arial" w:hAnsi="Arial"/>
          <w:sz w:val="17"/>
          <w:szCs w:val="17"/>
          <w:color w:val="auto"/>
        </w:rPr>
        <w:t>112,292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39370</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8"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55,456</w:t>
        <w:tab/>
        <w:t>$</w:t>
      </w:r>
      <w:r>
        <w:rPr>
          <w:sz w:val="20"/>
          <w:szCs w:val="20"/>
          <w:color w:val="auto"/>
        </w:rPr>
        <w:tab/>
      </w:r>
      <w:r>
        <w:rPr>
          <w:rFonts w:ascii="Arial" w:cs="Arial" w:eastAsia="Arial" w:hAnsi="Arial"/>
          <w:sz w:val="16"/>
          <w:szCs w:val="16"/>
          <w:color w:val="auto"/>
        </w:rPr>
        <w:t>76,042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7660" w:space="720"/>
            <w:col w:w="3040"/>
          </w:cols>
          <w:pgMar w:left="240" w:top="121" w:right="239" w:bottom="1016"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Cash paid for income taxes, net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15,396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activity</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Expenditures incurred but not yet paid as of July 30, 2016 and August 1, 2015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Expenditures incurred but not yet paid as of January 30, 2016 and January 31, 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Expenditures incurred but not yet paid as of July 30, 2016 and August 1, 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Expenditures incurred but not yet paid as of January 30, 2016 and January 31, 2015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1" w:right="239" w:bottom="1016"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016"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the Company and Basis of Presentation</w:t>
      </w:r>
    </w:p>
    <w:p>
      <w:pPr>
        <w:spacing w:after="0" w:line="94"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terms “Company” and “Vera Bradley” refer to Vera Bradley, Inc. and its subsidiaries, except where the context requires otherwise or where otherwise indicated.</w:t>
      </w:r>
    </w:p>
    <w:p>
      <w:pPr>
        <w:spacing w:after="0" w:line="35"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July 30, 2016, the Company operated 112 full-line stores and 44 factory outlet stores. The Indirect business consists of sales of Vera Bradley products to approximately 2,600 specialty retail locations, substantially all of which are located in the United States, as well as department stores, national accounts, third-party e-commerce sites, the Company's wholesale customer in Japan, and third-party inventory liquidators.</w:t>
      </w:r>
    </w:p>
    <w:p>
      <w:pPr>
        <w:spacing w:after="0" w:line="54"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30, 2016, filed with the SEC.</w:t>
      </w:r>
    </w:p>
    <w:p>
      <w:pPr>
        <w:spacing w:after="0" w:line="23"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July 30, 2016, are not necessarily indicative of the results to be expected for the full fiscal year.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July 30, 2016, and August 1, 2015, refer to the thirteen-week periods ended on those dates. References to the fiscal year-to-date periods ended July 30, 2016, and August 1, 2015, refer to the twenty-six week periods ended on those dates.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July 30, 2016 and January 30, 2016, deferred rent liability was $12.3 million and $11.5 million, respectively, and is included within long-term liabilities on the Condensed Consolidated Balance Sheets.</w:t>
      </w:r>
    </w:p>
    <w:p>
      <w:pPr>
        <w:spacing w:after="0" w:line="188" w:lineRule="exact"/>
        <w:rPr>
          <w:sz w:val="20"/>
          <w:szCs w:val="20"/>
          <w:color w:val="auto"/>
        </w:rPr>
      </w:pPr>
    </w:p>
    <w:p>
      <w:pPr>
        <w:ind w:left="660" w:right="300"/>
        <w:spacing w:after="0" w:line="297" w:lineRule="auto"/>
        <w:rPr>
          <w:sz w:val="20"/>
          <w:szCs w:val="20"/>
          <w:color w:val="auto"/>
        </w:rPr>
      </w:pPr>
      <w:r>
        <w:rPr>
          <w:rFonts w:ascii="Arial" w:cs="Arial" w:eastAsia="Arial" w:hAnsi="Arial"/>
          <w:sz w:val="16"/>
          <w:szCs w:val="16"/>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July 30, 2016 and January 30, 2016, the deferred lease credit liability was $16.3 million and $16.2 million, respectively. Of these amounts, $2.4 million and $2.3 million is included within other accrued liabilities as of July 30,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2016 and January 30, 2016, respectively; $13.9 million is included within long-term liabilities as of July 30, 2016 and January 30, 2016.</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2016-09,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Share-Based Payment Accounting</w:t>
      </w:r>
      <w:r>
        <w:rPr>
          <w:rFonts w:ascii="Arial" w:cs="Arial" w:eastAsia="Arial" w:hAnsi="Arial"/>
          <w:sz w:val="16"/>
          <w:szCs w:val="16"/>
          <w:color w:val="auto"/>
        </w:rPr>
        <w:t>. The updated guidance changes how companies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aspects of share-based payment awards to employees, including the accounting for income taxes, forfeitures, and statutory tax withholding requirements, as well as the classification of related matters in the statement of cash flows. The standard is effective for public entities for annual periods beginning after December 15, 2016, and interim periods within those annual periods. Early adoption is permitted.</w:t>
      </w:r>
    </w:p>
    <w:p>
      <w:pPr>
        <w:spacing w:after="0" w:line="23"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The Company early adopted this standard beginning with the quarter ended April 30, 2016. The impact of the adoption of this standard was as follows:</w:t>
      </w:r>
    </w:p>
    <w:p>
      <w:pPr>
        <w:spacing w:after="0" w:line="35" w:lineRule="exact"/>
        <w:rPr>
          <w:sz w:val="20"/>
          <w:szCs w:val="20"/>
          <w:color w:val="auto"/>
        </w:rPr>
      </w:pPr>
    </w:p>
    <w:p>
      <w:pPr>
        <w:ind w:left="980" w:right="5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$63,000 of excess tax benefits was recorded through income tax expense as a discrete item for the twenty-six weeks ended July 30, 2016, adopted on a prospective basis;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excess tax benefits were combined with other income tax cash flows within operating cash flows adopted on a prospective basis; and</w:t>
      </w:r>
    </w:p>
    <w:p>
      <w:pPr>
        <w:spacing w:after="0" w:line="101" w:lineRule="exact"/>
        <w:rPr>
          <w:rFonts w:ascii="Arial" w:cs="Arial" w:eastAsia="Arial" w:hAnsi="Arial"/>
          <w:sz w:val="17"/>
          <w:szCs w:val="17"/>
          <w:color w:val="auto"/>
        </w:rPr>
      </w:pPr>
    </w:p>
    <w:p>
      <w:pPr>
        <w:ind w:left="980" w:right="3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paid by the Company when directly withholding shares to satisfy an employee's statutory tax obligations continued to be classified as a financing activity.</w:t>
      </w:r>
    </w:p>
    <w:p>
      <w:pPr>
        <w:spacing w:after="0" w:line="35" w:lineRule="exact"/>
        <w:rPr>
          <w:rFonts w:ascii="Arial" w:cs="Arial" w:eastAsia="Arial" w:hAnsi="Arial"/>
          <w:sz w:val="18"/>
          <w:szCs w:val="18"/>
          <w:color w:val="auto"/>
        </w:rPr>
      </w:pPr>
    </w:p>
    <w:p>
      <w:pPr>
        <w:ind w:left="660" w:right="880" w:hanging="4"/>
        <w:spacing w:after="0" w:line="344" w:lineRule="auto"/>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Company has elected to continue its current policy of estimating forfeitures rather than recognizing forfeitures when they occur. </w:t>
      </w:r>
      <w:r>
        <w:rPr>
          <w:rFonts w:ascii="Arial" w:cs="Arial" w:eastAsia="Arial" w:hAnsi="Arial"/>
          <w:sz w:val="18"/>
          <w:szCs w:val="18"/>
          <w:i w:val="1"/>
          <w:iCs w:val="1"/>
          <w:color w:val="auto"/>
        </w:rPr>
        <w:t>Recently Issued Accounting Pronouncements Not Yet Adopted</w:t>
      </w:r>
    </w:p>
    <w:p>
      <w:pPr>
        <w:spacing w:after="0" w:line="1" w:lineRule="exact"/>
        <w:rPr>
          <w:sz w:val="20"/>
          <w:szCs w:val="20"/>
          <w:color w:val="auto"/>
        </w:rPr>
      </w:pPr>
    </w:p>
    <w:p>
      <w:pPr>
        <w:ind w:left="660" w:right="8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fiscal 2019. Earlier application is permitted as of the original effective date, annual reporting periods beginning after December 2016, including interim periods within that reporting period. The Company is currently evaluating the impact of this standard, including the transition method, on its consolidated results of operations, financial position and cash flows.</w:t>
      </w:r>
    </w:p>
    <w:p>
      <w:pPr>
        <w:spacing w:after="0" w:line="47"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w:t>
      </w:r>
      <w:r>
        <w:rPr>
          <w:rFonts w:ascii="Arial" w:cs="Arial" w:eastAsia="Arial" w:hAnsi="Arial"/>
          <w:sz w:val="18"/>
          <w:szCs w:val="18"/>
          <w:color w:val="auto"/>
        </w:rPr>
        <w:t>, which requires entities to measure inventory at the lower of cost and net realizable value. This guidance is effective for interim and annual periods beginning on or after December 15, 2016. The Company is currently evaluating this guidance and does not expect the application of this standard to have a material impact on the Company’s Consolidated Financial Statements upon adoption.</w:t>
      </w:r>
    </w:p>
    <w:p>
      <w:pPr>
        <w:spacing w:after="0" w:line="22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The Company is currently evaluating the impact of the standard on its Consolidated Financial Statements.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94" w:lineRule="exact"/>
        <w:rPr>
          <w:sz w:val="20"/>
          <w:szCs w:val="20"/>
          <w:color w:val="auto"/>
        </w:rPr>
      </w:pPr>
    </w:p>
    <w:p>
      <w:pPr>
        <w:ind w:left="660" w:right="80"/>
        <w:spacing w:after="0" w:line="279" w:lineRule="auto"/>
        <w:rPr>
          <w:sz w:val="20"/>
          <w:szCs w:val="20"/>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July 30,</w:t>
            </w:r>
          </w:p>
        </w:tc>
        <w:tc>
          <w:tcPr>
            <w:tcW w:w="18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August 1,</w:t>
            </w:r>
          </w:p>
        </w:tc>
        <w:tc>
          <w:tcPr>
            <w:tcW w:w="24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30,</w:t>
            </w:r>
          </w:p>
        </w:tc>
        <w:tc>
          <w:tcPr>
            <w:tcW w:w="220" w:type="dxa"/>
            <w:vAlign w:val="bottom"/>
          </w:tcPr>
          <w:p>
            <w:pPr>
              <w:spacing w:after="0"/>
              <w:rPr>
                <w:sz w:val="13"/>
                <w:szCs w:val="13"/>
                <w:color w:val="auto"/>
              </w:rPr>
            </w:pPr>
          </w:p>
        </w:tc>
        <w:tc>
          <w:tcPr>
            <w:tcW w:w="100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August 1,</w:t>
            </w:r>
          </w:p>
        </w:tc>
      </w:tr>
      <w:tr>
        <w:trPr>
          <w:trHeight w:val="192"/>
        </w:trPr>
        <w:tc>
          <w:tcPr>
            <w:tcW w:w="5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1,579</w:t>
            </w: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0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37,030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39,315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37,288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39,600</w:t>
            </w: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37,113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39,328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37,419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39,606</w:t>
            </w:r>
          </w:p>
        </w:tc>
      </w:tr>
      <w:tr>
        <w:trPr>
          <w:trHeight w:val="67"/>
        </w:trPr>
        <w:tc>
          <w:tcPr>
            <w:tcW w:w="5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0.04</w:t>
            </w: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0.04</w:t>
            </w:r>
          </w:p>
        </w:tc>
      </w:tr>
      <w:tr>
        <w:trPr>
          <w:trHeight w:val="27"/>
        </w:trPr>
        <w:tc>
          <w:tcPr>
            <w:tcW w:w="5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of July 30, 2016 and August 1, 2015, there were an immaterial number of additional shares issuable upon the vesting of restricted stock units that were excluded from the diluted share calculations because they were anti-dilutive.</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of Financial Instruments</w:t>
      </w:r>
    </w:p>
    <w:p>
      <w:pPr>
        <w:spacing w:after="0" w:line="94"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carrying amounts reflected on the Condensed Consolidated Balance Sheets for cash and cash equivalents, receivables, other current assets, and payables as of July 30, 2016, and January 30, 2016, approximated their fair values.</w:t>
      </w:r>
    </w:p>
    <w:p>
      <w:pPr>
        <w:spacing w:after="0" w:line="35"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Short-term investments consist of a certificate of deposit with an original maturity of one year and a one-time option to accelerate maturity to 31 days without penalty. The initial investment was $30.0 million and the Company has the positive intent and ability to hold the certificate of deposit to maturity. The accrued interest on the certificate of deposit is recognized in interest expense, net, in the Company's Condensed Consolidated Financial Statements. Due to the observable inputs, the certificate of deposit approximated its fair value as of July 30, 2016, and is classified within Level 2 of the fair value hierarchy.</w:t>
      </w:r>
    </w:p>
    <w:p>
      <w:pPr>
        <w:spacing w:after="0" w:line="53" w:lineRule="exact"/>
        <w:rPr>
          <w:sz w:val="20"/>
          <w:szCs w:val="20"/>
          <w:color w:val="auto"/>
        </w:rPr>
      </w:pPr>
    </w:p>
    <w:p>
      <w:pPr>
        <w:ind w:left="660" w:right="560"/>
        <w:spacing w:after="0" w:line="308" w:lineRule="auto"/>
        <w:rPr>
          <w:sz w:val="20"/>
          <w:szCs w:val="20"/>
          <w:color w:val="auto"/>
        </w:rPr>
      </w:pPr>
      <w:r>
        <w:rPr>
          <w:rFonts w:ascii="Arial" w:cs="Arial" w:eastAsia="Arial" w:hAnsi="Arial"/>
          <w:sz w:val="17"/>
          <w:szCs w:val="17"/>
          <w:color w:val="auto"/>
        </w:rPr>
        <w:t>The Company has certain assets that are measured on a non-recurring basis under circumstances and events described in Note 10 herein. The categorization of the framework to price these assets are level 3 due to subjective nature of unobservable inputs.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1"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were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30,</w:t>
            </w:r>
          </w:p>
        </w:tc>
        <w:tc>
          <w:tcPr>
            <w:tcW w:w="220" w:type="dxa"/>
            <w:vAlign w:val="bottom"/>
          </w:tcPr>
          <w:p>
            <w:pPr>
              <w:spacing w:after="0"/>
              <w:rPr>
                <w:sz w:val="14"/>
                <w:szCs w:val="14"/>
                <w:color w:val="auto"/>
              </w:rPr>
            </w:pPr>
          </w:p>
        </w:tc>
        <w:tc>
          <w:tcPr>
            <w:tcW w:w="1180" w:type="dxa"/>
            <w:vAlign w:val="bottom"/>
          </w:tcPr>
          <w:p>
            <w:pPr>
              <w:jc w:val="right"/>
              <w:ind w:right="277"/>
              <w:spacing w:after="0"/>
              <w:rPr>
                <w:sz w:val="20"/>
                <w:szCs w:val="20"/>
                <w:color w:val="auto"/>
              </w:rPr>
            </w:pPr>
            <w:r>
              <w:rPr>
                <w:rFonts w:ascii="Arial" w:cs="Arial" w:eastAsia="Arial" w:hAnsi="Arial"/>
                <w:sz w:val="14"/>
                <w:szCs w:val="14"/>
                <w:b w:val="1"/>
                <w:bCs w:val="1"/>
                <w:color w:val="auto"/>
              </w:rPr>
              <w:t>January 30,</w:t>
            </w:r>
          </w:p>
        </w:tc>
      </w:tr>
      <w:tr>
        <w:trPr>
          <w:trHeight w:val="192"/>
        </w:trPr>
        <w:tc>
          <w:tcPr>
            <w:tcW w:w="7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96,547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113,439</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96,547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113,590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Debt</w:t>
      </w:r>
    </w:p>
    <w:p>
      <w:pPr>
        <w:spacing w:after="0" w:line="94"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the Company's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54" w:lineRule="exact"/>
        <w:rPr>
          <w:sz w:val="20"/>
          <w:szCs w:val="20"/>
          <w:color w:val="auto"/>
        </w:rPr>
      </w:pPr>
    </w:p>
    <w:p>
      <w:pPr>
        <w:ind w:left="660" w:right="360"/>
        <w:spacing w:after="0" w:line="293" w:lineRule="auto"/>
        <w:rPr>
          <w:sz w:val="20"/>
          <w:szCs w:val="20"/>
          <w:color w:val="auto"/>
        </w:rPr>
      </w:pPr>
      <w:r>
        <w:rPr>
          <w:rFonts w:ascii="Arial" w:cs="Arial" w:eastAsia="Arial" w:hAnsi="Arial"/>
          <w:sz w:val="16"/>
          <w:szCs w:val="16"/>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w:t>
      </w:r>
    </w:p>
    <w:p>
      <w:pPr>
        <w:spacing w:after="0" w:line="3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6"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July 30, 2016 and January 30, 2016, the Company had borrowing availability of $125.0 million under its Credit Agreement.</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ind w:left="660" w:right="220"/>
        <w:spacing w:after="0" w:line="308" w:lineRule="auto"/>
        <w:rPr>
          <w:sz w:val="20"/>
          <w:szCs w:val="20"/>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140"/>
        <w:spacing w:after="0" w:line="334" w:lineRule="auto"/>
        <w:rPr>
          <w:sz w:val="20"/>
          <w:szCs w:val="20"/>
          <w:color w:val="auto"/>
        </w:rPr>
      </w:pPr>
      <w:r>
        <w:rPr>
          <w:rFonts w:ascii="Arial" w:cs="Arial" w:eastAsia="Arial" w:hAnsi="Arial"/>
          <w:sz w:val="16"/>
          <w:szCs w:val="16"/>
          <w:color w:val="auto"/>
        </w:rPr>
        <w:t>The effective tax rate for the thirteen weeks ended July 30, 2016, was 38.0%, compared to 39.3% for the thirteen weeks ended August 1, 2015. The year-over year decrease is primarily due to the relative impact of permanent items in the current-year period as compared to the prior-year period.</w:t>
      </w:r>
    </w:p>
    <w:p>
      <w:pPr>
        <w:spacing w:after="0" w:line="1"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The effective tax rate for the twenty-six weeks ended July 30, 2016, was 37.5%, compared to 63.8% for the twenty-six weeks ended August 1, 2015. The year-over year decrease is primarily due to an increase in income before income taxes in the current-year period, partially offset by the relative impact of permanent items. The current-year period rate was also positively impacted by a discrete item related to an excess tax benefit from share-based payments as a result of the early adoption of ASU 2016-09, as further described in Note 1 herein. In addition, the prior-year period rate was impacted by an income tax reserve for uncertain tax positions.</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Stock-Based Compensation</w:t>
      </w:r>
    </w:p>
    <w:p>
      <w:pPr>
        <w:spacing w:after="0" w:line="9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3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171" w:lineRule="exact"/>
        <w:rPr>
          <w:sz w:val="20"/>
          <w:szCs w:val="20"/>
          <w:color w:val="auto"/>
        </w:rPr>
      </w:pPr>
    </w:p>
    <w:p>
      <w:pPr>
        <w:ind w:left="660" w:right="320"/>
        <w:spacing w:after="0" w:line="312" w:lineRule="auto"/>
        <w:rPr>
          <w:sz w:val="20"/>
          <w:szCs w:val="20"/>
          <w:color w:val="auto"/>
        </w:rPr>
      </w:pPr>
      <w:r>
        <w:rPr>
          <w:rFonts w:ascii="Arial" w:cs="Arial" w:eastAsia="Arial" w:hAnsi="Arial"/>
          <w:sz w:val="16"/>
          <w:szCs w:val="16"/>
          <w:color w:val="auto"/>
        </w:rPr>
        <w:t>During the thirteen weeks ended July 30, 2016, the Company granted 106,984 time-based and performance-based restricted stock units with an aggregate fair value of $1.6 million to certain employees under the 2010 Equity and Incentive Plan compared to a total of 36,001 time-based and performance-based restricted stock units with an aggregate fair value of $0.5 million granted in the same period of the prior year.</w:t>
      </w:r>
    </w:p>
    <w:p>
      <w:pPr>
        <w:spacing w:after="0" w:line="93" w:lineRule="exact"/>
        <w:rPr>
          <w:sz w:val="20"/>
          <w:szCs w:val="20"/>
          <w:color w:val="auto"/>
        </w:rPr>
      </w:pPr>
    </w:p>
    <w:p>
      <w:pPr>
        <w:ind w:left="660" w:right="140"/>
        <w:spacing w:after="0" w:line="302" w:lineRule="auto"/>
        <w:rPr>
          <w:sz w:val="20"/>
          <w:szCs w:val="20"/>
          <w:color w:val="auto"/>
        </w:rPr>
      </w:pPr>
      <w:r>
        <w:rPr>
          <w:rFonts w:ascii="Arial" w:cs="Arial" w:eastAsia="Arial" w:hAnsi="Arial"/>
          <w:sz w:val="16"/>
          <w:szCs w:val="16"/>
          <w:color w:val="auto"/>
        </w:rPr>
        <w:t>During the twenty-six weeks ended July 30, 2016, the Company granted 402,132 time-based and performance-based restricted stock units with an aggregate fair value of $7.4 million to certain employees and non-employee directors under the 2010 Equity and Incentive Plan compared to a total of 598,361 time-based and performance-based restricted stock units with an aggregate fair value of $9.5 million granted in the same period of the prior year. The Company determined the fair value of the awards based on the closing price of the Company’s common stock on the grant date.</w:t>
      </w:r>
    </w:p>
    <w:p>
      <w:pPr>
        <w:spacing w:after="0" w:line="100"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3"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sets forth a summary of restricted stock unit activity for the twenty-six weeks ended July 30, 2016 (units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30, 2016</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July 30, 2016</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505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As of July 30, 2016, there was $9.0 million of total unrecognized compensation cost, net of estimated forfeitures, related to nonvested restricted stock units. That cost is expected to be recognized over a weighted-average period of 1.9 years.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ind w:left="660" w:right="160"/>
        <w:spacing w:after="0" w:line="255" w:lineRule="auto"/>
        <w:rPr>
          <w:sz w:val="20"/>
          <w:szCs w:val="20"/>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claims, employee benefits, environmental,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1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Common Stock</w:t>
      </w:r>
    </w:p>
    <w:p>
      <w:pPr>
        <w:spacing w:after="0" w:line="94"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color w:val="auto"/>
        </w:rPr>
        <w:t>On December 8, 2015, the Company's board of directors approved a share repurchase program (the “2015 Share Repurchase Program”) authorizing up to $50.0 million of repurchases of shares of the Company's common stock. The 2015 Share Repurchase Program expires in December 2017. The prior share repurchase program (the “2014 Share Repurchase Program”) was approved by the board of directors on September 9, 2014, and authorized share repurchases up to $40.0 million. The 2014 Share Repurchase Program was completed in fiscal 2016.</w:t>
      </w:r>
    </w:p>
    <w:p>
      <w:pPr>
        <w:spacing w:after="0" w:line="19"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The Company purchased 992,131 shares at an average price of $15.81 per share, excluding commissions, for an aggregate amount of $15.7 million during the twenty-six weeks ended July 30, 2016, under the 2015 Share Repurchase Program. As of July 30, 2016, there was $30.2 million remaining available to repurchase shares of the Company's common stock under the 2015 Share Repurchase Program.</w:t>
      </w:r>
    </w:p>
    <w:p>
      <w:pPr>
        <w:spacing w:after="0" w:line="111"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As of July 30, 2016, the Company held as treasury shares 4,094,483 shares of its common stock at an average price of $14.61 per share, excluding commissions, for an aggregate carrying amount of $59.8 million. The Company’s treasury shares may be issued under the 2010 Equity and Incentive Plan or for other corporate purposes.</w:t>
      </w:r>
    </w:p>
    <w:p>
      <w:pPr>
        <w:spacing w:after="0" w:line="2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Property, Plant, and Equipment</w:t>
      </w:r>
    </w:p>
    <w:p>
      <w:pPr>
        <w:spacing w:after="0" w:line="94" w:lineRule="exact"/>
        <w:rPr>
          <w:sz w:val="20"/>
          <w:szCs w:val="20"/>
          <w:color w:val="auto"/>
        </w:rPr>
      </w:pPr>
    </w:p>
    <w:p>
      <w:pPr>
        <w:ind w:left="660" w:right="200"/>
        <w:spacing w:after="0" w:line="297" w:lineRule="auto"/>
        <w:rPr>
          <w:sz w:val="20"/>
          <w:szCs w:val="20"/>
          <w:color w:val="auto"/>
        </w:rPr>
      </w:pPr>
      <w:r>
        <w:rPr>
          <w:rFonts w:ascii="Arial" w:cs="Arial" w:eastAsia="Arial" w:hAnsi="Arial"/>
          <w:sz w:val="16"/>
          <w:szCs w:val="16"/>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in Note 2 to the Company’s Consolidated Financial Statements in the Company’s Annual Report on Form 10-K for the fiscal year ended January 30, 2016. An impairment charge of $1.6 million was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1"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recognized, using level 3 inputs, for the thirteen and twenty-six weeks ended July 30, 2016, for assets related to underperforming stores and is included in selling, general, and administrative expenses in the Condensed Consolidated Statements of Income and in impairment charges in the Condensed Consolidated Statements of Cash Flows. The impairment charges are included in the Direct segment. There were no impairment charges recognized in the comparable prior-year periods.</w:t>
      </w:r>
    </w:p>
    <w:p>
      <w:pPr>
        <w:spacing w:after="0" w:line="2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Restructuring and Other Charges</w:t>
      </w:r>
    </w:p>
    <w:p>
      <w:pPr>
        <w:spacing w:after="0" w:line="94"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In the first quarter of fiscal 2016, the Company closed its manufacturing facility located in New Haven, Indiana. The Company incurred restructuring and other charges during the first quarter of fiscal 2016 of approximately $3.4 million ($2.1 million after the associated tax benefit), related to the facility closing. These charges included:</w:t>
      </w:r>
    </w:p>
    <w:p>
      <w:pPr>
        <w:spacing w:after="0" w:line="46"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Severance and benefit costs of approximately $1.7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termination costs of approximately $0.7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Inventory-related charges of approximately $0.6 million; and</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associated net costs, which include accelerated depreciation related to fixed assets, of approximately $0.4 million.</w:t>
      </w:r>
    </w:p>
    <w:p>
      <w:pPr>
        <w:spacing w:after="0" w:line="90"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These charges are reflected in cost of sales in the Company's Condensed Consolidated Financial Statements. Management expects that the facility closure will reduce operating costs by approximately $12.0 million annually. All production from the facility was absorbed by the Company’s third-party manufacturing suppliers. There are no remaining liabilities associated with the facility closure.</w:t>
      </w:r>
    </w:p>
    <w:p>
      <w:pPr>
        <w:spacing w:after="0" w:line="127"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Additional charges, incurred in the first quarter of fiscal 2016, affecting comparability of the financial results totaled approximately $1.8 million ($1.3 million after the associated tax benefit). These charges included:</w:t>
      </w:r>
    </w:p>
    <w:p>
      <w:pPr>
        <w:spacing w:after="0" w:line="116" w:lineRule="exact"/>
        <w:rPr>
          <w:sz w:val="20"/>
          <w:szCs w:val="20"/>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$1.2 million due to a retail store early lease termination agreement (reflected in selling, general, and administrative expenses) and</w:t>
      </w:r>
    </w:p>
    <w:p>
      <w:pPr>
        <w:spacing w:after="0" w:line="90" w:lineRule="exact"/>
        <w:rPr>
          <w:rFonts w:ascii="Arial" w:cs="Arial" w:eastAsia="Arial" w:hAnsi="Arial"/>
          <w:sz w:val="18"/>
          <w:szCs w:val="18"/>
          <w:color w:val="auto"/>
        </w:rPr>
      </w:pPr>
    </w:p>
    <w:p>
      <w:pPr>
        <w:ind w:left="980" w:right="1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$0.6 million related to an increase in income tax reserves for uncertain federal and state tax positions related to research and development tax credits (reflected in income tax expense).</w:t>
      </w:r>
    </w:p>
    <w:p>
      <w:pPr>
        <w:spacing w:after="0" w:line="166"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94"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Short-term investments consist of a certificate of deposit with an original maturity of one year and a one-time option to accelerate maturity to 31 days without penalty. Interest income from the investment is included in interest expense, net, in the Company's Condensed Consolidated Financial Statements. The Company’s objective with respect to this investment is to earn a higher rate of return on funds that are otherwise not anticipated to be required to meet liquidity needs in the near term while maintaining a low level of investment risk with the positive intent and ability to hold this investment to maturity. As of July 30, 2016, the Company held $30.1 million in short-term investments. The Company did not have short-term investments as of January 30, 2016.</w:t>
      </w:r>
    </w:p>
    <w:p>
      <w:pPr>
        <w:spacing w:after="0" w:line="2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Segment Reporting</w:t>
      </w:r>
    </w:p>
    <w:p>
      <w:pPr>
        <w:spacing w:after="0" w:line="94"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w:t>
      </w:r>
    </w:p>
    <w:p>
      <w:pPr>
        <w:spacing w:after="0" w:line="46"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color w:val="auto"/>
        </w:rPr>
        <w:t>The Indirect segment represents revenues generated through the distribution of Company-branded products to specialty retailers representing approximately 2,600 locations, substantially all of which are located in the United States, as well as key accounts, which include department stores, national accounts, third-party e-commerce sites, the Company's wholesale customer in Japan, and third-party inventory liquidators.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21"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merchandising, and various other corporate-level-activity-related expenses. All intercompany-related activities are eliminated in consolidation and are excluded from the segment reporting.</w:t>
      </w:r>
    </w:p>
    <w:p>
      <w:pPr>
        <w:spacing w:after="0" w:line="46"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twenty-six weeks ended July 30, 2016 and August 1, 2015, respectively, consisted of the following (in thousands):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3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right"/>
              <w:ind w:right="494"/>
              <w:spacing w:after="0" w:line="15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1,</w:t>
            </w:r>
          </w:p>
        </w:tc>
        <w:tc>
          <w:tcPr>
            <w:tcW w:w="3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30,</w:t>
            </w:r>
          </w:p>
        </w:tc>
        <w:tc>
          <w:tcPr>
            <w:tcW w:w="300" w:type="dxa"/>
            <w:vAlign w:val="bottom"/>
          </w:tcPr>
          <w:p>
            <w:pPr>
              <w:spacing w:after="0"/>
              <w:rPr>
                <w:sz w:val="13"/>
                <w:szCs w:val="13"/>
                <w:color w:val="auto"/>
              </w:rPr>
            </w:pPr>
          </w:p>
        </w:tc>
        <w:tc>
          <w:tcPr>
            <w:tcW w:w="1300" w:type="dxa"/>
            <w:vAlign w:val="bottom"/>
          </w:tcPr>
          <w:p>
            <w:pPr>
              <w:jc w:val="right"/>
              <w:ind w:right="433"/>
              <w:spacing w:after="0" w:line="153" w:lineRule="exact"/>
              <w:rPr>
                <w:sz w:val="20"/>
                <w:szCs w:val="20"/>
                <w:color w:val="auto"/>
              </w:rPr>
            </w:pPr>
            <w:r>
              <w:rPr>
                <w:rFonts w:ascii="Arial" w:cs="Arial" w:eastAsia="Arial" w:hAnsi="Arial"/>
                <w:sz w:val="14"/>
                <w:szCs w:val="14"/>
                <w:b w:val="1"/>
                <w:bCs w:val="1"/>
                <w:color w:val="auto"/>
              </w:rPr>
              <w:t>August 1,</w:t>
            </w:r>
          </w:p>
        </w:tc>
      </w:tr>
      <w:tr>
        <w:trPr>
          <w:trHeight w:val="192"/>
        </w:trPr>
        <w:tc>
          <w:tcPr>
            <w:tcW w:w="3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87,241</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83,775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160,187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154,208</w:t>
            </w:r>
          </w:p>
        </w:tc>
      </w:tr>
      <w:tr>
        <w:trPr>
          <w:trHeight w:val="27"/>
        </w:trPr>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67,620</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119,245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120,724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224,426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221,828</w:t>
            </w:r>
          </w:p>
        </w:tc>
      </w:tr>
      <w:tr>
        <w:trPr>
          <w:trHeight w:val="67"/>
        </w:trPr>
        <w:tc>
          <w:tcPr>
            <w:tcW w:w="3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18,149</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16,557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30,286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24,584</w:t>
            </w:r>
          </w:p>
        </w:tc>
      </w:tr>
      <w:tr>
        <w:trPr>
          <w:trHeight w:val="27"/>
        </w:trPr>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24,692</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30,157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31,345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49,276</w:t>
            </w:r>
          </w:p>
        </w:tc>
      </w:tr>
      <w:tr>
        <w:trPr>
          <w:trHeight w:val="67"/>
        </w:trPr>
        <w:tc>
          <w:tcPr>
            <w:tcW w:w="3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30,157</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31,345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54,892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49,276</w:t>
            </w:r>
          </w:p>
        </w:tc>
      </w:tr>
      <w:tr>
        <w:trPr>
          <w:trHeight w:val="27"/>
        </w:trPr>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(44,761)</w:t>
            </w:r>
          </w:p>
        </w:tc>
      </w:tr>
      <w:tr>
        <w:trPr>
          <w:trHeight w:val="27"/>
        </w:trPr>
        <w:tc>
          <w:tcPr>
            <w:tcW w:w="3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8,303</w:t>
            </w:r>
          </w:p>
        </w:tc>
        <w:tc>
          <w:tcPr>
            <w:tcW w:w="4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4,515</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9"/>
              </w:rPr>
              <w:t>15</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following discussion summarizes the significant factors affecting the condensed consolidated operating results, financial condition, liquidity, and cash flows of the Company as of and for the thirteen and twenty-six weeks ended July 30, 2016 and August 1, 2015. The following discussion should be read in conjunction with our Annual Report on Form 10-K for the fiscal year ended January 30, 2016, and our unaudited condensed consolidated financial statements and the related notes included in Item 1 of this Quarterly Report. The results of operations for the thirteen and twenty-six weeks ended July 30, 2016, are not necessarily indicative of the results to be expected for the full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second quarter of fiscal 2017: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jc w:val="both"/>
        <w:ind w:left="980" w:right="24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opened a full-line store in the Disney Springs center in Orlando, Florida and new factory outlet stores located in Auburn Hills, Michigan; Columbus, Ohio; and Branson, Missouri during the second quarter. Our Disney Springs full-line store features a mix of our core products and Disney-themed Vera Bradley offerings.</w:t>
      </w:r>
    </w:p>
    <w:p>
      <w:pPr>
        <w:spacing w:after="0" w:line="46"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continuing to work with our store teams to drive traffic and sales through enhancing our selling-and-service culture, as well as focusing on customer and community outreach.</w:t>
      </w:r>
    </w:p>
    <w:p>
      <w:pPr>
        <w:spacing w:after="0" w:line="35"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continuing to reinvigorate and modernize our product assortment with new materials, patterns, styles, silhouettes, hardware, and functionality.</w:t>
      </w:r>
    </w:p>
    <w:p>
      <w:pPr>
        <w:spacing w:after="0" w:line="35"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continuing work on the redesign and conversion of verabradley.com to a new platform, creating a dynamic digital flagship which is expected to launch later in fiscal 2017. The new site will offer a number of enhancements including, among others, the ability to strategically segment and personalize messaging, express check-out, and “order on-line, pickup in-store.”</w:t>
      </w:r>
    </w:p>
    <w:p>
      <w:pPr>
        <w:spacing w:after="0" w:line="46"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positioning for additional department store growth by adding more distribution points and by increasing the productivity of our existing doors through editing and curating assortments by location, adding more floor space where appropriate, and delivering visual consistency across locations.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second quarter of fiscal 2016)</w:t>
      </w:r>
    </w:p>
    <w:p>
      <w:pPr>
        <w:spacing w:after="0" w:line="9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decreased 1.2% to $119.2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segment sales increased 4.1% to $87.2 million. Comparable sales (including e-commerce) decreased 5.7%.</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Indirect segment sales decreased 13.4% to $32.0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was $68.4 million, or 57.4%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was $8.3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was $5.1 million, or $0.14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and short-term investments were $85.5 million at July 30, 2016.</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for the twenty-six weeks totaled $11.7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Repurchases of common stock for the thirteen weeks totaled $10.0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reflect sales of our merchandise and revenue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third-party e-commerce sites, our wholesale customer in Japan, and third-party inventory liquidators.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Comparable sales (including e-commerce)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both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Levels of mall and e-commerce traffic;</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income is equal to gross profit less SG&amp;A expenses plus other income. Operating income excludes interest income, interest expense, and income taxes.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1"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is equal to operating income less net interest expense and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4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30,</w:t>
            </w:r>
          </w:p>
        </w:tc>
        <w:tc>
          <w:tcPr>
            <w:tcW w:w="30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1,</w:t>
            </w:r>
          </w:p>
        </w:tc>
        <w:tc>
          <w:tcPr>
            <w:tcW w:w="30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30,</w:t>
            </w:r>
          </w:p>
        </w:tc>
        <w:tc>
          <w:tcPr>
            <w:tcW w:w="280" w:type="dxa"/>
            <w:vAlign w:val="bottom"/>
          </w:tcPr>
          <w:p>
            <w:pPr>
              <w:spacing w:after="0"/>
              <w:rPr>
                <w:sz w:val="13"/>
                <w:szCs w:val="13"/>
                <w:color w:val="auto"/>
              </w:rPr>
            </w:pPr>
          </w:p>
        </w:tc>
        <w:tc>
          <w:tcPr>
            <w:tcW w:w="126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August 1,</w:t>
            </w:r>
          </w:p>
        </w:tc>
      </w:tr>
      <w:tr>
        <w:trPr>
          <w:trHeight w:val="192"/>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4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119,245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120,724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224,426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221,828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50,857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54,170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96,382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103,580</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128,044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118,248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60,305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57,351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116,681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114,963</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1,230</w:t>
            </w: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9,486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4,515</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149</w:t>
            </w: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9,414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4,366</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2,787</w:t>
            </w: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5,715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1,579</w:t>
            </w:r>
          </w:p>
        </w:tc>
      </w:tr>
      <w:tr>
        <w:trPr>
          <w:trHeight w:val="67"/>
        </w:trPr>
        <w:tc>
          <w:tcPr>
            <w:tcW w:w="49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4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4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30,</w:t>
            </w:r>
          </w:p>
        </w:tc>
        <w:tc>
          <w:tcPr>
            <w:tcW w:w="30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August 1,</w:t>
            </w:r>
          </w:p>
        </w:tc>
        <w:tc>
          <w:tcPr>
            <w:tcW w:w="30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30,</w:t>
            </w:r>
          </w:p>
        </w:tc>
        <w:tc>
          <w:tcPr>
            <w:tcW w:w="280" w:type="dxa"/>
            <w:vAlign w:val="bottom"/>
          </w:tcPr>
          <w:p>
            <w:pPr>
              <w:spacing w:after="0"/>
              <w:rPr>
                <w:sz w:val="13"/>
                <w:szCs w:val="13"/>
                <w:color w:val="auto"/>
              </w:rPr>
            </w:pPr>
          </w:p>
        </w:tc>
        <w:tc>
          <w:tcPr>
            <w:tcW w:w="126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August 1,</w:t>
            </w:r>
          </w:p>
        </w:tc>
      </w:tr>
      <w:tr>
        <w:trPr>
          <w:trHeight w:val="192"/>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4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87,241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83,775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160,187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154,208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Indirect</w:t>
            </w:r>
          </w:p>
        </w:tc>
        <w:tc>
          <w:tcPr>
            <w:tcW w:w="30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8"/>
                <w:szCs w:val="18"/>
                <w:color w:val="auto"/>
              </w:rPr>
              <w:t>32,004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36,949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9"/>
              <w:spacing w:after="0"/>
              <w:rPr>
                <w:sz w:val="20"/>
                <w:szCs w:val="20"/>
                <w:color w:val="auto"/>
              </w:rPr>
            </w:pPr>
            <w:r>
              <w:rPr>
                <w:rFonts w:ascii="Arial" w:cs="Arial" w:eastAsia="Arial" w:hAnsi="Arial"/>
                <w:sz w:val="18"/>
                <w:szCs w:val="18"/>
                <w:color w:val="auto"/>
              </w:rPr>
              <w:t>64,239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67,620</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119,245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120,724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224,426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221,828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6"/>
        </w:trPr>
        <w:tc>
          <w:tcPr>
            <w:tcW w:w="49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Indirect</w:t>
            </w:r>
          </w:p>
        </w:tc>
        <w:tc>
          <w:tcPr>
            <w:tcW w:w="15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4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30,</w:t>
            </w:r>
          </w:p>
        </w:tc>
        <w:tc>
          <w:tcPr>
            <w:tcW w:w="300" w:type="dxa"/>
            <w:vAlign w:val="bottom"/>
          </w:tcPr>
          <w:p>
            <w:pPr>
              <w:spacing w:after="0"/>
              <w:rPr>
                <w:sz w:val="13"/>
                <w:szCs w:val="13"/>
                <w:color w:val="auto"/>
              </w:rPr>
            </w:pPr>
          </w:p>
        </w:tc>
        <w:tc>
          <w:tcPr>
            <w:tcW w:w="13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August 1,</w:t>
            </w:r>
          </w:p>
        </w:tc>
        <w:tc>
          <w:tcPr>
            <w:tcW w:w="320" w:type="dxa"/>
            <w:vAlign w:val="bottom"/>
          </w:tcPr>
          <w:p>
            <w:pPr>
              <w:spacing w:after="0"/>
              <w:rPr>
                <w:sz w:val="13"/>
                <w:szCs w:val="13"/>
                <w:color w:val="auto"/>
              </w:rPr>
            </w:pP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30,</w:t>
            </w:r>
          </w:p>
        </w:tc>
        <w:tc>
          <w:tcPr>
            <w:tcW w:w="280" w:type="dxa"/>
            <w:vAlign w:val="bottom"/>
          </w:tcPr>
          <w:p>
            <w:pPr>
              <w:spacing w:after="0"/>
              <w:rPr>
                <w:sz w:val="13"/>
                <w:szCs w:val="13"/>
                <w:color w:val="auto"/>
              </w:rPr>
            </w:pPr>
          </w:p>
        </w:tc>
        <w:tc>
          <w:tcPr>
            <w:tcW w:w="128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August 1,</w:t>
            </w:r>
          </w:p>
        </w:tc>
      </w:tr>
      <w:tr>
        <w:trPr>
          <w:trHeight w:val="192"/>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Operating Income by Segment:</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16,557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30,286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24,584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Indirect</w:t>
            </w:r>
          </w:p>
        </w:tc>
        <w:tc>
          <w:tcPr>
            <w:tcW w:w="34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12,008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color w:val="auto"/>
              </w:rPr>
              <w:t>14,788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24,606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24,692</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(21,854)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(21,859)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(42,732)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(44,761)</w:t>
            </w: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12,160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4,515</w:t>
            </w:r>
          </w:p>
        </w:tc>
      </w:tr>
      <w:tr>
        <w:trPr>
          <w:trHeight w:val="67"/>
        </w:trPr>
        <w:tc>
          <w:tcPr>
            <w:tcW w:w="48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178"/>
        </w:trPr>
        <w:tc>
          <w:tcPr>
            <w:tcW w:w="48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Operating Income as a Percentage of Net Revenues by</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1"/>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Direct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15.9 %</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36.5 %</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144</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357,621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325,956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357,621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325,956</w:t>
            </w:r>
          </w:p>
        </w:tc>
      </w:tr>
      <w:tr>
        <w:trPr>
          <w:trHeight w:val="341"/>
        </w:trPr>
        <w:tc>
          <w:tcPr>
            <w:tcW w:w="4820" w:type="dxa"/>
            <w:vAlign w:val="bottom"/>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305</w:t>
            </w:r>
          </w:p>
        </w:tc>
      </w:tr>
    </w:tbl>
    <w:p>
      <w:pPr>
        <w:spacing w:after="0" w:line="130"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jc w:val="both"/>
        <w:ind w:left="540" w:right="100" w:hanging="532"/>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Comparable sales (including e-commerce)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8"/>
          <w:szCs w:val="18"/>
          <w:color w:val="auto"/>
        </w:rPr>
      </w:pPr>
    </w:p>
    <w:p>
      <w:pPr>
        <w:ind w:left="540" w:right="40" w:hanging="532"/>
        <w:spacing w:after="0" w:line="25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 Affecting Comparability of the Year-to-Date Periods ended July 30, 2016, and August 1, 2015</w:t>
      </w:r>
    </w:p>
    <w:p>
      <w:pPr>
        <w:spacing w:after="0" w:line="94"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In the first quarter of fiscal 2016, we closed our manufacturing facility located in New Haven, Indiana. We incurred restructuring and other charges during the first quarter of fiscal 2016 of approximately $3.4 million ($2.1 million after the associated tax benefit), related to the facility closing. These charges included:</w:t>
      </w:r>
    </w:p>
    <w:p>
      <w:pPr>
        <w:spacing w:after="0" w:line="1"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Severance and benefit costs of approximately $1.7 million;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Lease termination costs of approximately $0.7 million;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Inventory-related charges of approximately $0.6 million;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associated net costs, which include accelerated depreciation related to fixed assets, of approximately $0.4 million.</w:t>
      </w:r>
    </w:p>
    <w:p>
      <w:pPr>
        <w:spacing w:after="0" w:line="9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These charges are reflected in cost of sales in our Condensed Consolidated Financial Statements. We expect that the facility closure will reduce operating costs by approximately $12.0 million annually. All production from the facility was absorbed by our third-party manufacturing suppliers. There are no remaining liabilities associated with the facility closure.</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 charges, incurred in the first quarter of fiscal 2016, affecting comparability of the financial results totaled approximately $1.8 million ($1.3 million after the associated tax benefit). These charges included:</w:t>
      </w:r>
    </w:p>
    <w:p>
      <w:pPr>
        <w:spacing w:after="0" w:line="116"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 million due to a retail store early lease termination agreement (reflected in selling, general, and administrative expenses) and</w:t>
      </w:r>
    </w:p>
    <w:p>
      <w:pPr>
        <w:spacing w:after="0" w:line="90"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$0.6 million related to an increase in income tax reserves for uncertain federal and state tax positions related to research and development tax credits (reflected 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500"/>
        <w:spacing w:after="0" w:line="346" w:lineRule="auto"/>
        <w:rPr>
          <w:sz w:val="20"/>
          <w:szCs w:val="20"/>
          <w:color w:val="auto"/>
        </w:rPr>
      </w:pPr>
      <w:r>
        <w:rPr>
          <w:rFonts w:ascii="Arial" w:cs="Arial" w:eastAsia="Arial" w:hAnsi="Arial"/>
          <w:sz w:val="18"/>
          <w:szCs w:val="18"/>
          <w:b w:val="1"/>
          <w:bCs w:val="1"/>
          <w:color w:val="auto"/>
        </w:rPr>
        <w:t xml:space="preserve">Thirteen Weeks Ended July 30, 2016, Compared to Thirteen Weeks Ended August 1, 2015 </w:t>
      </w:r>
      <w:r>
        <w:rPr>
          <w:rFonts w:ascii="Arial" w:cs="Arial" w:eastAsia="Arial" w:hAnsi="Arial"/>
          <w:sz w:val="18"/>
          <w:szCs w:val="18"/>
          <w:i w:val="1"/>
          <w:iCs w:val="1"/>
          <w:color w:val="auto"/>
        </w:rPr>
        <w:t>Net Revenues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thirteen weeks ended July 30, 2016, net revenues decreased $1.5 million, or 1.2%, to $119.2 million, from $120.7 million in the comparable prior-year period.</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thirteen weeks ended July 30, 2016, net revenues in the Direct segment increased $3.4 million, or 4.1%, to $87.2 million, from $83.8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comparable prior-year period. This change resulted from an $8.2 million contribution of revenue from our non-comparable stores, including six additional stores opened in the current fiscal year, which was partially offset by a comparable sales (including e-commerce) decrease of $4.8 million, or 5.7%. The decrease in comparable sales includes a 5.4% decrease in e-commerce sales and a 5.9% decrease in comparable store sales. The decline in comparable sales was primarily due to year-over-year declines in store and e-commerce traffic.</w:t>
      </w:r>
    </w:p>
    <w:p>
      <w:pPr>
        <w:spacing w:after="0" w:line="1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July 30, 2016, net revenues in the Indirect segment decreased $4.9 million, or 13.4%, to $32.0 million, from $36.9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was primarily due to a decline in orders from the Company's specialty retail accounts and the timing of a product launch in the specialty channel, which shifted revenues into the second quarter of the comparable prior-year period from the first quarter, partially offset by incremental sales to certain non-department store key accounts.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thirteen weeks ended July 30, 2016, gross profit increased $1.8 million, or 2.8%, to $68.4 million, from $66.6 million in the comparable prior-year period. As a percentage of net revenues, gross profit increased to 57.4% for the thirteen weeks ended July 30, 2016, from 55.1% in the comparable prior-year period. The increase as a percentage of net revenues was primarily due to sourcing efficiencies (reduced overhead costs resulting from the closing of our domestic manufacturing facility) and operational efficiencies, partially offset by fabrication and product mix and increased promotional activity at our factory outlet stores.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thirteen weeks ended July 30, 2016, SG&amp;A expenses increased $2.9 million, or 5.2%, to $60.3 million, from $57.4 million in the comparable prior-year period. As a percentage of net revenues, SG&amp;A expenses increased to 50.6% for the thirteen weeks ended July 30, 2016, from 47.5% in the comparable prior-year period. The increase in SG&amp;A expenses for the thirteen weeks ended July 30, 2016 was primarily due to new store expenses in the current-year period (we opened 6 full-line and 7 factory outlet stores during the 12 month period ended July 30, 2016), $1.6 million in store impairment charges and approximately $1.0 million in additional employee severance. SG&amp;A expenses as a percentage of net revenues increased primarily due to the aforementioned items, as well as due to the spread of fixed expenses over lower comparable sales and deleveraging of store operating expenses as a result of lower comparable store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thirteen weeks ended July 30, 2016, other income decreased $0.1 million, or 22.3%, to $0.2 million, from $0.3 million in the comparable prior-year period, primarily due to a decrease in reimbursement of co-op mailer expense from Indirect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thirteen weeks ended July 30, 2016, operating income decreased $1.2 million, or 12.5%, to $8.3 million in the current-year period, from $9.5 million in the comparable prior-year period. As a percentage of net revenues, operating income was 7.0% and 7.9% for the thirteen weeks ended July 30, 2016 and August 1, 2015, respectively. The decrease in operating income was due to the factors described above.</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thirteen weeks ended July 30, 2016, operating income in the Direct segment increased $1.5 million, or 9.6%, to $18.1 million from $16.6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comparable prior-year period. As a percentage of Direct segment net revenues, operating income in the Direct segment was 20.8% and 19.8% for the thirteen weeks ended July 30, 2016 and August 1, 2015, respectively. The increase in operating income as a percentage of Direct segment net revenues was primarily due to an increase in gross profit as a percentage of net revenues, partially offset by investments in new stores, $1.6 million in store impairment charges and deleveraging of store operating expenses as a result of lower comparable store sales.</w:t>
      </w:r>
    </w:p>
    <w:p>
      <w:pPr>
        <w:spacing w:after="0" w:line="1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July 30, 2016, operating income in the Indirect segment decreased $2.8 million, or 18.8%, to $12.0 million from $14.8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As a percentage of Indirect segment net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revenues, operating income in the Indirect segment was 37.5% and 40.0% for the thirteen weeks ended July 30, 2016 and August 1, 2015, respectively. The decrease in operating income as a percentage of Indirect segment net revenues was primarily due to the spread of relatively fixed expenses over lower sales, partially offset by an increase in gross profit as a percentage of net revenues, as described above.</w:t>
      </w:r>
    </w:p>
    <w:p>
      <w:pPr>
        <w:spacing w:after="0" w:line="12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Corporate Unallocated</w:t>
      </w:r>
      <w:r>
        <w:rPr>
          <w:rFonts w:ascii="Arial" w:cs="Arial" w:eastAsia="Arial" w:hAnsi="Arial"/>
          <w:sz w:val="16"/>
          <w:szCs w:val="16"/>
          <w:color w:val="auto"/>
        </w:rPr>
        <w:t>. For the thirteen weeks ended July 30, 2016, unallocated expenses were $21.9 million which was consistent with the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prior-year period. Unallocated expenses included approximately $1.0 million of additional employee severance for the thirteen weeks ended July 30, 2016.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effective tax rate for the thirteen weeks ended July 30, 2016, was 38.0%, compared to 39.3% for the thirteen weeks ended August 1, 2015. The year-over year decrease is primarily due to the relative impact of permanent items as compared to the comparable prior-year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For the thirteen weeks ended July 30, 2016, net income decreased $0.6 million, or 10.6%, to $5.1 million from $5.7 million in the comparable prior-year period. The current-year period included $1.6 million ($1.0 million after the associated tax benefit) in store impairment charges.</w:t>
      </w:r>
    </w:p>
    <w:p>
      <w:pPr>
        <w:spacing w:after="0" w:line="170" w:lineRule="exact"/>
        <w:rPr>
          <w:sz w:val="20"/>
          <w:szCs w:val="20"/>
          <w:color w:val="auto"/>
        </w:rPr>
      </w:pPr>
    </w:p>
    <w:p>
      <w:pPr>
        <w:ind w:right="4120"/>
        <w:spacing w:after="0" w:line="346" w:lineRule="auto"/>
        <w:rPr>
          <w:sz w:val="20"/>
          <w:szCs w:val="20"/>
          <w:color w:val="auto"/>
        </w:rPr>
      </w:pPr>
      <w:r>
        <w:rPr>
          <w:rFonts w:ascii="Arial" w:cs="Arial" w:eastAsia="Arial" w:hAnsi="Arial"/>
          <w:sz w:val="18"/>
          <w:szCs w:val="18"/>
          <w:b w:val="1"/>
          <w:bCs w:val="1"/>
          <w:color w:val="auto"/>
        </w:rPr>
        <w:t xml:space="preserve">Twenty-Six Weeks Ended July 30, 2016, Compared to Twenty-Six Weeks Ended August 1, 2015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twenty-six weeks ended July 30, 2016, net revenues increased $2.6 million, or 1.2%, to $224.4 million, from $221.8 million in the comparable prior-year period.</w:t>
      </w:r>
    </w:p>
    <w:p>
      <w:pPr>
        <w:spacing w:after="0" w:line="11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twenty-six weeks ended July 30, 2016, net revenues in the Direct segment increased $6.0 million, or 3.9%, to $160.2 million, from $154.2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This change resulted from a $15.3 million contribution of revenue from our non-comparable stores, including six additional stores opened in the current fiscal year, which was partially offset by a comparable sales (including e-commerce) decrease of $8.8 million, or 6.1%. The decrease in comparable sales includes an 8.1% decrease in e-commerce sales and a 5.1% decrease in comparable store sales. The decline in comparable sales was primarily due to year-over-year declines in e-commerce and store traffic, as well as lower levels of promotional activity in the first quarter.</w:t>
      </w:r>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twenty-six weeks ended July 30, 2016, net revenues in the Indirect segment decreased $3.4 million, or 5.0%, to $64.2 million, from $67.6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was primarily due to a decline in orders from the Company's specialty retail accounts, partially offset by incremental sales to certain non-department store key accounts.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the twenty-six weeks ended July 30, 2016, gross profit increased $9.8 million, or 8.3%, to $128.0 million, from $118.2 million in the comparable prior-year period. As a percentage of net revenues, gross profit increased to 57.1% for the twenty-six weeks ended July 30, 2016, from 53.3% in the comparable prior-year period. The increase as a percentage of net revenues was primarily due to sourcing efficiencies (reduced overhead costs resulting from the closing of our domestic manufacturing facility), operational efficiencies and increased penetration of made-for-outlet products, partially offset by fabrication and product mix and increased promotional activity at our factory outlet stores in the second quarter. In addition, gross profit in the first quarter of the comparable prior-year period was impacted by restructuring charges of $3.4 million related to the closure of our manufacturing facility in the first quarter of fiscal 2016, as discussed in more detail in Note 11 to the Notes to the Condensed Consolidated Financial Statements herein.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For the twenty-six weeks ended July 30, 2016, SG&amp;A expenses increased $1.7 million, or 1.5%, to $116.7 million, from $115.0 million in the comparable prior-year period. As a percentage of net revenues, SG&amp;A expenses increased to 52.0% for the twenty-six weeks ended July 30, 2016, from 51.8% in the comparable prior-year period. The increase in SG&amp;A expenses for the twenty-six weeks ended July 30, 2016 was primarily due to new store expenses in the current-year period (we opened 6 full-line and 7 factory outlet stores during the past 12 month period ended July 30, 2016) and $1.6 million in store impairment charges, partially offset by a current-year period reduction in advertising spending due to the timing of spending in the fiscal 2017 period. In addition, the first quarter of the prior-year period included $1.2 million in expense related to a retail store early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termination agreement which did not recur in the current-year period. SG&amp;A expenses as a percentage of net revenues increased primarily due to the aforementioned items and fixed expenses being spread over lower comparable sales and deleveraging of store operating expenses as a result of lower comparable store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twenty-six weeks ended July 30, 2016, other income decreased $0.4 million, or 35.2%, to $0.8 million, from $1.2 million in the comparable prior-year period, primarily due to a decrease in reimbursement of co-op mailer expense from Indirect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twenty-six weeks ended July 30, 2016, operating income increased $7.7 million, or 169.3%, to $12.2 million in the current-year period, from $4.5 million in the comparable prior-year period. As a percentage of net revenues, operating income was 5.4% and 2.0% for the twenty-six weeks ended July 30, 2016 and August 1, 2015, respectively. Operating income increased due to the factors described above.</w:t>
      </w:r>
    </w:p>
    <w:p>
      <w:pPr>
        <w:spacing w:after="0" w:line="12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twenty-six weeks ended July 30, 2016, operating income in the Direct segment increased $5.7 million, or 23.2%, to $30.3 million from $24.6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As a percentage of Direct segment net revenues, operating income in the Direct segment was 18.9% and 15.9% for the twenty-six weeks ended July 30, 2016 and August 1, 2015, respectively. The increase in operating income as a percentage of Direct segment net revenues was primarily due to $3.5 million in restructuring and other charges related to the closure of our manufacturing facility and a retail store early termination agreement in the comparable prior-year period, as well as an increase in gross profit as a percentage of net revenues, partially offset by investments in new stores, $1.6 million in store impairment charges and deleveraging of store operating expenses as a result of lower comparable store sales.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twenty-six weeks ended July 30, 2016, operating income in the Indirect segment decreased $0.1 million, or 0.3%, to $24.6 million from</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$24.7 million in the comparable prior-year period. As a percentage of Indirect segment net revenues, operating income in the Indirect segment was 38.3% and 36.5% for the twenty-six weeks ended July 30, 2016 and August 1, 2015, respectively. The increase in operating income as a percentage of Indirect segment net revenues was primarily due to an increase in gross profit as a percentage of net revenues, as described above, as well as $1.1 million in restructuring charges related to the closure of our manufacturing facility in the comparable prior-year period, partially offset by relatively fixed expenses being spread over lower sales.</w:t>
      </w:r>
    </w:p>
    <w:p>
      <w:pPr>
        <w:spacing w:after="0" w:line="13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twenty-six weeks ended July 30, 2016, unallocated expenses decreased $2.1 million, or 4.5%, to $42.7 million from $44.8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decrease in unallocated expenses was primarily a result of a reduction in advertising expenses due to the timing of advertising spending in the fiscal 2017 period as compared to the comparable prior-year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effective tax rate for the twenty-six weeks ended July 30, 2016, was 37.5%, compared to 63.8% for the twenty-six weeks ended August 1, 2015. The year-over year decrease is primarily due to an increase in income before income taxes in the current-year period, partially offset by the relative impact of permanent items. The current-year period rate was also positively impacted by a discrete item related to an excess tax benefit from share-based payments as a result of the early adoption of ASU 2016-09, as further described in Note 1 to the Notes to the Condensed Consolidated Financial Statements herein. In addition, the prior-year period rate was impacted by an income tax reserve for uncertain tax positions.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twenty-six weeks ended July 30, 2016, net income increased $5.9 million, or 376.7%, to $7.5 million from $1.6 million in the comparable prior-year period. The current-year period included $1.6 million ($1.0 million after the associated tax benefit) in store impairment charges. The comparable prior-year period included restructuring and other charges of $5.2 million ($3.4 million after the associated tax benefit), as described in Note 11 to the Notes to the Condensed Consolidated Financial Statements herein.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Our primary source of liquidity is cash on hand and cash flow from operations. We also have access to additional liquidity, if needed, through borrowings under our $125.0 million second amended and restated credit agreement. There were no borrowings under this agreement at July 30, 2016. Historically, our primary cash needs have been for merchandise inventories; payroll; store rent; capital expenditures associated with operational equipment, buildings, information technology, and opening new stores; share repurchases; and debt repayments. The most significant components of our working capital are cash and cash equivalents, short-term investments, merchandise inventories, accounts receivable, accounts payable, and other current liabilities.</w:t>
      </w:r>
    </w:p>
    <w:p>
      <w:pPr>
        <w:spacing w:after="0" w:line="10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cash flows from operating activities and the availability of borrowings under our second amended and restated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Short-term investments consist of a certificate of deposit with an original maturity of one year and a one-time option to accelerate maturity to 31 days without penalty. Interest income from the investment is included in interest expense, net, in our Condensed Consolidated Financial Statements. Our objective with respect to this investment is to earn a higher rate of return on funds that are otherwise not anticipated to be required to meet liquidity needs in the near term while maintaining a low level of investment risk with the intent and ability to hold this investment to maturity.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Twenty-Six Weeks Ended</w:t>
            </w: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30,</w:t>
            </w:r>
          </w:p>
        </w:tc>
        <w:tc>
          <w:tcPr>
            <w:tcW w:w="280" w:type="dxa"/>
            <w:vAlign w:val="bottom"/>
          </w:tcPr>
          <w:p>
            <w:pPr>
              <w:spacing w:after="0"/>
              <w:rPr>
                <w:sz w:val="13"/>
                <w:szCs w:val="13"/>
                <w:color w:val="auto"/>
              </w:rPr>
            </w:pPr>
          </w:p>
        </w:tc>
        <w:tc>
          <w:tcPr>
            <w:tcW w:w="120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August 1,</w:t>
            </w:r>
          </w:p>
        </w:tc>
      </w:t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15,774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(19,894)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9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Net cash provided by (used in)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cash provided by operating activities for the twenty-six weeks ended July 30, 2016, was $15.8 million, compared to net cash used in operating activities of $1.0 million for the twenty-six weeks ended August 1, 2015. The increase in cash provided by operating activities was primarily a result of the timing of inventory receipts in the current-year period, which resulted in a source of cash for the current-year period of $17.0 million, as compared to an inventory build in the comparable prior-year period for made-for-outlet product, which resulted in a use of cash of $5.5 million in the comparable prior-year period, as well as an increase in net income of $5.9 million. This was partially offset by a change in income taxes which resulted in a use of cash of $11.3 million in the current-year period as compared to a source of cash of $0.3 million in the comparable prior-year period. The income tax change was primarily a result of the timing of an $11.5 million federal income tax payment in the current-year period.</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comparable prior-year period, net income included cash payments of approximately $2.6 million for restructuring activities related to the closure of our domestic manufacturing facility which did not recur in the current period. These payments consisted of $1.7 million for severance and benefits, $0.7 million for a lease termination and $0.2 million in other associated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Investing activities consist primarily of short-term investments and capital expenditures for growth related to new store openings, buildings, operational equipment, and information technology investments.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Net cash used in investing activities was $41.6 million and $15.4 million for the twenty-six weeks ended July 30, 2016 and August 1, 2015, respectively. The increase in cash used in investing activities was due to a $30.0 million short-term investment in a certificate of deposit made in the first quarter of fiscal 2017, partially offset by a decrease in property, plant, and equipment spending in the current-year period. The decrease in property, plant, and equipment spending was primarily a result of six new stores opened in the current-year period as compared to 19 stores in the comparable prior-year period, as well as spending for the campus consolidation in the prior-year period which did not recur in the current-year period, partially offset by an increase in information technology investments, including spending for our e-commerce platform upgrade.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2017 are expected to be approximately $20.0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used in financing activities was $16.4 million and $19.9 million for the twenty-six weeks ended July 30, 2016 and August 1, 2015, respectively. The decrease in cash used in financing activities was primarily due to a lower amount of purchases of shares of our common stock as compared to the prior-year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Credit Agreement</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July 30, 2016, the Company had borrowing availability of $125.0 million under the agreement.</w:t>
      </w:r>
    </w:p>
    <w:p>
      <w:pPr>
        <w:spacing w:after="0" w:line="1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1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 The Company was in compliance with these covenants as of July 30,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30, 2016.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30, 2016. As of July 30, 2016, there was no significant change to any of the critical accounting policies and estimates described in the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Description of the Company and Basis of Presentation</w:t>
      </w:r>
      <w:r>
        <w:rPr>
          <w:rFonts w:ascii="Arial" w:cs="Arial" w:eastAsia="Arial" w:hAnsi="Arial"/>
          <w:sz w:val="18"/>
          <w:szCs w:val="18"/>
          <w:color w:val="auto"/>
        </w:rPr>
        <w:t xml:space="preserve">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July 30, 2016, there was no material change in the market risks described in “Quantitative and Qualitative Disclosures About Market Risks” in the Company’s Annual Report on Form 10-K for the fiscal year ended January 30, 2016.</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July 30, 2016.</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240" w:top="121" w:right="5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January 30, 2016.</w:t>
      </w:r>
    </w:p>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On December 8, 2015, the Company’s board of directors approved a share repurchase program (the “2015 Share Repurchase Program”) authorizing up to</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$50.0 million of repurchases of shares of the Company's common stock. The 2015 Share Repurchase Program expires in December 2017. During the thirteen weeks ended July 30, 2016, the Company repurchased 638,079 shares of the Company's common stock at an average price of $15.67 per share, excluding commissions.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shares repurchased under the program during the thirteen weeks ended July 30, 2016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 per Share</w:t>
            </w:r>
          </w:p>
        </w:tc>
        <w:tc>
          <w:tcPr>
            <w:tcW w:w="100" w:type="dxa"/>
            <w:vAlign w:val="bottom"/>
            <w:vMerge w:val="restart"/>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the Plans or Program</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 2016 - May 28, 2016</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436,837</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436,837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33,101,592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May 29, 2016 - July 2, 2016</w:t>
            </w: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14,372</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14,372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32,883,641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3, 2016 - July 30, 2016</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186,870</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186,870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30,168,656</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638,079</w:t>
            </w:r>
          </w:p>
        </w:tc>
        <w:tc>
          <w:tcPr>
            <w:tcW w:w="140" w:type="dxa"/>
            <w:vAlign w:val="bottom"/>
          </w:tcPr>
          <w:p>
            <w:pPr>
              <w:spacing w:after="0"/>
              <w:rPr>
                <w:sz w:val="20"/>
                <w:szCs w:val="20"/>
                <w:color w:val="auto"/>
              </w:rPr>
            </w:pPr>
          </w:p>
        </w:tc>
        <w:tc>
          <w:tcPr>
            <w:tcW w:w="76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638,079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6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Second Amendment of Employment Agreement for Robert Wallstrom, dated June 17, 2016 (Incorporated by reference to Exhibit 10.1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the Current Report on Form 8-K filed June 22, 2016)</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160" w:hanging="1265"/>
        <w:spacing w:after="0" w:line="285"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Vera Bradley, Inc.’s Quarterly Report on Form 10-Q for the quarter ended July 30, 2016 formatted in Extensible Business Reporting Language (XBRL): (i) Condensed Consolidated Statements of Income for the Thirteen and Twenty-Six Weeks ended July 30, 2016 and August 1, 2015; (ii) Condensed Consolidated Statements of Comprehensive Income for the Thirteen and Twenty-Six Weeks ended July 30, 2016 and August 1, 2015; (iii) Condensed Consolidated Balance Sheets as of July 30, 2016 and January 30, 2016; (iv) Condensed Consolidated Statements of Cash Flows for the Twenty-Six Weeks ended July 30, 2016 and August 1, 2015, and</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(v) Notes to Condensed Consolidated Financial Statements. **</w:t>
      </w:r>
    </w:p>
    <w:p>
      <w:pPr>
        <w:spacing w:after="0" w:line="170" w:lineRule="exact"/>
        <w:rPr>
          <w:sz w:val="20"/>
          <w:szCs w:val="20"/>
          <w:color w:val="auto"/>
        </w:rPr>
      </w:pPr>
    </w:p>
    <w:p>
      <w:pPr>
        <w:ind w:left="740" w:hanging="705"/>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September 7, 2016</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 Chief Financial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121"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6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Second Amendment of Employment Agreement for Robert Wallstrom, dated June 17, 2016 (Incorporated by reference to Exhibit 10.1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the Current Report on Form 8-K filed June 22, 2016)</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160" w:hanging="1265"/>
        <w:spacing w:after="0" w:line="285"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materials from Vera Bradley, Inc.’s Quarterly Report on Form 10-Q for the quarter ended July 30, 2016 formatted in Extensible Business Reporting Language (XBRL): (i) Condensed Consolidated Statements of Income for the Thirteen and Twenty-Six Weeks ended July 30, 2016 and August 1, 2015; (ii) Condensed Consolidated Statements of Comprehensive Income for the Thirteen and Twenty-Six Weeks ended July 30, 2016 and August 1, 2015; (iii) Condensed Consolidated Balance Sheets as of July 30, 2016 and January 30, 2016; (iv) Condensed Consolidated Statements of Cash Flows for the Twenty-Six Weeks ended July 30, 2016 and August 1, 2015, and</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(v) Notes to Condensed Consolidated Financial Statements. **</w:t>
      </w:r>
    </w:p>
    <w:p>
      <w:pPr>
        <w:spacing w:after="0" w:line="170" w:lineRule="exact"/>
        <w:rPr>
          <w:sz w:val="20"/>
          <w:szCs w:val="20"/>
          <w:color w:val="auto"/>
        </w:rPr>
      </w:pPr>
    </w:p>
    <w:p>
      <w:pPr>
        <w:ind w:left="740" w:hanging="705"/>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September 7, 2016</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September 7, 2016</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July 30, 2016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September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 Kevin J. Sierks, the Executive Vice President – Chief Financial Officer of Vera Bradley, Inc., certify that (i) the quarterly report on Form 10-Q for the fiscal quarter ended July 30, 2016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September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lvl w:ilvl="1">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1"/>
    </w:lvl>
    <w:lvl w:ilvl="1">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lvl w:ilvl="1">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0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0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2019-12-29T10:02:13Z</dcterms:created>
  <dcterms:modified xsi:type="dcterms:W3CDTF">2019-12-29T10:02:13Z</dcterms:modified>
</cp:coreProperties>
</file>