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386080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420370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235" w:lineRule="exact"/>
        <w:rPr>
          <w:sz w:val="24"/>
          <w:szCs w:val="24"/>
          <w:color w:val="auto"/>
        </w:rPr>
      </w:pPr>
    </w:p>
    <w:p>
      <w:pPr>
        <w:ind w:left="7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700" w:hanging="666"/>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29, 2023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8" w:lineRule="exact"/>
        <w:rPr>
          <w:sz w:val="24"/>
          <w:szCs w:val="24"/>
          <w:color w:val="auto"/>
        </w:rPr>
      </w:pPr>
    </w:p>
    <w:p>
      <w:pPr>
        <w:ind w:left="70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700" w:hanging="674"/>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245" w:lineRule="exact"/>
        <w:rPr>
          <w:sz w:val="24"/>
          <w:szCs w:val="24"/>
          <w:color w:val="auto"/>
        </w:rPr>
      </w:pPr>
    </w:p>
    <w:p>
      <w:pPr>
        <w:ind w:left="336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3708400</wp:posOffset>
            </wp:positionH>
            <wp:positionV relativeFrom="paragraph">
              <wp:posOffset>-7620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1268730"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VERA BRADLEY,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8"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5"/>
              </w:rPr>
              <w:t>Indiana</w:t>
            </w:r>
          </w:p>
        </w:tc>
        <w:tc>
          <w:tcPr>
            <w:tcW w:w="5100" w:type="dxa"/>
            <w:vAlign w:val="bottom"/>
          </w:tcPr>
          <w:p>
            <w:pPr>
              <w:jc w:val="right"/>
              <w:ind w:right="40"/>
              <w:spacing w:after="0"/>
              <w:rPr>
                <w:sz w:val="20"/>
                <w:szCs w:val="20"/>
                <w:color w:val="auto"/>
              </w:rPr>
            </w:pPr>
            <w:r>
              <w:rPr>
                <w:rFonts w:ascii="Arial" w:cs="Arial" w:eastAsia="Arial" w:hAnsi="Arial"/>
                <w:sz w:val="18"/>
                <w:szCs w:val="18"/>
                <w:b w:val="1"/>
                <w:bCs w:val="1"/>
                <w:color w:val="auto"/>
              </w:rPr>
              <w:t>27-2935063</w:t>
            </w:r>
          </w:p>
        </w:tc>
        <w:tc>
          <w:tcPr>
            <w:tcW w:w="0" w:type="dxa"/>
            <w:vAlign w:val="bottom"/>
          </w:tcPr>
          <w:p>
            <w:pPr>
              <w:spacing w:after="0"/>
              <w:rPr>
                <w:sz w:val="1"/>
                <w:szCs w:val="1"/>
                <w:color w:val="auto"/>
              </w:rPr>
            </w:pPr>
          </w:p>
        </w:tc>
      </w:tr>
      <w:tr>
        <w:trPr>
          <w:trHeight w:val="148"/>
        </w:trPr>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100" w:type="dxa"/>
            <w:vAlign w:val="bottom"/>
          </w:tcPr>
          <w:p>
            <w:pPr>
              <w:jc w:val="center"/>
              <w:ind w:left="390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00" w:type="dxa"/>
            <w:vAlign w:val="bottom"/>
          </w:tcPr>
          <w:p>
            <w:pPr>
              <w:jc w:val="center"/>
              <w:ind w:left="3900"/>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6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12420 Stonebridge Road,</w:t>
            </w:r>
          </w:p>
        </w:tc>
        <w:tc>
          <w:tcPr>
            <w:tcW w:w="5100" w:type="dxa"/>
            <w:vAlign w:val="bottom"/>
            <w:vMerge w:val="restart"/>
          </w:tcPr>
          <w:p>
            <w:pPr>
              <w:jc w:val="right"/>
              <w:ind w:right="260"/>
              <w:spacing w:after="0"/>
              <w:rPr>
                <w:sz w:val="20"/>
                <w:szCs w:val="20"/>
                <w:color w:val="auto"/>
              </w:rPr>
            </w:pPr>
            <w:r>
              <w:rPr>
                <w:rFonts w:ascii="Arial" w:cs="Arial" w:eastAsia="Arial" w:hAnsi="Arial"/>
                <w:sz w:val="18"/>
                <w:szCs w:val="18"/>
                <w:b w:val="1"/>
                <w:bCs w:val="1"/>
                <w:color w:val="auto"/>
              </w:rPr>
              <w:t>46783</w:t>
            </w:r>
          </w:p>
        </w:tc>
        <w:tc>
          <w:tcPr>
            <w:tcW w:w="0" w:type="dxa"/>
            <w:vAlign w:val="bottom"/>
          </w:tcPr>
          <w:p>
            <w:pPr>
              <w:spacing w:after="0"/>
              <w:rPr>
                <w:sz w:val="1"/>
                <w:szCs w:val="1"/>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Roanoke, Indiana</w:t>
            </w:r>
          </w:p>
        </w:tc>
        <w:tc>
          <w:tcPr>
            <w:tcW w:w="5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0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462"/>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Arial" w:cs="Arial" w:eastAsia="Arial" w:hAnsi="Arial"/>
                <w:sz w:val="18"/>
                <w:szCs w:val="18"/>
                <w:b w:val="1"/>
                <w:bCs w:val="1"/>
                <w:color w:val="auto"/>
              </w:rPr>
              <w:t>(877) 708-8372</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VRA</w:t>
            </w: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42"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22" w:lineRule="exact"/>
        <w:rPr>
          <w:sz w:val="24"/>
          <w:szCs w:val="24"/>
          <w:color w:val="auto"/>
        </w:rPr>
      </w:pPr>
    </w:p>
    <w:p>
      <w:pPr>
        <w:ind w:right="8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22" w:lineRule="exact"/>
        <w:rPr>
          <w:sz w:val="24"/>
          <w:szCs w:val="24"/>
          <w:color w:val="auto"/>
        </w:rPr>
      </w:pPr>
    </w:p>
    <w:p>
      <w:pPr>
        <w:ind w:right="2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33" w:orient="portrait"/>
          <w:cols w:equalWidth="0" w:num="1">
            <w:col w:w="11240"/>
          </w:cols>
          <w:pgMar w:left="320" w:top="229" w:right="33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100" w:type="dxa"/>
            <w:vAlign w:val="bottom"/>
          </w:tcPr>
          <w:p>
            <w:pPr>
              <w:ind w:left="58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513"/>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4900" w:type="dxa"/>
            <w:vAlign w:val="bottom"/>
          </w:tcPr>
          <w:p>
            <w:pPr>
              <w:ind w:left="7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00" w:type="dxa"/>
            <w:vAlign w:val="bottom"/>
          </w:tcPr>
          <w:p>
            <w:pPr>
              <w:ind w:left="58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99"/>
        </w:trPr>
        <w:tc>
          <w:tcPr>
            <w:tcW w:w="23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100" w:type="dxa"/>
            <w:vAlign w:val="bottom"/>
          </w:tcPr>
          <w:p>
            <w:pPr>
              <w:ind w:left="58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41" w:lineRule="exact"/>
        <w:rPr>
          <w:sz w:val="20"/>
          <w:szCs w:val="20"/>
          <w:color w:val="auto"/>
        </w:rPr>
      </w:pPr>
    </w:p>
    <w:p>
      <w:pPr>
        <w:jc w:val="both"/>
        <w:ind w:left="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ind w:right="1660"/>
        <w:spacing w:after="0" w:line="32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 registrant had 30,915,493 shares of its common stock outstanding as of May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913765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23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100"/>
          </w:cols>
          <w:pgMar w:left="320" w:top="310"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40" w:type="dxa"/>
            <w:vAlign w:val="bottom"/>
            <w:gridSpan w:val="18"/>
          </w:tcPr>
          <w:p>
            <w:pPr>
              <w:spacing w:after="0"/>
              <w:rPr>
                <w:sz w:val="20"/>
                <w:szCs w:val="20"/>
                <w:color w:val="auto"/>
              </w:rPr>
            </w:pPr>
            <w:r>
              <w:rPr>
                <w:rFonts w:ascii="Arial" w:cs="Arial" w:eastAsia="Arial" w:hAnsi="Arial"/>
                <w:sz w:val="18"/>
                <w:szCs w:val="18"/>
                <w:b w:val="1"/>
                <w:bCs w:val="1"/>
                <w:color w:val="0000FF"/>
              </w:rPr>
              <w:t>Table of Contents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0" w:type="dxa"/>
            <w:vAlign w:val="bottom"/>
            <w:gridSpan w:val="8"/>
          </w:tcPr>
          <w:p>
            <w:pPr>
              <w:ind w:left="132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10520" w:type="dxa"/>
            <w:vAlign w:val="bottom"/>
            <w:gridSpan w:val="17"/>
          </w:tcPr>
          <w:p>
            <w:pPr>
              <w:spacing w:after="0"/>
              <w:rPr>
                <w:sz w:val="20"/>
                <w:szCs w:val="20"/>
                <w:color w:val="auto"/>
              </w:rPr>
            </w:pPr>
            <w:r>
              <w:rPr>
                <w:rFonts w:ascii="Arial" w:cs="Arial" w:eastAsia="Arial" w:hAnsi="Arial"/>
                <w:sz w:val="18"/>
                <w:szCs w:val="18"/>
                <w:b w:val="1"/>
                <w:bCs w:val="1"/>
                <w:color w:val="0000FF"/>
              </w:rPr>
              <w:t>PART I. FINANCIAL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6"/>
          </w:tcPr>
          <w:p>
            <w:pPr>
              <w:spacing w:after="0"/>
              <w:rPr>
                <w:sz w:val="20"/>
                <w:szCs w:val="20"/>
                <w:color w:val="auto"/>
              </w:rPr>
            </w:pPr>
            <w:r>
              <w:rPr>
                <w:rFonts w:ascii="Arial" w:cs="Arial" w:eastAsia="Arial" w:hAnsi="Arial"/>
                <w:sz w:val="18"/>
                <w:szCs w:val="18"/>
                <w:color w:val="0000FF"/>
              </w:rPr>
              <w:t>Financial Statements (unaudited)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580" w:type="dxa"/>
            <w:vAlign w:val="bottom"/>
            <w:gridSpan w:val="16"/>
          </w:tcPr>
          <w:p>
            <w:pPr>
              <w:spacing w:after="0"/>
              <w:rPr>
                <w:sz w:val="20"/>
                <w:szCs w:val="20"/>
                <w:color w:val="auto"/>
              </w:rPr>
            </w:pPr>
            <w:r>
              <w:rPr>
                <w:rFonts w:ascii="Arial" w:cs="Arial" w:eastAsia="Arial" w:hAnsi="Arial"/>
                <w:sz w:val="18"/>
                <w:szCs w:val="18"/>
                <w:color w:val="0000FF"/>
              </w:rPr>
              <w:t>Condensed Consolidated Balance Sheets as of April 29, 2023, and January 28, 2023</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58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Operations for the Thirteen Weeks Ended April 29, 2023, and April 30, 2022</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100" w:type="dxa"/>
            <w:vAlign w:val="bottom"/>
            <w:gridSpan w:val="15"/>
          </w:tcPr>
          <w:p>
            <w:pPr>
              <w:spacing w:after="0"/>
              <w:rPr>
                <w:sz w:val="20"/>
                <w:szCs w:val="20"/>
                <w:color w:val="auto"/>
              </w:rPr>
            </w:pPr>
            <w:r>
              <w:rPr>
                <w:rFonts w:ascii="Arial" w:cs="Arial" w:eastAsia="Arial" w:hAnsi="Arial"/>
                <w:sz w:val="18"/>
                <w:szCs w:val="18"/>
                <w:color w:val="0000FF"/>
                <w:w w:val="89"/>
              </w:rPr>
              <w:t>Condensed Consolidated Statements of Comprehensive Loss for the Thirteen Weeks Ended April 29, 2023, and April 30, 2022</w:t>
            </w:r>
          </w:p>
        </w:tc>
        <w:tc>
          <w:tcPr>
            <w:tcW w:w="4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100" w:type="dxa"/>
            <w:vAlign w:val="bottom"/>
            <w:gridSpan w:val="15"/>
          </w:tcPr>
          <w:p>
            <w:pPr>
              <w:spacing w:after="0"/>
              <w:rPr>
                <w:sz w:val="20"/>
                <w:szCs w:val="20"/>
                <w:color w:val="auto"/>
              </w:rPr>
            </w:pPr>
            <w:r>
              <w:rPr>
                <w:rFonts w:ascii="Arial" w:cs="Arial" w:eastAsia="Arial" w:hAnsi="Arial"/>
                <w:sz w:val="18"/>
                <w:szCs w:val="18"/>
                <w:color w:val="0000FF"/>
                <w:w w:val="90"/>
              </w:rPr>
              <w:t>Condensed Consolidated Statements of Shareholders' Equity for the Thirteen Weeks Ended April 29, 2023, and April 30, 2022</w:t>
            </w:r>
          </w:p>
        </w:tc>
        <w:tc>
          <w:tcPr>
            <w:tcW w:w="48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100" w:type="dxa"/>
            <w:vAlign w:val="bottom"/>
            <w:gridSpan w:val="15"/>
          </w:tcPr>
          <w:p>
            <w:pPr>
              <w:spacing w:after="0"/>
              <w:rPr>
                <w:sz w:val="20"/>
                <w:szCs w:val="20"/>
                <w:color w:val="auto"/>
              </w:rPr>
            </w:pPr>
            <w:r>
              <w:rPr>
                <w:rFonts w:ascii="Arial" w:cs="Arial" w:eastAsia="Arial" w:hAnsi="Arial"/>
                <w:sz w:val="18"/>
                <w:szCs w:val="18"/>
                <w:color w:val="0000FF"/>
                <w:w w:val="97"/>
              </w:rPr>
              <w:t>Condensed Consolidated Statements of Cash Flows for the Thirteen Weeks Ended April 29, 2023, and April 30, 2022</w:t>
            </w:r>
          </w:p>
        </w:tc>
        <w:tc>
          <w:tcPr>
            <w:tcW w:w="48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40" w:type="dxa"/>
            <w:vAlign w:val="bottom"/>
            <w:gridSpan w:val="14"/>
          </w:tcPr>
          <w:p>
            <w:pPr>
              <w:spacing w:after="0"/>
              <w:rPr>
                <w:sz w:val="20"/>
                <w:szCs w:val="20"/>
                <w:color w:val="auto"/>
              </w:rPr>
            </w:pPr>
            <w:r>
              <w:rPr>
                <w:rFonts w:ascii="Arial" w:cs="Arial" w:eastAsia="Arial" w:hAnsi="Arial"/>
                <w:sz w:val="18"/>
                <w:szCs w:val="18"/>
                <w:color w:val="0000FF"/>
              </w:rPr>
              <w:t>Notes to the Condensed Consolidated Financial Statements</w:t>
            </w:r>
          </w:p>
        </w:tc>
        <w:tc>
          <w:tcPr>
            <w:tcW w:w="1140" w:type="dxa"/>
            <w:vAlign w:val="bottom"/>
            <w:gridSpan w:val="2"/>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10</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120" w:type="dxa"/>
            <w:vAlign w:val="bottom"/>
            <w:gridSpan w:val="4"/>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23</w:t>
            </w: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220" w:type="dxa"/>
            <w:vAlign w:val="bottom"/>
            <w:gridSpan w:val="6"/>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32</w:t>
            </w:r>
          </w:p>
        </w:tc>
      </w:tr>
      <w:tr>
        <w:trPr>
          <w:trHeight w:val="277"/>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Controls and Procedures</w:t>
            </w:r>
          </w:p>
        </w:tc>
        <w:tc>
          <w:tcPr>
            <w:tcW w:w="780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32</w:t>
            </w:r>
          </w:p>
        </w:tc>
      </w:tr>
      <w:tr>
        <w:trPr>
          <w:trHeight w:val="263"/>
        </w:trPr>
        <w:tc>
          <w:tcPr>
            <w:tcW w:w="20" w:type="dxa"/>
            <w:vAlign w:val="bottom"/>
          </w:tcPr>
          <w:p>
            <w:pPr>
              <w:spacing w:after="0"/>
              <w:rPr>
                <w:sz w:val="22"/>
                <w:szCs w:val="22"/>
                <w:color w:val="auto"/>
              </w:rPr>
            </w:pPr>
          </w:p>
        </w:tc>
        <w:tc>
          <w:tcPr>
            <w:tcW w:w="27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rPr>
              <w:t>PART II. OTHER INFORMATION</w:t>
            </w:r>
          </w:p>
        </w:tc>
        <w:tc>
          <w:tcPr>
            <w:tcW w:w="7740" w:type="dxa"/>
            <w:vAlign w:val="bottom"/>
            <w:gridSpan w:val="10"/>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33</w:t>
            </w:r>
          </w:p>
        </w:tc>
      </w:tr>
      <w:tr>
        <w:trPr>
          <w:trHeight w:val="277"/>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9"/>
              </w:rPr>
              <w:t>Risk Factors</w:t>
            </w:r>
          </w:p>
        </w:tc>
        <w:tc>
          <w:tcPr>
            <w:tcW w:w="420" w:type="dxa"/>
            <w:vAlign w:val="bottom"/>
            <w:tcBorders>
              <w:top w:val="single" w:sz="8" w:color="0000FF"/>
            </w:tcBorders>
          </w:tcPr>
          <w:p>
            <w:pPr>
              <w:spacing w:after="0"/>
              <w:rPr>
                <w:sz w:val="24"/>
                <w:szCs w:val="24"/>
                <w:color w:val="auto"/>
              </w:rPr>
            </w:pPr>
          </w:p>
        </w:tc>
        <w:tc>
          <w:tcPr>
            <w:tcW w:w="824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220" w:type="dxa"/>
            <w:vAlign w:val="bottom"/>
            <w:gridSpan w:val="6"/>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16"/>
          </w:tcPr>
          <w:p>
            <w:pPr>
              <w:spacing w:after="0"/>
              <w:rPr>
                <w:sz w:val="20"/>
                <w:szCs w:val="20"/>
                <w:color w:val="auto"/>
              </w:rPr>
            </w:pPr>
            <w:r>
              <w:rPr>
                <w:rFonts w:ascii="Arial" w:cs="Arial" w:eastAsia="Arial" w:hAnsi="Arial"/>
                <w:sz w:val="18"/>
                <w:szCs w:val="18"/>
                <w:color w:val="0000FF"/>
              </w:rPr>
              <w:t>Exhibits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35</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6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plans, including Project Restoration;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declines in our comparable sales;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9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 including political unrest, social unrest, acts of war and terrorism, and other related matters;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disruptions in our supply chain;</w:t>
      </w:r>
    </w:p>
    <w:p>
      <w:pPr>
        <w:spacing w:after="0" w:line="9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new or increased tariffs on our products and increases in inbound and outbound freight expense that could lead to increased product costs and lower profit margins;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health pandemics and actions by governmental or other actors regarding containment.</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January 28, 2023, as well as in Item 1A herein.</w:t>
      </w:r>
    </w:p>
    <w:p>
      <w:pPr>
        <w:spacing w:after="0" w:line="13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360"/>
              <w:spacing w:after="0"/>
              <w:rPr>
                <w:sz w:val="20"/>
                <w:szCs w:val="20"/>
                <w:color w:val="auto"/>
              </w:rPr>
            </w:pPr>
            <w:r>
              <w:rPr>
                <w:rFonts w:ascii="Arial" w:cs="Arial" w:eastAsia="Arial" w:hAnsi="Arial"/>
                <w:sz w:val="14"/>
                <w:szCs w:val="14"/>
                <w:b w:val="1"/>
                <w:bCs w:val="1"/>
                <w:color w:val="auto"/>
              </w:rPr>
              <w:t>April 29,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8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25,338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46,595</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20,241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22,105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142,275</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14,276</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207,596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226,562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right-of-use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77,954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57,791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58,674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21,089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21,542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3,851</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379,930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404,501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Redeemable Noncontrolling Interest, and Shareholders’ Equity</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20,350</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Accrued employment costs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14,312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operating lease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19,714</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Other accrued liabilities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12,723</w:t>
            </w:r>
          </w:p>
        </w:tc>
        <w:tc>
          <w:tcPr>
            <w:tcW w:w="0" w:type="dxa"/>
            <w:vAlign w:val="bottom"/>
          </w:tcPr>
          <w:p>
            <w:pPr>
              <w:spacing w:after="0"/>
              <w:rPr>
                <w:sz w:val="1"/>
                <w:szCs w:val="1"/>
                <w:color w:val="auto"/>
              </w:rPr>
            </w:pPr>
          </w:p>
        </w:tc>
      </w:tr>
      <w:tr>
        <w:trPr>
          <w:trHeight w:val="206"/>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60,987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67,657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74,664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132,938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142,411</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10,712</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5,000 shares authorized, no shares issued or outstanding</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240" w:type="dxa"/>
            <w:vAlign w:val="bottom"/>
          </w:tcPr>
          <w:p>
            <w:pPr>
              <w:ind w:left="220"/>
              <w:spacing w:after="0" w:line="166" w:lineRule="exact"/>
              <w:rPr>
                <w:sz w:val="20"/>
                <w:szCs w:val="20"/>
                <w:color w:val="auto"/>
              </w:rPr>
            </w:pPr>
            <w:r>
              <w:rPr>
                <w:rFonts w:ascii="Arial" w:cs="Arial" w:eastAsia="Arial" w:hAnsi="Arial"/>
                <w:sz w:val="16"/>
                <w:szCs w:val="16"/>
                <w:color w:val="auto"/>
                <w:w w:val="94"/>
              </w:rPr>
              <w:t>Common stock, without par value; 200,000 shares authorized, 43,176 and 42,846 shares issued and 30,968 and 30,766</w:t>
            </w:r>
          </w:p>
        </w:tc>
        <w:tc>
          <w:tcPr>
            <w:tcW w:w="2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240" w:type="dxa"/>
            <w:vAlign w:val="bottom"/>
          </w:tcPr>
          <w:p>
            <w:pPr>
              <w:ind w:left="220"/>
              <w:spacing w:after="0"/>
              <w:rPr>
                <w:sz w:val="20"/>
                <w:szCs w:val="20"/>
                <w:color w:val="auto"/>
              </w:rPr>
            </w:pPr>
            <w:r>
              <w:rPr>
                <w:rFonts w:ascii="Arial" w:cs="Arial" w:eastAsia="Arial" w:hAnsi="Arial"/>
                <w:sz w:val="16"/>
                <w:szCs w:val="16"/>
                <w:color w:val="auto"/>
              </w:rPr>
              <w:t>shares outstanding, respectively</w:t>
            </w:r>
          </w:p>
        </w:tc>
        <w:tc>
          <w:tcPr>
            <w:tcW w:w="2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paid-in-capital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109,718</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269,950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274,629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Treasury stock</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(132,864)</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shareholders’ equity of Vera Bradley, Inc.</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246,992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251,378</w:t>
            </w:r>
          </w:p>
        </w:tc>
        <w:tc>
          <w:tcPr>
            <w:tcW w:w="0" w:type="dxa"/>
            <w:vAlign w:val="bottom"/>
          </w:tcPr>
          <w:p>
            <w:pPr>
              <w:spacing w:after="0"/>
              <w:rPr>
                <w:sz w:val="1"/>
                <w:szCs w:val="1"/>
                <w:color w:val="auto"/>
              </w:rPr>
            </w:pPr>
          </w:p>
        </w:tc>
      </w:tr>
      <w:tr>
        <w:trPr>
          <w:trHeight w:val="206"/>
        </w:trPr>
        <w:tc>
          <w:tcPr>
            <w:tcW w:w="8240" w:type="dxa"/>
            <w:vAlign w:val="bottom"/>
          </w:tcPr>
          <w:p>
            <w:pPr>
              <w:ind w:left="480"/>
              <w:spacing w:after="0"/>
              <w:rPr>
                <w:sz w:val="20"/>
                <w:szCs w:val="20"/>
                <w:color w:val="auto"/>
              </w:rPr>
            </w:pPr>
            <w:r>
              <w:rPr>
                <w:rFonts w:ascii="Arial" w:cs="Arial" w:eastAsia="Arial" w:hAnsi="Arial"/>
                <w:sz w:val="16"/>
                <w:szCs w:val="16"/>
                <w:color w:val="auto"/>
              </w:rPr>
              <w:t>Total liabilities, redeemable noncontrolling interest, and shareholders’ equity</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379,930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404,501</w:t>
            </w:r>
          </w:p>
        </w:tc>
        <w:tc>
          <w:tcPr>
            <w:tcW w:w="0" w:type="dxa"/>
            <w:vAlign w:val="bottom"/>
          </w:tcPr>
          <w:p>
            <w:pPr>
              <w:spacing w:after="0"/>
              <w:rPr>
                <w:sz w:val="1"/>
                <w:szCs w:val="1"/>
                <w:color w:val="auto"/>
              </w:rPr>
            </w:pPr>
          </w:p>
        </w:tc>
      </w:tr>
      <w:tr>
        <w:trPr>
          <w:trHeight w:val="24"/>
        </w:trPr>
        <w:tc>
          <w:tcPr>
            <w:tcW w:w="82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Thirteen Weeks Ended</w:t>
            </w:r>
          </w:p>
        </w:tc>
      </w:tr>
      <w:tr>
        <w:trPr>
          <w:trHeight w:val="26"/>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3"/>
        </w:trPr>
        <w:tc>
          <w:tcPr>
            <w:tcW w:w="8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jc w:val="right"/>
              <w:ind w:right="353"/>
              <w:spacing w:after="0" w:line="133" w:lineRule="exact"/>
              <w:rPr>
                <w:sz w:val="20"/>
                <w:szCs w:val="20"/>
                <w:color w:val="auto"/>
              </w:rPr>
            </w:pPr>
            <w:r>
              <w:rPr>
                <w:rFonts w:ascii="Arial" w:cs="Arial" w:eastAsia="Arial" w:hAnsi="Arial"/>
                <w:sz w:val="14"/>
                <w:szCs w:val="14"/>
                <w:b w:val="1"/>
                <w:bCs w:val="1"/>
                <w:color w:val="auto"/>
              </w:rPr>
              <w:t>April 29,</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352"/>
              <w:spacing w:after="0" w:line="133" w:lineRule="exact"/>
              <w:rPr>
                <w:sz w:val="20"/>
                <w:szCs w:val="20"/>
                <w:color w:val="auto"/>
              </w:rPr>
            </w:pPr>
            <w:r>
              <w:rPr>
                <w:rFonts w:ascii="Arial" w:cs="Arial" w:eastAsia="Arial" w:hAnsi="Arial"/>
                <w:sz w:val="14"/>
                <w:szCs w:val="14"/>
                <w:b w:val="1"/>
                <w:bCs w:val="1"/>
                <w:color w:val="auto"/>
              </w:rPr>
              <w:t>April 30,</w:t>
            </w:r>
          </w:p>
        </w:tc>
      </w:t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94,362</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98,459</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45,945</w:t>
            </w:r>
          </w:p>
        </w:tc>
      </w:tr>
      <w:tr>
        <w:trPr>
          <w:trHeight w:val="223"/>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52,514</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60,914</w:t>
            </w: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(8,233)</w:t>
            </w: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(8,273)</w:t>
            </w: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(6,710)</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redeemable noncontrolling interest</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Net loss attributable to Vera Bradley, Inc.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(6,974)</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32,672</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32,672</w:t>
            </w:r>
          </w:p>
        </w:tc>
      </w:tr>
      <w:tr>
        <w:trPr>
          <w:trHeight w:val="270"/>
        </w:trPr>
        <w:tc>
          <w:tcPr>
            <w:tcW w:w="8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 available to Vera Bradley, Inc. common shareholders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Diluted net loss per share available to Vera Bradley, Inc. common shareholders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(0.21)</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Thirteen Weeks Ended</w:t>
            </w:r>
          </w:p>
        </w:tc>
      </w:tr>
      <w:tr>
        <w:trPr>
          <w:trHeight w:val="26"/>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3"/>
        </w:trPr>
        <w:tc>
          <w:tcPr>
            <w:tcW w:w="8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jc w:val="right"/>
              <w:ind w:right="357"/>
              <w:spacing w:after="0" w:line="133" w:lineRule="exact"/>
              <w:rPr>
                <w:sz w:val="20"/>
                <w:szCs w:val="20"/>
                <w:color w:val="auto"/>
              </w:rPr>
            </w:pPr>
            <w:r>
              <w:rPr>
                <w:rFonts w:ascii="Arial" w:cs="Arial" w:eastAsia="Arial" w:hAnsi="Arial"/>
                <w:sz w:val="14"/>
                <w:szCs w:val="14"/>
                <w:b w:val="1"/>
                <w:bCs w:val="1"/>
                <w:color w:val="auto"/>
              </w:rPr>
              <w:t>April 29,</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355"/>
              <w:spacing w:after="0" w:line="133" w:lineRule="exact"/>
              <w:rPr>
                <w:sz w:val="20"/>
                <w:szCs w:val="20"/>
                <w:color w:val="auto"/>
              </w:rPr>
            </w:pPr>
            <w:r>
              <w:rPr>
                <w:rFonts w:ascii="Arial" w:cs="Arial" w:eastAsia="Arial" w:hAnsi="Arial"/>
                <w:sz w:val="14"/>
                <w:szCs w:val="14"/>
                <w:b w:val="1"/>
                <w:bCs w:val="1"/>
                <w:color w:val="auto"/>
              </w:rPr>
              <w:t>April 30,</w:t>
            </w:r>
          </w:p>
        </w:tc>
      </w:t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Cumulative translation adjustment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loss, net of tax</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w:t>
            </w:r>
          </w:p>
        </w:tc>
      </w:tr>
      <w:tr>
        <w:trPr>
          <w:trHeight w:val="23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Comprehensive income attributable to redeemable noncontrolling interest</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54"/>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Comprehensive loss attributable to Vera Bradley,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gridSpan w:val="3"/>
          </w:tcPr>
          <w:p>
            <w:pPr>
              <w:jc w:val="right"/>
              <w:ind w:right="395"/>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39"/>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5"/>
              <w:spacing w:after="0" w:line="13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55"/>
              <w:spacing w:after="0" w:line="139" w:lineRule="exact"/>
              <w:rPr>
                <w:sz w:val="20"/>
                <w:szCs w:val="20"/>
                <w:color w:val="auto"/>
              </w:rPr>
            </w:pPr>
            <w:r>
              <w:rPr>
                <w:rFonts w:ascii="Arial" w:cs="Arial" w:eastAsia="Arial" w:hAnsi="Arial"/>
                <w:sz w:val="14"/>
                <w:szCs w:val="14"/>
                <w:b w:val="1"/>
                <w:bCs w:val="1"/>
                <w:color w:val="auto"/>
                <w:w w:val="96"/>
              </w:rPr>
              <w:t>Equity of</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6"/>
              </w:rPr>
              <w:t>Vera Bradley,</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Inc.</w:t>
            </w: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28, 2023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30,766,024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12,079,690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109,718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274,629</w:t>
            </w:r>
          </w:p>
        </w:tc>
        <w:tc>
          <w:tcPr>
            <w:tcW w:w="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(132,864)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251,378</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Net loss attributable to Vera Bradley, Inc.</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8"/>
                <w:szCs w:val="18"/>
                <w:color w:val="auto"/>
                <w:w w:val="96"/>
              </w:rPr>
              <w:t>Restricted shares vested, net of repurchase for taxes</w:t>
            </w:r>
          </w:p>
        </w:tc>
        <w:tc>
          <w:tcPr>
            <w:tcW w:w="980" w:type="dxa"/>
            <w:vAlign w:val="bottom"/>
          </w:tcPr>
          <w:p>
            <w:pPr>
              <w:jc w:val="right"/>
              <w:spacing w:after="0"/>
              <w:rPr>
                <w:sz w:val="20"/>
                <w:szCs w:val="20"/>
                <w:color w:val="auto"/>
              </w:rPr>
            </w:pPr>
            <w:r>
              <w:rPr>
                <w:rFonts w:ascii="Arial" w:cs="Arial" w:eastAsia="Arial" w:hAnsi="Arial"/>
                <w:sz w:val="18"/>
                <w:szCs w:val="18"/>
                <w:color w:val="auto"/>
              </w:rPr>
              <w:t>330,500</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3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Treasury stock purchased</w:t>
            </w:r>
          </w:p>
        </w:tc>
        <w:tc>
          <w:tcPr>
            <w:tcW w:w="980" w:type="dxa"/>
            <w:vAlign w:val="bottom"/>
          </w:tcPr>
          <w:p>
            <w:pPr>
              <w:jc w:val="right"/>
              <w:spacing w:after="0"/>
              <w:rPr>
                <w:sz w:val="20"/>
                <w:szCs w:val="20"/>
                <w:color w:val="auto"/>
              </w:rPr>
            </w:pPr>
            <w:r>
              <w:rPr>
                <w:rFonts w:ascii="Arial" w:cs="Arial" w:eastAsia="Arial" w:hAnsi="Arial"/>
                <w:sz w:val="18"/>
                <w:szCs w:val="18"/>
                <w:color w:val="auto"/>
              </w:rPr>
              <w:t>(128,100)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128,100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Purchase of noncontrolling interest equity adjustment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3"/>
        </w:trPr>
        <w:tc>
          <w:tcPr>
            <w:tcW w:w="41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April 29, 2023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30,968,424</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12,207,790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110,753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269,950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(133,596)</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246,992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55"/>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39"/>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5"/>
              <w:spacing w:after="0" w:line="13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55"/>
              <w:spacing w:after="0" w:line="139" w:lineRule="exact"/>
              <w:rPr>
                <w:sz w:val="20"/>
                <w:szCs w:val="20"/>
                <w:color w:val="auto"/>
              </w:rPr>
            </w:pPr>
            <w:r>
              <w:rPr>
                <w:rFonts w:ascii="Arial" w:cs="Arial" w:eastAsia="Arial" w:hAnsi="Arial"/>
                <w:sz w:val="14"/>
                <w:szCs w:val="14"/>
                <w:b w:val="1"/>
                <w:bCs w:val="1"/>
                <w:color w:val="auto"/>
                <w:w w:val="96"/>
              </w:rPr>
              <w:t>Equity of</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6"/>
              </w:rPr>
              <w:t>Vera Bradley,</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Inc.</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29, 2022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33,170,430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9,258,741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107,907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334,364</w:t>
            </w: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(114,802)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327,440</w:t>
            </w:r>
          </w:p>
        </w:tc>
        <w:tc>
          <w:tcPr>
            <w:tcW w:w="0" w:type="dxa"/>
            <w:vAlign w:val="bottom"/>
          </w:tcPr>
          <w:p>
            <w:pPr>
              <w:spacing w:after="0"/>
              <w:rPr>
                <w:sz w:val="1"/>
                <w:szCs w:val="1"/>
                <w:color w:val="auto"/>
              </w:rPr>
            </w:pP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Net loss attributable to Vera Bradley, Inc.</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(6,974)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(6,974)</w:t>
            </w:r>
          </w:p>
        </w:tc>
        <w:tc>
          <w:tcPr>
            <w:tcW w:w="0" w:type="dxa"/>
            <w:vAlign w:val="bottom"/>
          </w:tcPr>
          <w:p>
            <w:pPr>
              <w:spacing w:after="0"/>
              <w:rPr>
                <w:sz w:val="1"/>
                <w:szCs w:val="1"/>
                <w:color w:val="auto"/>
              </w:rPr>
            </w:pPr>
          </w:p>
        </w:tc>
      </w:tr>
      <w:tr>
        <w:trPr>
          <w:trHeight w:val="23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w w:val="96"/>
              </w:rPr>
              <w:t>Restricted shares vested, net of repurchase for taxes</w:t>
            </w:r>
          </w:p>
        </w:tc>
        <w:tc>
          <w:tcPr>
            <w:tcW w:w="980" w:type="dxa"/>
            <w:vAlign w:val="bottom"/>
          </w:tcPr>
          <w:p>
            <w:pPr>
              <w:jc w:val="right"/>
              <w:spacing w:after="0"/>
              <w:rPr>
                <w:sz w:val="20"/>
                <w:szCs w:val="20"/>
                <w:color w:val="auto"/>
              </w:rPr>
            </w:pPr>
            <w:r>
              <w:rPr>
                <w:rFonts w:ascii="Arial" w:cs="Arial" w:eastAsia="Arial" w:hAnsi="Arial"/>
                <w:sz w:val="18"/>
                <w:szCs w:val="18"/>
                <w:color w:val="auto"/>
              </w:rPr>
              <w:t>404,469</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Treasury stock purchased</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(1,423,096)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1,423,096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(10,454)</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April 30, 2022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32,151,803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10,681,837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107,040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327,390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(125,256)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309,114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Thirteen Weeks Ended</w:t>
            </w:r>
          </w:p>
        </w:tc>
      </w:tr>
      <w:tr>
        <w:trPr>
          <w:trHeight w:val="26"/>
        </w:trPr>
        <w:tc>
          <w:tcPr>
            <w:tcW w:w="8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3"/>
        </w:trPr>
        <w:tc>
          <w:tcPr>
            <w:tcW w:w="8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368"/>
              <w:spacing w:after="0" w:line="133" w:lineRule="exact"/>
              <w:rPr>
                <w:sz w:val="20"/>
                <w:szCs w:val="20"/>
                <w:color w:val="auto"/>
              </w:rPr>
            </w:pPr>
            <w:r>
              <w:rPr>
                <w:rFonts w:ascii="Arial" w:cs="Arial" w:eastAsia="Arial" w:hAnsi="Arial"/>
                <w:sz w:val="14"/>
                <w:szCs w:val="14"/>
                <w:b w:val="1"/>
                <w:bCs w:val="1"/>
                <w:color w:val="auto"/>
              </w:rPr>
              <w:t>April 29,</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right"/>
              <w:ind w:right="368"/>
              <w:spacing w:after="0" w:line="133" w:lineRule="exact"/>
              <w:rPr>
                <w:sz w:val="20"/>
                <w:szCs w:val="20"/>
                <w:color w:val="auto"/>
              </w:rPr>
            </w:pPr>
            <w:r>
              <w:rPr>
                <w:rFonts w:ascii="Arial" w:cs="Arial" w:eastAsia="Arial" w:hAnsi="Arial"/>
                <w:sz w:val="14"/>
                <w:szCs w:val="14"/>
                <w:b w:val="1"/>
                <w:bCs w:val="1"/>
                <w:color w:val="auto"/>
              </w:rPr>
              <w:t>April 30,</w:t>
            </w:r>
          </w:p>
        </w:tc>
      </w:tr>
      <w:tr>
        <w:trPr>
          <w:trHeight w:val="192"/>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(4,679)</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(6,710)</w:t>
            </w:r>
          </w:p>
        </w:tc>
      </w:tr>
      <w:tr>
        <w:trPr>
          <w:trHeight w:val="18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Depreciation of property, plant, and equipment</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2,192</w:t>
            </w:r>
          </w:p>
        </w:tc>
      </w:tr>
      <w:tr>
        <w:trPr>
          <w:trHeight w:val="186"/>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Amortization of operating right-of-use assets</w:t>
            </w: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5,341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5,260</w:t>
            </w:r>
          </w:p>
        </w:tc>
      </w:tr>
      <w:tr>
        <w:trPr>
          <w:trHeight w:val="182"/>
        </w:trPr>
        <w:tc>
          <w:tcPr>
            <w:tcW w:w="8240" w:type="dxa"/>
            <w:vAlign w:val="bottom"/>
          </w:tcPr>
          <w:p>
            <w:pPr>
              <w:ind w:left="220"/>
              <w:spacing w:after="0"/>
              <w:rPr>
                <w:sz w:val="20"/>
                <w:szCs w:val="20"/>
                <w:color w:val="auto"/>
              </w:rPr>
            </w:pPr>
            <w:r>
              <w:rPr>
                <w:rFonts w:ascii="Arial" w:cs="Arial" w:eastAsia="Arial" w:hAnsi="Arial"/>
                <w:sz w:val="14"/>
                <w:szCs w:val="14"/>
                <w:color w:val="auto"/>
              </w:rPr>
              <w:t>Impairment charges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592</w:t>
            </w: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r>
      <w:tr>
        <w:trPr>
          <w:trHeight w:val="182"/>
        </w:trPr>
        <w:tc>
          <w:tcPr>
            <w:tcW w:w="8240" w:type="dxa"/>
            <w:vAlign w:val="bottom"/>
          </w:tcPr>
          <w:p>
            <w:pPr>
              <w:ind w:left="220"/>
              <w:spacing w:after="0"/>
              <w:rPr>
                <w:sz w:val="20"/>
                <w:szCs w:val="20"/>
                <w:color w:val="auto"/>
              </w:rPr>
            </w:pPr>
            <w:r>
              <w:rPr>
                <w:rFonts w:ascii="Arial" w:cs="Arial" w:eastAsia="Arial" w:hAnsi="Arial"/>
                <w:sz w:val="14"/>
                <w:szCs w:val="14"/>
                <w:color w:val="auto"/>
              </w:rPr>
              <w:t>Provision for doubtful accounts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186"/>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non-cash gain, net</w:t>
            </w: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240" w:type="dxa"/>
            <w:vAlign w:val="bottom"/>
          </w:tcPr>
          <w:p>
            <w:pPr>
              <w:ind w:left="220"/>
              <w:spacing w:after="0"/>
              <w:rPr>
                <w:sz w:val="20"/>
                <w:szCs w:val="20"/>
                <w:color w:val="auto"/>
              </w:rPr>
            </w:pPr>
            <w:r>
              <w:rPr>
                <w:rFonts w:ascii="Arial" w:cs="Arial" w:eastAsia="Arial" w:hAnsi="Arial"/>
                <w:sz w:val="14"/>
                <w:szCs w:val="14"/>
                <w:color w:val="auto"/>
              </w:rPr>
              <w:t>Changes in assets and liabilities: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9"/>
        </w:trPr>
        <w:tc>
          <w:tcPr>
            <w:tcW w:w="8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w:t>
            </w:r>
          </w:p>
        </w:tc>
      </w:tr>
      <w:tr>
        <w:trPr>
          <w:trHeight w:val="182"/>
        </w:trPr>
        <w:tc>
          <w:tcPr>
            <w:tcW w:w="8240" w:type="dxa"/>
            <w:vAlign w:val="bottom"/>
          </w:tcPr>
          <w:p>
            <w:pPr>
              <w:ind w:left="480"/>
              <w:spacing w:after="0"/>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(16,906)</w:t>
            </w: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(786)</w:t>
            </w:r>
          </w:p>
        </w:tc>
      </w:tr>
      <w:tr>
        <w:trPr>
          <w:trHeight w:val="186"/>
        </w:trPr>
        <w:tc>
          <w:tcPr>
            <w:tcW w:w="824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(3,794)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8,165</w:t>
            </w:r>
          </w:p>
        </w:tc>
      </w:tr>
      <w:tr>
        <w:trPr>
          <w:trHeight w:val="186"/>
        </w:trPr>
        <w:tc>
          <w:tcPr>
            <w:tcW w:w="8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Income taxes</w:t>
            </w: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5,925</w:t>
            </w:r>
          </w:p>
        </w:tc>
      </w:tr>
      <w:tr>
        <w:trPr>
          <w:trHeight w:val="182"/>
        </w:trPr>
        <w:tc>
          <w:tcPr>
            <w:tcW w:w="8240" w:type="dxa"/>
            <w:vAlign w:val="bottom"/>
          </w:tcPr>
          <w:p>
            <w:pPr>
              <w:ind w:left="480"/>
              <w:spacing w:after="0"/>
              <w:rPr>
                <w:sz w:val="20"/>
                <w:szCs w:val="20"/>
                <w:color w:val="auto"/>
              </w:rPr>
            </w:pPr>
            <w:r>
              <w:rPr>
                <w:rFonts w:ascii="Arial" w:cs="Arial" w:eastAsia="Arial" w:hAnsi="Arial"/>
                <w:sz w:val="14"/>
                <w:szCs w:val="14"/>
                <w:color w:val="auto"/>
              </w:rPr>
              <w:t>Operating lease liabilities, net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(4,763)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(6,565)</w:t>
            </w: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6"/>
        </w:trPr>
        <w:tc>
          <w:tcPr>
            <w:tcW w:w="8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Accrued and other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(4,004)</w:t>
            </w:r>
          </w:p>
        </w:tc>
      </w:tr>
      <w:tr>
        <w:trPr>
          <w:trHeight w:val="179"/>
        </w:trPr>
        <w:tc>
          <w:tcPr>
            <w:tcW w:w="8240" w:type="dxa"/>
            <w:vAlign w:val="bottom"/>
          </w:tcPr>
          <w:p>
            <w:pPr>
              <w:ind w:left="20"/>
              <w:spacing w:after="0"/>
              <w:rPr>
                <w:sz w:val="20"/>
                <w:szCs w:val="20"/>
                <w:color w:val="auto"/>
              </w:rPr>
            </w:pPr>
            <w:r>
              <w:rPr>
                <w:rFonts w:ascii="Arial" w:cs="Arial" w:eastAsia="Arial" w:hAnsi="Arial"/>
                <w:sz w:val="14"/>
                <w:szCs w:val="14"/>
                <w:color w:val="auto"/>
              </w:rPr>
              <w:t>Net cash used in operating activities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(8,755)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(11,082)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2"/>
        </w:trPr>
        <w:tc>
          <w:tcPr>
            <w:tcW w:w="8240" w:type="dxa"/>
            <w:vAlign w:val="bottom"/>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(1,745)</w:t>
            </w: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for business acquisition</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82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(10,818)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(1,745)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Tax withholdings for equity compensation</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(942)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(1,410)</w:t>
            </w:r>
          </w:p>
        </w:tc>
      </w:tr>
      <w:tr>
        <w:trPr>
          <w:trHeight w:val="186"/>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Repurchase of common stock</w:t>
            </w: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(10,035)</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Distributions to redeemable noncontrolling interest</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r>
      <w:tr>
        <w:trPr>
          <w:trHeight w:val="19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(11,591)</w:t>
            </w:r>
          </w:p>
        </w:tc>
      </w:tr>
      <w:tr>
        <w:trPr>
          <w:trHeight w:val="176"/>
        </w:trPr>
        <w:tc>
          <w:tcPr>
            <w:tcW w:w="824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2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(21,257)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(24,449)</w:t>
            </w:r>
          </w:p>
        </w:tc>
      </w:tr>
      <w:tr>
        <w:trPr>
          <w:trHeight w:val="182"/>
        </w:trPr>
        <w:tc>
          <w:tcPr>
            <w:tcW w:w="8240" w:type="dxa"/>
            <w:vAlign w:val="bottom"/>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46,595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88,436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25,338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63,987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368"/>
              <w:spacing w:after="0" w:line="129" w:lineRule="exact"/>
              <w:rPr>
                <w:sz w:val="20"/>
                <w:szCs w:val="20"/>
                <w:color w:val="auto"/>
              </w:rPr>
            </w:pPr>
            <w:r>
              <w:rPr>
                <w:rFonts w:ascii="Arial" w:cs="Arial" w:eastAsia="Arial" w:hAnsi="Arial"/>
                <w:sz w:val="14"/>
                <w:szCs w:val="14"/>
                <w:b w:val="1"/>
                <w:bCs w:val="1"/>
                <w:color w:val="auto"/>
              </w:rPr>
              <w:t>April 29,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ind w:right="388"/>
              <w:spacing w:after="0" w:line="129" w:lineRule="exact"/>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96"/>
        </w:trPr>
        <w:tc>
          <w:tcPr>
            <w:tcW w:w="8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Cash paid (received) for income taxes, net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256</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(7,359)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activity</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20"/>
              <w:spacing w:after="0"/>
              <w:rPr>
                <w:sz w:val="20"/>
                <w:szCs w:val="20"/>
                <w:color w:val="auto"/>
              </w:rPr>
            </w:pPr>
            <w:r>
              <w:rPr>
                <w:rFonts w:ascii="Arial" w:cs="Arial" w:eastAsia="Arial" w:hAnsi="Arial"/>
                <w:sz w:val="14"/>
                <w:szCs w:val="14"/>
                <w:color w:val="auto"/>
              </w:rPr>
              <w:t>Non-cash operating, investing, and financing activities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Repurchase of common stock</w:t>
            </w: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460"/>
              <w:spacing w:after="0"/>
              <w:rPr>
                <w:sz w:val="20"/>
                <w:szCs w:val="20"/>
                <w:color w:val="auto"/>
              </w:rPr>
            </w:pPr>
            <w:r>
              <w:rPr>
                <w:rFonts w:ascii="Arial" w:cs="Arial" w:eastAsia="Arial" w:hAnsi="Arial"/>
                <w:sz w:val="14"/>
                <w:szCs w:val="14"/>
                <w:color w:val="auto"/>
              </w:rPr>
              <w:t>Expenditures incurred but not yet paid as of April 29, 2023 and April 30, 2022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Expenditures incurred but not yet paid as of January 28, 2023 and January 29, 2022</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1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Expenditures incurred but not yet paid as of April 29, 2023 and April 30, 2022</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3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4"/>
                <w:szCs w:val="14"/>
                <w:color w:val="auto"/>
              </w:rPr>
              <w:t>Expenditures incurred but not yet paid as of January 28, 2023 and January 29, 2022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80" w:type="dxa"/>
            <w:vAlign w:val="bottom"/>
            <w:vMerge w:val="continue"/>
          </w:tcPr>
          <w:p>
            <w:pPr>
              <w:spacing w:after="0"/>
              <w:rPr>
                <w:sz w:val="13"/>
                <w:szCs w:val="13"/>
                <w:color w:val="auto"/>
              </w:rPr>
            </w:pPr>
          </w:p>
        </w:tc>
        <w:tc>
          <w:tcPr>
            <w:tcW w:w="280" w:type="dxa"/>
            <w:vAlign w:val="bottom"/>
            <w:tcBorders>
              <w:bottom w:val="single" w:sz="8" w:color="auto"/>
            </w:tcBorders>
          </w:tcPr>
          <w:p>
            <w:pPr>
              <w:jc w:val="right"/>
              <w:ind w:right="108"/>
              <w:spacing w:after="0" w:line="159"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363</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08"/>
              <w:spacing w:after="0" w:line="159"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 to Note 3 herein for supplemental cash flow information regarding the Company’s leases.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107" w:lineRule="exact"/>
        <w:rPr>
          <w:rFonts w:ascii="Arial" w:cs="Arial" w:eastAsia="Arial" w:hAnsi="Arial"/>
          <w:sz w:val="18"/>
          <w:szCs w:val="18"/>
          <w:b w:val="1"/>
          <w:bCs w:val="1"/>
          <w:color w:val="auto"/>
        </w:rPr>
      </w:pP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 “Company” refers to Vera Bradley, Inc. and its wholly and majority owned subsidiaries, except where the context requires otherwise or where otherwise indicated.</w:t>
      </w:r>
    </w:p>
    <w:p>
      <w:pPr>
        <w:spacing w:after="0" w:line="35" w:lineRule="exact"/>
        <w:rPr>
          <w:rFonts w:ascii="Arial" w:cs="Arial" w:eastAsia="Arial" w:hAnsi="Arial"/>
          <w:sz w:val="18"/>
          <w:szCs w:val="18"/>
          <w:b w:val="1"/>
          <w:bCs w:val="1"/>
          <w:color w:val="auto"/>
        </w:rPr>
      </w:pPr>
    </w:p>
    <w:p>
      <w:pPr>
        <w:ind w:left="6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Vera Bradley, Inc. operates two unique lifestyle brands – Vera Bradley and Pura Vida. We believe Vera Bradley and Pura Vida are complementary businesses, both with devoted, emotionally-connected, and multi-generational female customer bases; alignment as causal,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66" w:lineRule="exact"/>
        <w:rPr>
          <w:rFonts w:ascii="Arial" w:cs="Arial" w:eastAsia="Arial" w:hAnsi="Arial"/>
          <w:sz w:val="18"/>
          <w:szCs w:val="18"/>
          <w:b w:val="1"/>
          <w:bCs w:val="1"/>
          <w:color w:val="auto"/>
        </w:rPr>
      </w:pPr>
    </w:p>
    <w:p>
      <w:pPr>
        <w:ind w:left="660"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62" w:lineRule="exact"/>
        <w:rPr>
          <w:rFonts w:ascii="Arial" w:cs="Arial" w:eastAsia="Arial" w:hAnsi="Arial"/>
          <w:sz w:val="18"/>
          <w:szCs w:val="18"/>
          <w:b w:val="1"/>
          <w:bCs w:val="1"/>
          <w:color w:val="auto"/>
        </w:rPr>
      </w:pPr>
    </w:p>
    <w:p>
      <w:pPr>
        <w:ind w:left="6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July 2019, Vera Bradley, Inc. acquired a 75% interest in Creative Genius, Inc., which also operates under the name Pura Vida Bracelets (“Pura Vida”). On January 30, 2023, the Company purchased the remaining 25% interest in Pura Vida. Pura Vida, based in La Jolla, California, is a digitally native lifestyle brand that we believe deeply resonates with its loyal consumer following. The Pura Vida brand has a differentiated and expanding offering of bracelets, jewelry, and other lifestyle accessories.</w:t>
      </w:r>
    </w:p>
    <w:p>
      <w:pPr>
        <w:spacing w:after="0" w:line="5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 has three reportable segments: Vera Bradley Direct (“VB Direct”), Vera Bradley Indirect (“VB Indirect”), and Pura Vida.</w:t>
      </w:r>
    </w:p>
    <w:p>
      <w:pPr>
        <w:spacing w:after="0" w:line="115" w:lineRule="exact"/>
        <w:rPr>
          <w:rFonts w:ascii="Arial" w:cs="Arial" w:eastAsia="Arial" w:hAnsi="Arial"/>
          <w:sz w:val="18"/>
          <w:szCs w:val="18"/>
          <w:b w:val="1"/>
          <w:bCs w:val="1"/>
          <w:color w:val="auto"/>
        </w:rPr>
      </w:pPr>
    </w:p>
    <w:p>
      <w:pPr>
        <w:ind w:left="980" w:right="480" w:hanging="324"/>
        <w:spacing w:after="0" w:line="301" w:lineRule="auto"/>
        <w:tabs>
          <w:tab w:leader="none" w:pos="98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VB Direct business consists of sales of Vera Bradley products through Vera Bradley full-line and factory outlet stores in the United States; verabradley.com and verabradley.ca; the Vera Bradley online outlet site; and typically the Vera Bradley annual outlet sale in Fort Wayne, Indiana. As of April 29, 2023, the Company operated 48 full-line stores and 80 factory outlet stores. In light of the COVID-19 pandemic, the Company cancelled its calendar year 2022 annual outlet sale. The sale will resume in June 2023.</w:t>
      </w:r>
    </w:p>
    <w:p>
      <w:pPr>
        <w:spacing w:after="0" w:line="35" w:lineRule="exact"/>
        <w:rPr>
          <w:rFonts w:ascii="Arial" w:cs="Arial" w:eastAsia="Arial" w:hAnsi="Arial"/>
          <w:sz w:val="16"/>
          <w:szCs w:val="16"/>
          <w:color w:val="auto"/>
        </w:rPr>
      </w:pPr>
    </w:p>
    <w:p>
      <w:pPr>
        <w:ind w:left="980" w:right="300" w:hanging="324"/>
        <w:spacing w:after="0" w:line="286" w:lineRule="auto"/>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VB Indirect business consists of sales of Vera Bradley products to approximately 1,700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30" w:lineRule="exact"/>
        <w:rPr>
          <w:rFonts w:ascii="Arial" w:cs="Arial" w:eastAsia="Arial" w:hAnsi="Arial"/>
          <w:sz w:val="17"/>
          <w:szCs w:val="17"/>
          <w:color w:val="auto"/>
        </w:rPr>
      </w:pPr>
    </w:p>
    <w:p>
      <w:pPr>
        <w:ind w:left="980" w:right="380" w:hanging="324"/>
        <w:spacing w:after="0" w:line="263"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Pura Vida segment represents revenues generated through the Pura Vida websites, www.puravidabracelets.com, www.puravidabracelets.eu, and www.puravidabracelets.ca; through the distribution of Pura Vida-branded products to wholesale retailers, substantially all of which are located in the United States; and through its five retail stores.</w:t>
      </w:r>
    </w:p>
    <w:p>
      <w:pPr>
        <w:spacing w:after="0" w:line="62"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January 28, 2023, filed with the SEC.</w:t>
      </w:r>
    </w:p>
    <w:p>
      <w:pPr>
        <w:spacing w:after="0" w:line="71"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April 29, 2023, are not necessarily indicative of the results to be expected for the full fiscal year due to, in part, the uncertainty of macroeconomic factors on future periods, including inflation and supply chain challenges, among other related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left="660" w:right="220"/>
        <w:spacing w:after="0" w:line="311" w:lineRule="auto"/>
        <w:rPr>
          <w:sz w:val="20"/>
          <w:szCs w:val="20"/>
          <w:color w:val="auto"/>
        </w:rPr>
      </w:pPr>
      <w:r>
        <w:rPr>
          <w:rFonts w:ascii="Arial" w:cs="Arial" w:eastAsia="Arial" w:hAnsi="Arial"/>
          <w:sz w:val="16"/>
          <w:szCs w:val="16"/>
          <w:color w:val="auto"/>
        </w:rPr>
        <w:t>The condensed consolidated financial statements include the accounts of the Company and its wholly owned subsidiaries, including Pura Vida. The Company has eliminated intercompany balances and transactions in consolidation. In the prior year, Pura Vida was a majority owned subsidiary and was included in the consolidated financial statements of the Company. Refer to Notes 4 and 12 herein for additional information.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94"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April 29, 2023 and April 30, 2022 refer to the thirteen week periods ended on those dates.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There were no new accounting pronouncements issued or which became effective during the thirteen weeks ended April 29, 2023, which had, or are expected to have, a significant impact on the Company's Consolidated Financial Statements.</w:t>
      </w:r>
    </w:p>
    <w:p>
      <w:pPr>
        <w:spacing w:after="0" w:line="19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5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Disaggregation of Revenue</w:t>
      </w:r>
    </w:p>
    <w:p>
      <w:pPr>
        <w:spacing w:after="0" w:line="9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following presents the Company's net revenues disaggregated by product category for the thirteen weeks ended April 29, 2023 and April 30,</w:t>
      </w:r>
    </w:p>
    <w:p>
      <w:pPr>
        <w:spacing w:after="0" w:line="4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2022 (in thousands):</w:t>
      </w:r>
    </w:p>
    <w:p>
      <w:pPr>
        <w:spacing w:after="0" w:line="121"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April 29, 2023</w:t>
            </w:r>
          </w:p>
        </w:tc>
        <w:tc>
          <w:tcPr>
            <w:tcW w:w="6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68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197"/>
              <w:spacing w:after="0" w:line="135"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Pura Vida Segment</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Bags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22,901</w:t>
            </w:r>
          </w:p>
        </w:tc>
        <w:tc>
          <w:tcPr>
            <w:tcW w:w="3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8,328</w:t>
            </w:r>
          </w:p>
        </w:tc>
        <w:tc>
          <w:tcPr>
            <w:tcW w:w="320" w:type="dxa"/>
            <w:vAlign w:val="bottom"/>
          </w:tcPr>
          <w:p>
            <w:pPr>
              <w:spacing w:after="0"/>
              <w:rPr>
                <w:sz w:val="20"/>
                <w:szCs w:val="20"/>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31,290</w:t>
            </w: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15,406</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18,585</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10,494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1,958</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19,011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31,463</w:t>
            </w: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Apparel/Footwear</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36"/>
        </w:trPr>
        <w:tc>
          <w:tcPr>
            <w:tcW w:w="368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(5)</w:t>
            </w: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99"/>
              </w:rPr>
              <w:t>(4)</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Primarily includes net revenues from stationery, freight,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and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35"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3" w:lineRule="exact"/>
        <w:rPr>
          <w:rFonts w:ascii="Arial" w:cs="Arial" w:eastAsia="Arial" w:hAnsi="Arial"/>
          <w:sz w:val="18"/>
          <w:szCs w:val="18"/>
          <w:color w:val="auto"/>
        </w:rPr>
      </w:pPr>
    </w:p>
    <w:p>
      <w:pPr>
        <w:ind w:left="680" w:right="840" w:hanging="6"/>
        <w:spacing w:after="0" w:line="234" w:lineRule="auto"/>
        <w:tabs>
          <w:tab w:leader="none" w:pos="935" w:val="left"/>
        </w:tabs>
        <w:numPr>
          <w:ilvl w:val="0"/>
          <w:numId w:val="6"/>
        </w:numPr>
        <w:rPr>
          <w:rFonts w:ascii="Arial" w:cs="Arial" w:eastAsia="Arial" w:hAnsi="Arial"/>
          <w:sz w:val="18"/>
          <w:szCs w:val="18"/>
          <w:color w:val="auto"/>
        </w:rPr>
      </w:pPr>
      <w:r>
        <w:rPr>
          <w:rFonts w:ascii="Arial" w:cs="Arial" w:eastAsia="Arial" w:hAnsi="Arial"/>
          <w:sz w:val="18"/>
          <w:szCs w:val="18"/>
          <w:color w:val="auto"/>
        </w:rPr>
        <w:t>$14.7 million of net revenues related to product sales recognized at a point in time and $0.7 million of net revenues related to sales-based royalties recognized over time.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April 30, 2022</w:t>
            </w: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197"/>
              <w:spacing w:after="0" w:line="139" w:lineRule="exact"/>
              <w:rPr>
                <w:sz w:val="20"/>
                <w:szCs w:val="20"/>
                <w:color w:val="auto"/>
              </w:rPr>
            </w:pPr>
            <w:r>
              <w:rPr>
                <w:rFonts w:ascii="Arial" w:cs="Arial" w:eastAsia="Arial" w:hAnsi="Arial"/>
                <w:sz w:val="14"/>
                <w:szCs w:val="14"/>
                <w:b w:val="1"/>
                <w:bCs w:val="1"/>
                <w:color w:val="auto"/>
              </w:rPr>
              <w:t>VB Indirect</w:t>
            </w:r>
          </w:p>
        </w:tc>
        <w:tc>
          <w:tcPr>
            <w:tcW w:w="340" w:type="dxa"/>
            <w:vAlign w:val="bottom"/>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Pura Vida Segment</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40" w:type="dxa"/>
            <w:vAlign w:val="bottom"/>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Bags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26,132</w:t>
            </w:r>
          </w:p>
        </w:tc>
        <w:tc>
          <w:tcPr>
            <w:tcW w:w="3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9,451</w:t>
            </w:r>
          </w:p>
        </w:tc>
        <w:tc>
          <w:tcPr>
            <w:tcW w:w="34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35,646</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15,088</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18,161</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11,499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1,768</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18,860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32,127</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line="243" w:lineRule="exact"/>
              <w:rPr>
                <w:sz w:val="20"/>
                <w:szCs w:val="20"/>
                <w:color w:val="auto"/>
              </w:rPr>
            </w:pPr>
            <w:r>
              <w:rPr>
                <w:rFonts w:ascii="Arial" w:cs="Arial" w:eastAsia="Arial" w:hAnsi="Arial"/>
                <w:sz w:val="18"/>
                <w:szCs w:val="18"/>
                <w:color w:val="auto"/>
              </w:rPr>
              <w:t>Apparel/Footwear</w:t>
            </w:r>
            <w:r>
              <w:rPr>
                <w:rFonts w:ascii="Arial" w:cs="Arial" w:eastAsia="Arial" w:hAnsi="Arial"/>
                <w:sz w:val="23"/>
                <w:szCs w:val="23"/>
                <w:color w:val="auto"/>
                <w:vertAlign w:val="superscript"/>
              </w:rPr>
              <w:t>(6)</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436</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(5)</w:t>
            </w: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(4)</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98,459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stationery, freight, and gift card breakage.</w:t>
      </w:r>
    </w:p>
    <w:p>
      <w:pPr>
        <w:spacing w:after="0" w:line="36"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and freight.</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35" w:lineRule="exact"/>
        <w:rPr>
          <w:rFonts w:ascii="Arial" w:cs="Arial" w:eastAsia="Arial" w:hAnsi="Arial"/>
          <w:sz w:val="18"/>
          <w:szCs w:val="18"/>
          <w:color w:val="auto"/>
        </w:rPr>
      </w:pPr>
    </w:p>
    <w:p>
      <w:pPr>
        <w:ind w:left="680" w:right="840" w:hanging="6"/>
        <w:spacing w:after="0" w:line="235" w:lineRule="auto"/>
        <w:tabs>
          <w:tab w:leader="none" w:pos="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$16.2 million of net revenues related to product sales recognized at a point in time and $0.8 million of net revenues related to sales-based royalties recognized over time.</w:t>
      </w: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mask sales.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Balances</w:t>
      </w:r>
    </w:p>
    <w:p>
      <w:pPr>
        <w:spacing w:after="0" w:line="108" w:lineRule="exact"/>
        <w:rPr>
          <w:sz w:val="20"/>
          <w:szCs w:val="20"/>
          <w:color w:val="auto"/>
        </w:rPr>
      </w:pPr>
    </w:p>
    <w:p>
      <w:pPr>
        <w:ind w:left="660" w:right="200"/>
        <w:spacing w:after="0" w:line="296" w:lineRule="auto"/>
        <w:rPr>
          <w:sz w:val="20"/>
          <w:szCs w:val="20"/>
          <w:color w:val="auto"/>
        </w:rPr>
      </w:pPr>
      <w:r>
        <w:rPr>
          <w:rFonts w:ascii="Arial" w:cs="Arial" w:eastAsia="Arial" w:hAnsi="Arial"/>
          <w:sz w:val="16"/>
          <w:szCs w:val="16"/>
          <w:color w:val="auto"/>
        </w:rPr>
        <w:t>Contract liabilities as of April 29, 2023 and January 28, 2023, were $2.9 million and $3.2 million, respectively. The balance as of April 29, 2023 and January 28, 2023 consisted of unredeemed gift cards, unearned revenue related to the monthly bracelet and jewelry clubs of the Pura Vida segment, Pura Vida loyalty club points, and Pura Vida customer deposits and payments collected before shipment. These contract liabilities are recognized within other accrued liabilities on the Company’s Condensed Consolidated Balance Sheets. Substantially all contract liabilities are recognized within one year. The Company did not have contract assets as of April 29, 2023 and January 28, 2023.</w:t>
      </w:r>
    </w:p>
    <w:p>
      <w:pPr>
        <w:spacing w:after="0" w:line="26"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The balance for accounts receivable from contracts with customers, net of allowances, as of April 29, 2023 and January 28, 2023, was $18.8 million and $20.7 million, respectively, which is recognized within accounts receivable, net, on the Company’s Condensed Consolidated Balance Sheets. The provision for doubtful accounts was $0.8 million as of April 29, 2023 and January 28, 2023. The provision for doubtful accounts is based upon the likelihood of default expected during the life of the receivable.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Obligations</w:t>
      </w:r>
    </w:p>
    <w:p>
      <w:pPr>
        <w:spacing w:after="0" w:line="108"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Remaining Performance Obligations</w:t>
      </w:r>
    </w:p>
    <w:p>
      <w:pPr>
        <w:spacing w:after="0" w:line="9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does not have remaining performance obligations in excess of one year or contracts that it does not have the right to invoice as of April 29, 2023.</w:t>
      </w:r>
    </w:p>
    <w:p>
      <w:pPr>
        <w:spacing w:after="0" w:line="193" w:lineRule="exact"/>
        <w:rPr>
          <w:sz w:val="20"/>
          <w:szCs w:val="20"/>
          <w:color w:val="auto"/>
        </w:rPr>
      </w:pPr>
    </w:p>
    <w:p>
      <w:pPr>
        <w:ind w:left="660" w:right="9560" w:hanging="652"/>
        <w:spacing w:after="0" w:line="407"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Leases </w:t>
      </w:r>
      <w:r>
        <w:rPr>
          <w:rFonts w:ascii="Arial" w:cs="Arial" w:eastAsia="Arial" w:hAnsi="Arial"/>
          <w:sz w:val="16"/>
          <w:szCs w:val="16"/>
          <w:i w:val="1"/>
          <w:iCs w:val="1"/>
          <w:color w:val="auto"/>
        </w:rPr>
        <w:t>Discount Rate</w:t>
      </w:r>
    </w:p>
    <w:p>
      <w:pPr>
        <w:ind w:left="660" w:right="3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weighted-average discount rate as of April 29, 2023, and April 30, 2022 was 4.7% and 4.9%, respectively. The discount rate is not readily determinable in the lease; therefore, the Company estimated the incremental borrowing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rate, at the commencement date of each lease, which is the rate of interest it would have to borrow on a collateralized basis over a similar term with similar payments.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 Not Yet Commenced</w:t>
      </w:r>
    </w:p>
    <w:p>
      <w:pPr>
        <w:spacing w:after="0" w:line="94"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As of April 29, 2023, the Company had one Vera Bradley retail store lease which was executed, but it did not have control of the underlying asset; therefore, the lease liability and right-of-use asset are not recorded on the Condensed Consolidated Balance Sheet. This lease contains undiscounted lease payments, which will be included in the determination of the lease liability, totaling approximately $2.4 million and has a term of approximately 10 years commencing in fiscal year 2024.</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Amounts Recognized in the Condensed Consolidated Financial Statements</w:t>
      </w:r>
    </w:p>
    <w:p>
      <w:pPr>
        <w:spacing w:after="0" w:line="108" w:lineRule="exact"/>
        <w:rPr>
          <w:sz w:val="20"/>
          <w:szCs w:val="20"/>
          <w:color w:val="auto"/>
        </w:rPr>
      </w:pPr>
    </w:p>
    <w:p>
      <w:pPr>
        <w:jc w:val="both"/>
        <w:ind w:left="660" w:right="80"/>
        <w:spacing w:after="0" w:line="263" w:lineRule="auto"/>
        <w:rPr>
          <w:sz w:val="20"/>
          <w:szCs w:val="20"/>
          <w:color w:val="auto"/>
        </w:rPr>
      </w:pPr>
      <w:r>
        <w:rPr>
          <w:rFonts w:ascii="Arial" w:cs="Arial" w:eastAsia="Arial" w:hAnsi="Arial"/>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weeks ended April 29, 2023 and April 30, 2022 (in thousands):</w:t>
      </w:r>
    </w:p>
    <w:p>
      <w:pPr>
        <w:spacing w:after="0" w:line="9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Thirteen Weeks Ended</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29, 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2022</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340" w:type="dxa"/>
            <w:vAlign w:val="bottom"/>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6,565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6,250</w:t>
            </w: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1,356</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1,418</w:t>
            </w:r>
          </w:p>
        </w:tc>
        <w:tc>
          <w:tcPr>
            <w:tcW w:w="0" w:type="dxa"/>
            <w:vAlign w:val="bottom"/>
          </w:tcPr>
          <w:p>
            <w:pPr>
              <w:spacing w:after="0"/>
              <w:rPr>
                <w:sz w:val="1"/>
                <w:szCs w:val="1"/>
                <w:color w:val="auto"/>
              </w:rPr>
            </w:pPr>
          </w:p>
        </w:tc>
      </w:tr>
      <w:tr>
        <w:trPr>
          <w:trHeight w:val="23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3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Less: Sublease income </w:t>
            </w:r>
            <w:r>
              <w:rPr>
                <w:rFonts w:ascii="Arial" w:cs="Arial" w:eastAsia="Arial" w:hAnsi="Arial"/>
                <w:sz w:val="23"/>
                <w:szCs w:val="23"/>
                <w:color w:val="auto"/>
                <w:vertAlign w:val="superscript"/>
              </w:rPr>
              <w:t>(1)</w:t>
            </w:r>
          </w:p>
        </w:tc>
        <w:tc>
          <w:tcPr>
            <w:tcW w:w="1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lease cost</w:t>
            </w:r>
          </w:p>
        </w:tc>
        <w:tc>
          <w:tcPr>
            <w:tcW w:w="1340" w:type="dxa"/>
            <w:vAlign w:val="bottom"/>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7,938</w:t>
            </w:r>
          </w:p>
        </w:tc>
        <w:tc>
          <w:tcPr>
            <w:tcW w:w="1440" w:type="dxa"/>
            <w:vAlign w:val="bottom"/>
            <w:gridSpan w:val="2"/>
            <w:shd w:val="clear" w:color="auto" w:fill="CCEEFF"/>
          </w:tcPr>
          <w:p>
            <w:pPr>
              <w:jc w:val="right"/>
              <w:ind w:right="115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7,882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(1) Related to the sublease of a former Company location.</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weighted-average remaining lease term as of April 29, 2023 and April 30, 2022 was 5.4 years and 5.5 years, respectively.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operating cash flow information was as follows (in thousands):</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1096"/>
              <w:spacing w:after="0"/>
              <w:rPr>
                <w:sz w:val="20"/>
                <w:szCs w:val="20"/>
                <w:color w:val="auto"/>
              </w:rPr>
            </w:pPr>
            <w:r>
              <w:rPr>
                <w:rFonts w:ascii="Arial" w:cs="Arial" w:eastAsia="Arial" w:hAnsi="Arial"/>
                <w:sz w:val="14"/>
                <w:szCs w:val="14"/>
                <w:b w:val="1"/>
                <w:bCs w:val="1"/>
                <w:color w:val="auto"/>
              </w:rPr>
              <w:t>Thirteen Weeks Ended</w:t>
            </w:r>
          </w:p>
        </w:tc>
      </w:tr>
      <w:tr>
        <w:trPr>
          <w:trHeight w:val="195"/>
        </w:trPr>
        <w:tc>
          <w:tcPr>
            <w:tcW w:w="6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April 29, 2023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April 30, 2022</w:t>
            </w:r>
          </w:p>
        </w:tc>
      </w:tr>
      <w:tr>
        <w:trPr>
          <w:trHeight w:val="230"/>
        </w:trPr>
        <w:tc>
          <w:tcPr>
            <w:tcW w:w="6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1"/>
              </w:rPr>
              <w:t xml:space="preserve">Cash paid for amounts included in the measurement of operating lease liabilities </w:t>
            </w:r>
            <w:r>
              <w:rPr>
                <w:rFonts w:ascii="Arial" w:cs="Arial" w:eastAsia="Arial" w:hAnsi="Arial"/>
                <w:sz w:val="23"/>
                <w:szCs w:val="23"/>
                <w:color w:val="auto"/>
                <w:w w:val="91"/>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w:t>
            </w:r>
          </w:p>
        </w:tc>
      </w:tr>
      <w:tr>
        <w:trPr>
          <w:trHeight w:val="188"/>
        </w:trPr>
        <w:tc>
          <w:tcPr>
            <w:tcW w:w="6120" w:type="dxa"/>
            <w:vAlign w:val="bottom"/>
          </w:tcPr>
          <w:p>
            <w:pPr>
              <w:ind w:left="20"/>
              <w:spacing w:after="0" w:line="189" w:lineRule="exact"/>
              <w:rPr>
                <w:sz w:val="20"/>
                <w:szCs w:val="20"/>
                <w:color w:val="auto"/>
              </w:rPr>
            </w:pPr>
            <w:r>
              <w:rPr>
                <w:rFonts w:ascii="Arial" w:cs="Arial" w:eastAsia="Arial" w:hAnsi="Arial"/>
                <w:sz w:val="18"/>
                <w:szCs w:val="18"/>
                <w:color w:val="auto"/>
                <w:w w:val="99"/>
              </w:rPr>
              <w:t>Right-of-use assets increase as a result of new and modified operating lease</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liabilities,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2,548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5,788</w:t>
            </w:r>
          </w:p>
        </w:tc>
      </w:tr>
    </w:tbl>
    <w:p>
      <w:pPr>
        <w:ind w:left="680" w:right="700" w:hanging="6"/>
        <w:spacing w:after="0" w:line="234" w:lineRule="auto"/>
        <w:tabs>
          <w:tab w:leader="none" w:pos="935" w:val="left"/>
        </w:tabs>
        <w:numPr>
          <w:ilvl w:val="0"/>
          <w:numId w:val="9"/>
        </w:numPr>
        <w:rPr>
          <w:rFonts w:ascii="Arial" w:cs="Arial" w:eastAsia="Arial" w:hAnsi="Arial"/>
          <w:sz w:val="18"/>
          <w:szCs w:val="18"/>
          <w:color w:val="auto"/>
        </w:rPr>
      </w:pPr>
      <w:r>
        <w:rPr>
          <w:rFonts w:ascii="Arial" w:cs="Arial" w:eastAsia="Arial" w:hAnsi="Arial"/>
          <w:sz w:val="18"/>
          <w:szCs w:val="18"/>
          <w:color w:val="auto"/>
        </w:rPr>
        <w:t>$2.5 million of lease liabilities were recorded within accounts payable on the Company's Condensed Consolidated Balance Sheets as of April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7" w:lineRule="exact"/>
        <w:rPr>
          <w:rFonts w:ascii="Arial" w:cs="Arial" w:eastAsia="Arial" w:hAnsi="Arial"/>
          <w:sz w:val="18"/>
          <w:szCs w:val="18"/>
          <w:b w:val="1"/>
          <w:bCs w:val="1"/>
          <w:color w:val="auto"/>
        </w:rPr>
      </w:pPr>
    </w:p>
    <w:p>
      <w:pPr>
        <w:ind w:left="660" w:right="1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13" w:lineRule="exact"/>
        <w:rPr>
          <w:rFonts w:ascii="Arial" w:cs="Arial" w:eastAsia="Arial" w:hAnsi="Arial"/>
          <w:sz w:val="18"/>
          <w:szCs w:val="18"/>
          <w:b w:val="1"/>
          <w:bCs w:val="1"/>
          <w:color w:val="auto"/>
        </w:rPr>
      </w:pPr>
    </w:p>
    <w:p>
      <w:pPr>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As a result of the redemption feature related to the Put/Call Agreement in the prior year, the Company recorded the prior year 25% noncontrolling interest as redeemable and classified it in temporary equity within its Condensed Consolidated Balance Sheets initially at its acquisition-date fair value. The noncontrolling interest was adjusted each reporting period for income (or loss) attributable to the noncontrolling interest. A measurement period adjustment, if any, was then made to adjust the noncontrolling interest to the higher of the redemption value or carrying value each reporting period. These adjustments were recognized through retained earnings and were not reflected in net income or net income attributable to Vera Bradley, Inc. When calculating earnings per share attributable to Vera Bradley, Inc., the Company adjusted the net income attributable to Vera Bradley, Inc. for the measurement period adjustment to the extent the redemption value exceeds the fair value of the noncontrolling interest on a cumulative basis. Refer to Note 12 for additional information regarding the purchase of the remaining 25% interest on January 30, 2023.</w:t>
      </w:r>
    </w:p>
    <w:p>
      <w:pPr>
        <w:spacing w:after="0" w:line="5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basic and diluted earnings per share were as follows (in thousands, except per share data):</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Thirteen Weeks Ended</w:t>
            </w:r>
          </w:p>
        </w:tc>
      </w:tr>
      <w:tr>
        <w:trPr>
          <w:trHeight w:val="139"/>
        </w:trPr>
        <w:tc>
          <w:tcPr>
            <w:tcW w:w="7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155"/>
              <w:spacing w:after="0" w:line="139" w:lineRule="exact"/>
              <w:rPr>
                <w:sz w:val="20"/>
                <w:szCs w:val="20"/>
                <w:color w:val="auto"/>
              </w:rPr>
            </w:pPr>
            <w:r>
              <w:rPr>
                <w:rFonts w:ascii="Arial" w:cs="Arial" w:eastAsia="Arial" w:hAnsi="Arial"/>
                <w:sz w:val="14"/>
                <w:szCs w:val="14"/>
                <w:b w:val="1"/>
                <w:bCs w:val="1"/>
                <w:color w:val="auto"/>
              </w:rPr>
              <w:t>April 29,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194"/>
              <w:spacing w:after="0" w:line="139" w:lineRule="exact"/>
              <w:rPr>
                <w:sz w:val="20"/>
                <w:szCs w:val="20"/>
                <w:color w:val="auto"/>
              </w:rPr>
            </w:pPr>
            <w:r>
              <w:rPr>
                <w:rFonts w:ascii="Arial" w:cs="Arial" w:eastAsia="Arial" w:hAnsi="Arial"/>
                <w:sz w:val="14"/>
                <w:szCs w:val="14"/>
                <w:b w:val="1"/>
                <w:bCs w:val="1"/>
                <w:color w:val="auto"/>
              </w:rPr>
              <w:t>April 30,</w:t>
            </w:r>
          </w:p>
        </w:tc>
      </w:tr>
      <w:tr>
        <w:trPr>
          <w:trHeight w:val="186"/>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r>
      <w:tr>
        <w:trPr>
          <w:trHeight w:val="26"/>
        </w:trPr>
        <w:tc>
          <w:tcPr>
            <w:tcW w:w="7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(4,679)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(6,710)</w:t>
            </w:r>
          </w:p>
        </w:tc>
      </w:tr>
      <w:tr>
        <w:trPr>
          <w:trHeight w:val="23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redeemable noncontrolling interest</w:t>
            </w: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196"/>
        </w:trPr>
        <w:tc>
          <w:tcPr>
            <w:tcW w:w="7560" w:type="dxa"/>
            <w:vAlign w:val="bottom"/>
          </w:tcPr>
          <w:p>
            <w:pPr>
              <w:ind w:left="140"/>
              <w:spacing w:after="0" w:line="196" w:lineRule="exact"/>
              <w:rPr>
                <w:sz w:val="20"/>
                <w:szCs w:val="20"/>
                <w:color w:val="auto"/>
              </w:rPr>
            </w:pPr>
            <w:r>
              <w:rPr>
                <w:rFonts w:ascii="Arial" w:cs="Arial" w:eastAsia="Arial" w:hAnsi="Arial"/>
                <w:sz w:val="18"/>
                <w:szCs w:val="18"/>
                <w:color w:val="auto"/>
              </w:rPr>
              <w:t>Net loss attributable to Vera Bradley, Inc.</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(4,679)</w:t>
            </w:r>
          </w:p>
        </w:tc>
        <w:tc>
          <w:tcPr>
            <w:tcW w:w="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(6,974)</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i w:val="1"/>
                <w:iCs w:val="1"/>
                <w:color w:val="auto"/>
              </w:rPr>
              <w:t>Denominator:</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32,672</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Dilutive effect of stock-based awards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32,672</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Net loss per share available to Vera Bradley, Inc. common shareholders: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4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bl>
    <w:p>
      <w:pPr>
        <w:spacing w:after="0" w:line="67"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auto"/>
        </w:rPr>
        <w:t>For the thirteen weeks ended April 29, 2023 and April 30, 2022, all potential common shares were excluded from the diluted share calculation because they were anti-dilutive due to the net loss in the period.</w:t>
      </w:r>
    </w:p>
    <w:p>
      <w:pPr>
        <w:spacing w:after="0" w:line="200" w:lineRule="exact"/>
        <w:rPr>
          <w:sz w:val="20"/>
          <w:szCs w:val="20"/>
          <w:color w:val="auto"/>
        </w:rPr>
      </w:pPr>
    </w:p>
    <w:p>
      <w:pPr>
        <w:spacing w:after="0" w:line="24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7" w:lineRule="exact"/>
        <w:rPr>
          <w:rFonts w:ascii="Arial" w:cs="Arial" w:eastAsia="Arial" w:hAnsi="Arial"/>
          <w:sz w:val="18"/>
          <w:szCs w:val="18"/>
          <w:b w:val="1"/>
          <w:bCs w:val="1"/>
          <w:color w:val="auto"/>
        </w:rPr>
      </w:pPr>
    </w:p>
    <w:p>
      <w:pPr>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62" w:lineRule="exact"/>
        <w:rPr>
          <w:rFonts w:ascii="Arial" w:cs="Arial" w:eastAsia="Arial" w:hAnsi="Arial"/>
          <w:sz w:val="18"/>
          <w:szCs w:val="18"/>
          <w:b w:val="1"/>
          <w:bCs w:val="1"/>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carrying amounts reflected on the Condensed Consolidated Balance Sheets for cash and cash equivalents, accounts receivable, other current assets, and accounts payable as of April 29, 2023 and January 28, 2023, approximated their fair values.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details the fair value measurements of the Company's investments as of April 29, 2023 and January 28, 2023 (in thousands):</w:t>
      </w:r>
    </w:p>
    <w:p>
      <w:pPr>
        <w:spacing w:after="0" w:line="64"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4"/>
          </w:tcPr>
          <w:p>
            <w:pPr>
              <w:jc w:val="right"/>
              <w:ind w:right="72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gridSpan w:val="4"/>
          </w:tcPr>
          <w:p>
            <w:pPr>
              <w:ind w:left="4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gridSpan w:val="4"/>
          </w:tcPr>
          <w:p>
            <w:pPr>
              <w:ind w:left="4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6"/>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April 29, 2023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5"/>
              </w:rPr>
              <w:t>January 28,</w:t>
            </w:r>
          </w:p>
        </w:tc>
        <w:tc>
          <w:tcPr>
            <w:tcW w:w="12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April 29, 2023</w:t>
            </w:r>
          </w:p>
        </w:tc>
        <w:tc>
          <w:tcPr>
            <w:tcW w:w="1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88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3"/>
              </w:rPr>
              <w:t>January 28,</w:t>
            </w:r>
          </w:p>
        </w:tc>
        <w:tc>
          <w:tcPr>
            <w:tcW w:w="12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April 29, 2023</w:t>
            </w:r>
          </w:p>
        </w:tc>
        <w:tc>
          <w:tcPr>
            <w:tcW w:w="1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90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93"/>
              </w:rPr>
              <w:t>January 28,</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Cash equivalents</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80" w:right="940" w:hanging="6"/>
        <w:spacing w:after="0" w:line="235" w:lineRule="auto"/>
        <w:tabs>
          <w:tab w:leader="none" w:pos="9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equivalents primarily represent a money market fund that has a maturity of three months or less at the date of purchase. Due to the short maturity, the Company believes the carrying value approximates fair value.</w:t>
      </w:r>
    </w:p>
    <w:p>
      <w:pPr>
        <w:spacing w:after="0" w:line="175" w:lineRule="exact"/>
        <w:rPr>
          <w:sz w:val="20"/>
          <w:szCs w:val="20"/>
          <w:color w:val="auto"/>
        </w:rPr>
      </w:pPr>
    </w:p>
    <w:p>
      <w:pPr>
        <w:ind w:left="660" w:right="80"/>
        <w:spacing w:after="0" w:line="289" w:lineRule="auto"/>
        <w:rPr>
          <w:sz w:val="20"/>
          <w:szCs w:val="20"/>
          <w:color w:val="auto"/>
        </w:rPr>
      </w:pPr>
      <w:r>
        <w:rPr>
          <w:rFonts w:ascii="Arial" w:cs="Arial" w:eastAsia="Arial" w:hAnsi="Arial"/>
          <w:sz w:val="16"/>
          <w:szCs w:val="16"/>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There were no long-lived asset impairment charges for the thirteen weeks ended April 29, 2023. The Company recorded a lease right-of-use asset impairment charge of $0.6 million during the thirteen weeks ended April 30, 2022.</w:t>
      </w:r>
    </w:p>
    <w:p>
      <w:pPr>
        <w:spacing w:after="0" w:line="47"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43"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color w:val="auto"/>
        </w:rPr>
        <w:t>On a nonrecurring basis, assets recognized or disclosed at fair value on the consolidated financial statements include items such as property, plant, and equipment, including leasehold improvements, and operating lease assets, as well as assets related to the Pura Vida acquisition including goodwill (in the prior year) and intangible assets. These assets are measured at fair value if determined to be impaired. There were no goodwill or intangible asset impairment charges recorded during the thirteen weeks ended April 29, 2023 or April 30, 2022.</w:t>
      </w:r>
    </w:p>
    <w:p>
      <w:pPr>
        <w:spacing w:after="0" w:line="28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07" w:lineRule="exact"/>
        <w:rPr>
          <w:rFonts w:ascii="Arial" w:cs="Arial" w:eastAsia="Arial" w:hAnsi="Arial"/>
          <w:sz w:val="18"/>
          <w:szCs w:val="18"/>
          <w:b w:val="1"/>
          <w:bCs w:val="1"/>
          <w:color w:val="auto"/>
        </w:rPr>
      </w:pPr>
    </w:p>
    <w:p>
      <w:pPr>
        <w:ind w:left="660"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140"/>
        <w:spacing w:after="0" w:line="291" w:lineRule="auto"/>
        <w:rPr>
          <w:sz w:val="20"/>
          <w:szCs w:val="20"/>
          <w:color w:val="auto"/>
        </w:rPr>
      </w:pPr>
      <w:r>
        <w:rPr>
          <w:rFonts w:ascii="Arial" w:cs="Arial" w:eastAsia="Arial" w:hAnsi="Arial"/>
          <w:sz w:val="16"/>
          <w:szCs w:val="16"/>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31" w:lineRule="exact"/>
        <w:rPr>
          <w:sz w:val="20"/>
          <w:szCs w:val="20"/>
          <w:color w:val="auto"/>
        </w:rPr>
      </w:pPr>
    </w:p>
    <w:p>
      <w:pPr>
        <w:ind w:left="660" w:right="260"/>
        <w:spacing w:after="0" w:line="263"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62" w:lineRule="exact"/>
        <w:rPr>
          <w:sz w:val="20"/>
          <w:szCs w:val="20"/>
          <w:color w:val="auto"/>
        </w:rPr>
      </w:pPr>
    </w:p>
    <w:p>
      <w:pPr>
        <w:ind w:left="660" w:right="60"/>
        <w:spacing w:after="0" w:line="275" w:lineRule="auto"/>
        <w:rPr>
          <w:sz w:val="20"/>
          <w:szCs w:val="20"/>
          <w:color w:val="auto"/>
        </w:rPr>
      </w:pPr>
      <w:r>
        <w:rPr>
          <w:rFonts w:ascii="Arial" w:cs="Arial" w:eastAsia="Arial" w:hAnsi="Arial"/>
          <w:sz w:val="17"/>
          <w:szCs w:val="17"/>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55"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The Credit Agreement also requires the Loan Parties to maintain a minimum fixed charge coverage ratio of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52" w:lineRule="exact"/>
        <w:rPr>
          <w:sz w:val="20"/>
          <w:szCs w:val="20"/>
          <w:color w:val="auto"/>
        </w:rPr>
      </w:pPr>
    </w:p>
    <w:p>
      <w:pPr>
        <w:ind w:left="660" w:right="120"/>
        <w:spacing w:after="0" w:line="287" w:lineRule="auto"/>
        <w:rPr>
          <w:sz w:val="20"/>
          <w:szCs w:val="20"/>
          <w:color w:val="auto"/>
        </w:rPr>
      </w:pPr>
      <w:r>
        <w:rPr>
          <w:rFonts w:ascii="Arial" w:cs="Arial" w:eastAsia="Arial" w:hAnsi="Arial"/>
          <w:sz w:val="16"/>
          <w:szCs w:val="16"/>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2" w:lineRule="exact"/>
        <w:rPr>
          <w:sz w:val="20"/>
          <w:szCs w:val="20"/>
          <w:color w:val="auto"/>
        </w:rPr>
      </w:pPr>
    </w:p>
    <w:p>
      <w:pPr>
        <w:ind w:left="660" w:right="460" w:hanging="4"/>
        <w:spacing w:after="0" w:line="255" w:lineRule="auto"/>
        <w:tabs>
          <w:tab w:leader="none" w:pos="9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commitments made under the Credit Agreement mature on September 7, 2023.</w:t>
      </w:r>
    </w:p>
    <w:p>
      <w:pPr>
        <w:spacing w:after="0" w:line="104" w:lineRule="exact"/>
        <w:rPr>
          <w:sz w:val="20"/>
          <w:szCs w:val="20"/>
          <w:color w:val="auto"/>
        </w:rPr>
      </w:pPr>
    </w:p>
    <w:p>
      <w:pPr>
        <w:ind w:left="660" w:right="600"/>
        <w:spacing w:after="0" w:line="277" w:lineRule="auto"/>
        <w:rPr>
          <w:sz w:val="20"/>
          <w:szCs w:val="20"/>
          <w:color w:val="auto"/>
        </w:rPr>
      </w:pPr>
      <w:r>
        <w:rPr>
          <w:rFonts w:ascii="Arial" w:cs="Arial" w:eastAsia="Arial" w:hAnsi="Arial"/>
          <w:sz w:val="18"/>
          <w:szCs w:val="18"/>
          <w:color w:val="auto"/>
        </w:rPr>
        <w:t>As of April 29, 2023 and January 28, 2023, the Company had no borrowings outstanding and availability of $75.0 million under the Credit Agreement.</w:t>
      </w:r>
    </w:p>
    <w:p>
      <w:pPr>
        <w:spacing w:after="0" w:line="19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rFonts w:ascii="Arial" w:cs="Arial" w:eastAsia="Arial" w:hAnsi="Arial"/>
          <w:sz w:val="18"/>
          <w:szCs w:val="18"/>
          <w:b w:val="1"/>
          <w:bCs w:val="1"/>
          <w:color w:val="auto"/>
        </w:rPr>
      </w:pPr>
    </w:p>
    <w:p>
      <w:pPr>
        <w:ind w:left="66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24" w:lineRule="exact"/>
        <w:rPr>
          <w:rFonts w:ascii="Arial" w:cs="Arial" w:eastAsia="Arial" w:hAnsi="Arial"/>
          <w:sz w:val="18"/>
          <w:szCs w:val="18"/>
          <w:b w:val="1"/>
          <w:bCs w:val="1"/>
          <w:color w:val="auto"/>
        </w:rPr>
      </w:pPr>
    </w:p>
    <w:p>
      <w:pPr>
        <w:ind w:left="6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thirteen weeks ended April 29, 2023, was 27.1%, compared to 18.9% for the thirteen weeks ended April 30, 2022. The year-over-year effective tax rate increase was primarily due to the relative impact of permanent and discrete items in the current-year period compared to the prior-year period, primarily as a result of stock-based compensation, noncontrolling interest in the prior-year period, and non-deductible executive compensation.</w:t>
      </w:r>
    </w:p>
    <w:p>
      <w:pPr>
        <w:spacing w:after="0" w:line="65" w:lineRule="exact"/>
        <w:rPr>
          <w:rFonts w:ascii="Arial" w:cs="Arial" w:eastAsia="Arial" w:hAnsi="Arial"/>
          <w:sz w:val="18"/>
          <w:szCs w:val="18"/>
          <w:b w:val="1"/>
          <w:bCs w:val="1"/>
          <w:color w:val="auto"/>
        </w:rPr>
      </w:pP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Refer to Note 12 herein for information regarding the deferred income tax adjustment associated with the purchase of the remaining 25% interest in Pura Vida on January 30, 2023.</w:t>
      </w:r>
    </w:p>
    <w:p>
      <w:pPr>
        <w:spacing w:after="0" w:line="274" w:lineRule="exact"/>
        <w:rPr>
          <w:rFonts w:ascii="Arial" w:cs="Arial" w:eastAsia="Arial" w:hAnsi="Arial"/>
          <w:sz w:val="18"/>
          <w:szCs w:val="18"/>
          <w:b w:val="1"/>
          <w:bCs w:val="1"/>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07"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jc w:val="both"/>
        <w:ind w:left="660" w:right="260"/>
        <w:spacing w:after="0" w:line="263" w:lineRule="auto"/>
        <w:rPr>
          <w:sz w:val="20"/>
          <w:szCs w:val="20"/>
          <w:color w:val="auto"/>
        </w:rPr>
      </w:pPr>
      <w:r>
        <w:rPr>
          <w:rFonts w:ascii="Arial" w:cs="Arial" w:eastAsia="Arial" w:hAnsi="Arial"/>
          <w:sz w:val="18"/>
          <w:szCs w:val="18"/>
          <w:color w:val="auto"/>
        </w:rPr>
        <w:t>The Company reserved 3,000,000 shares of common stock for issuance or transfer under the 2020 Equity and Incentive Plan, which allows for grants of restricted stock units, as well as other equity awards. The Company maintains the 2010 Equity and Incentive Plan for awards granted prior to the effectiveness of the 2020 Equity and Incentive Plan.</w:t>
      </w:r>
    </w:p>
    <w:p>
      <w:pPr>
        <w:spacing w:after="0" w:line="49" w:lineRule="exact"/>
        <w:rPr>
          <w:sz w:val="20"/>
          <w:szCs w:val="20"/>
          <w:color w:val="auto"/>
        </w:rPr>
      </w:pPr>
    </w:p>
    <w:p>
      <w:pPr>
        <w:ind w:left="660" w:right="780"/>
        <w:spacing w:after="0" w:line="342" w:lineRule="auto"/>
        <w:rPr>
          <w:sz w:val="20"/>
          <w:szCs w:val="20"/>
          <w:color w:val="auto"/>
        </w:rPr>
      </w:pPr>
      <w:r>
        <w:rPr>
          <w:rFonts w:ascii="Arial" w:cs="Arial" w:eastAsia="Arial" w:hAnsi="Arial"/>
          <w:sz w:val="16"/>
          <w:szCs w:val="16"/>
          <w:color w:val="auto"/>
        </w:rPr>
        <w:t>At the Company's annual meeting on May 25, 2023, subsequent to the end of the first quarter, the Company's shareholders approved an amendment to the 2020 Equity and Incentive Plan to add an additional 3,000,000 shares of common stock to the plan.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Awards of Restricted Stock Units</w:t>
      </w:r>
    </w:p>
    <w:p>
      <w:pPr>
        <w:spacing w:after="0" w:line="266" w:lineRule="exact"/>
        <w:rPr>
          <w:sz w:val="20"/>
          <w:szCs w:val="20"/>
          <w:color w:val="auto"/>
        </w:rPr>
      </w:pPr>
    </w:p>
    <w:p>
      <w:pPr>
        <w:ind w:left="660"/>
        <w:spacing w:after="0" w:line="296" w:lineRule="auto"/>
        <w:rPr>
          <w:sz w:val="20"/>
          <w:szCs w:val="20"/>
          <w:color w:val="auto"/>
        </w:rPr>
      </w:pPr>
      <w:r>
        <w:rPr>
          <w:rFonts w:ascii="Arial" w:cs="Arial" w:eastAsia="Arial" w:hAnsi="Arial"/>
          <w:sz w:val="16"/>
          <w:szCs w:val="16"/>
          <w:color w:val="auto"/>
        </w:rPr>
        <w:t>During the thirteen weeks ended April 29, 2023, the Company granted 542,570 time-based and performance-based restricted stock units with an aggregate fair value of $3.2 million to certain employees and non-employee directors under the 2020 Equity and Incentive Plan compared to 841,369 time-based and performance-based restricted stock units with an aggregate fair value of $6.3 million in the same period of the prior year. On May 8, 2023, subsequent to the end of the first quarter, the Company granted 168,854 time-based and performance-based restricted stock units with an aggregate fair value of $0.9 million to Michael Schwindle, Chief Financial Officer of Vera Bradley, Inc.</w:t>
      </w:r>
    </w:p>
    <w:p>
      <w:pPr>
        <w:spacing w:after="0" w:line="107"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33" w:lineRule="exact"/>
        <w:rPr>
          <w:sz w:val="20"/>
          <w:szCs w:val="20"/>
          <w:color w:val="auto"/>
        </w:rPr>
      </w:pPr>
    </w:p>
    <w:p>
      <w:pPr>
        <w:ind w:left="660" w:right="80"/>
        <w:spacing w:after="0" w:line="279" w:lineRule="auto"/>
        <w:rPr>
          <w:sz w:val="20"/>
          <w:szCs w:val="20"/>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sets forth a summary of restricted stock unit activity for the thirteen weeks ended April 29, 2023 (units in thousands):</w:t>
      </w:r>
    </w:p>
    <w:p>
      <w:pPr>
        <w:spacing w:after="0" w:line="2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27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Restricted Stock Units</w:t>
            </w:r>
          </w:p>
        </w:tc>
        <w:tc>
          <w:tcPr>
            <w:tcW w:w="100" w:type="dxa"/>
            <w:vAlign w:val="bottom"/>
          </w:tcPr>
          <w:p>
            <w:pPr>
              <w:spacing w:after="0"/>
              <w:rPr>
                <w:sz w:val="16"/>
                <w:szCs w:val="16"/>
                <w:color w:val="auto"/>
              </w:rPr>
            </w:pPr>
          </w:p>
        </w:tc>
        <w:tc>
          <w:tcPr>
            <w:tcW w:w="27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25"/>
        </w:trPr>
        <w:tc>
          <w:tcPr>
            <w:tcW w:w="43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40"/>
              <w:spacing w:after="0" w:line="12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9"/>
        </w:trPr>
        <w:tc>
          <w:tcPr>
            <w:tcW w:w="4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0"/>
              <w:spacing w:after="0" w:line="13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center"/>
              <w:ind w:right="280"/>
              <w:spacing w:after="0" w:line="149" w:lineRule="exact"/>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26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center"/>
              <w:ind w:right="280"/>
              <w:spacing w:after="0" w:line="145" w:lineRule="exact"/>
              <w:rPr>
                <w:sz w:val="20"/>
                <w:szCs w:val="20"/>
                <w:color w:val="auto"/>
              </w:rPr>
            </w:pPr>
            <w:r>
              <w:rPr>
                <w:rFonts w:ascii="Arial" w:cs="Arial" w:eastAsia="Arial" w:hAnsi="Arial"/>
                <w:sz w:val="14"/>
                <w:szCs w:val="14"/>
                <w:b w:val="1"/>
                <w:bCs w:val="1"/>
                <w:color w:val="auto"/>
                <w:w w:val="96"/>
              </w:rPr>
              <w:t>Date Fair</w:t>
            </w:r>
          </w:p>
        </w:tc>
        <w:tc>
          <w:tcPr>
            <w:tcW w:w="10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0"/>
              <w:spacing w:after="0" w:line="145"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39"/>
        </w:trPr>
        <w:tc>
          <w:tcPr>
            <w:tcW w:w="43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0"/>
              <w:spacing w:after="0" w:line="13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1260" w:type="dxa"/>
            <w:vAlign w:val="bottom"/>
          </w:tcPr>
          <w:p>
            <w:pPr>
              <w:jc w:val="right"/>
              <w:ind w:right="378"/>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center"/>
              <w:ind w:right="280"/>
              <w:spacing w:after="0"/>
              <w:rPr>
                <w:sz w:val="20"/>
                <w:szCs w:val="20"/>
                <w:color w:val="auto"/>
              </w:rPr>
            </w:pPr>
            <w:r>
              <w:rPr>
                <w:rFonts w:ascii="Arial" w:cs="Arial" w:eastAsia="Arial" w:hAnsi="Arial"/>
                <w:sz w:val="14"/>
                <w:szCs w:val="14"/>
                <w:b w:val="1"/>
                <w:bCs w:val="1"/>
                <w:color w:val="auto"/>
                <w:w w:val="95"/>
              </w:rPr>
              <w:t>(per unit)</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(per unit)</w:t>
            </w:r>
          </w:p>
        </w:tc>
        <w:tc>
          <w:tcPr>
            <w:tcW w:w="0" w:type="dxa"/>
            <w:vAlign w:val="bottom"/>
          </w:tcPr>
          <w:p>
            <w:pPr>
              <w:spacing w:after="0"/>
              <w:rPr>
                <w:sz w:val="1"/>
                <w:szCs w:val="1"/>
                <w:color w:val="auto"/>
              </w:rPr>
            </w:pPr>
          </w:p>
        </w:tc>
      </w:tr>
      <w:tr>
        <w:trPr>
          <w:trHeight w:val="25"/>
        </w:trPr>
        <w:tc>
          <w:tcPr>
            <w:tcW w:w="4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January 28, 2023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(94)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6.82</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w w:val="99"/>
              </w:rPr>
              <w:t>(40)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April 29, 2023</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60" w:type="dxa"/>
            <w:vAlign w:val="bottom"/>
            <w:tcBorders>
              <w:top w:val="single" w:sz="8" w:color="CCEEFF"/>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611</w:t>
            </w:r>
          </w:p>
        </w:tc>
        <w:tc>
          <w:tcPr>
            <w:tcW w:w="34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right="100"/>
        <w:spacing w:after="0" w:line="342" w:lineRule="auto"/>
        <w:rPr>
          <w:sz w:val="20"/>
          <w:szCs w:val="20"/>
          <w:color w:val="auto"/>
        </w:rPr>
      </w:pPr>
      <w:r>
        <w:rPr>
          <w:rFonts w:ascii="Arial" w:cs="Arial" w:eastAsia="Arial" w:hAnsi="Arial"/>
          <w:sz w:val="16"/>
          <w:szCs w:val="16"/>
          <w:color w:val="auto"/>
        </w:rPr>
        <w:t>As of April 29, 2023, there was $5.2 million of total unrecognized compensation cost, net of estimated forfeitures, related to nonvested restricted stock units. That cost is expected to be recognized over a weighted-average period of 2.4 years, subject to meeting performance conditions.</w:t>
      </w:r>
    </w:p>
    <w:p>
      <w:pPr>
        <w:spacing w:after="0" w:line="24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07"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jc w:val="both"/>
        <w:ind w:left="660" w:right="300"/>
        <w:spacing w:after="0" w:line="263" w:lineRule="auto"/>
        <w:rPr>
          <w:sz w:val="20"/>
          <w:szCs w:val="20"/>
          <w:color w:val="auto"/>
        </w:rPr>
      </w:pPr>
      <w:r>
        <w:rPr>
          <w:rFonts w:ascii="Arial" w:cs="Arial" w:eastAsia="Arial" w:hAnsi="Arial"/>
          <w:sz w:val="18"/>
          <w:szCs w:val="18"/>
          <w:color w:val="auto"/>
        </w:rPr>
        <w:t>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49" w:lineRule="exact"/>
        <w:rPr>
          <w:sz w:val="20"/>
          <w:szCs w:val="20"/>
          <w:color w:val="auto"/>
        </w:rPr>
      </w:pPr>
    </w:p>
    <w:p>
      <w:pPr>
        <w:ind w:left="660" w:right="20"/>
        <w:spacing w:after="0" w:line="269" w:lineRule="auto"/>
        <w:rPr>
          <w:sz w:val="20"/>
          <w:szCs w:val="20"/>
          <w:color w:val="auto"/>
        </w:rPr>
      </w:pPr>
      <w:r>
        <w:rPr>
          <w:rFonts w:ascii="Arial" w:cs="Arial" w:eastAsia="Arial" w:hAnsi="Arial"/>
          <w:sz w:val="17"/>
          <w:szCs w:val="17"/>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Company filed a motion for summary judgement asking the Court to dismiss all claims with prejudice and grant judgement on its counterclaim. On January 4, 2023, the Court granted the Company’s motion for summary judgment dismissing Vesi’s claims and also granted judgment on the Company’s counterclaims against the principals of Vesi for an immaterial amount. Vesi has appealed this decision.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27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7" w:lineRule="exact"/>
        <w:rPr>
          <w:rFonts w:ascii="Arial" w:cs="Arial" w:eastAsia="Arial" w:hAnsi="Arial"/>
          <w:sz w:val="18"/>
          <w:szCs w:val="18"/>
          <w:b w:val="1"/>
          <w:bCs w:val="1"/>
          <w:color w:val="auto"/>
        </w:rPr>
      </w:pPr>
    </w:p>
    <w:p>
      <w:pPr>
        <w:jc w:val="both"/>
        <w:ind w:left="6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December 2021, the Company's board of directors approved a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expires in December 2024.</w:t>
      </w:r>
    </w:p>
    <w:p>
      <w:pPr>
        <w:spacing w:after="0" w:line="30" w:lineRule="exact"/>
        <w:rPr>
          <w:rFonts w:ascii="Arial" w:cs="Arial" w:eastAsia="Arial" w:hAnsi="Arial"/>
          <w:sz w:val="18"/>
          <w:szCs w:val="18"/>
          <w:b w:val="1"/>
          <w:bCs w:val="1"/>
          <w:color w:val="auto"/>
        </w:rPr>
      </w:pPr>
    </w:p>
    <w:p>
      <w:pPr>
        <w:ind w:left="660" w:right="1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purchased 128,100 shares at an average price of $5.71 per share, excluding commissions, for an aggregate amount of $0.7 million during the thirteen weeks ended April 29, 2023 under the 2021 Share Repurchase Program. There was $27.0 million remaining available to repurchase shares of the Company's common stock under the 2021 Share Repurchase Program as of April 29, 2023.</w:t>
      </w:r>
    </w:p>
    <w:p>
      <w:pPr>
        <w:spacing w:after="0" w:line="27" w:lineRule="exact"/>
        <w:rPr>
          <w:rFonts w:ascii="Arial" w:cs="Arial" w:eastAsia="Arial" w:hAnsi="Arial"/>
          <w:sz w:val="18"/>
          <w:szCs w:val="18"/>
          <w:b w:val="1"/>
          <w:bCs w:val="1"/>
          <w:color w:val="auto"/>
        </w:rPr>
      </w:pPr>
    </w:p>
    <w:p>
      <w:pPr>
        <w:ind w:left="6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of April 29, 2023, the Company held as treasury shares 12,207,790 shares of its common stock at an average price of $10.94 per share, excluding commissions, for an aggregate carrying amount of $133.6 million. The Company’s treasury shares may be issued under the 2010 Equity and Incentive Plan (with respect to outstanding awards under that plan), under the 2020 Equity and Incentive Plan, or for other corporate purposes.</w:t>
      </w:r>
    </w:p>
    <w:p>
      <w:pPr>
        <w:spacing w:after="0" w:line="266" w:lineRule="exact"/>
        <w:rPr>
          <w:rFonts w:ascii="Arial" w:cs="Arial" w:eastAsia="Arial" w:hAnsi="Arial"/>
          <w:sz w:val="18"/>
          <w:szCs w:val="18"/>
          <w:b w:val="1"/>
          <w:bCs w:val="1"/>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Cloud Computing Arrangements</w:t>
      </w:r>
    </w:p>
    <w:p>
      <w:pPr>
        <w:spacing w:after="0" w:line="94" w:lineRule="exact"/>
        <w:rPr>
          <w:rFonts w:ascii="Arial" w:cs="Arial" w:eastAsia="Arial" w:hAnsi="Arial"/>
          <w:sz w:val="18"/>
          <w:szCs w:val="18"/>
          <w:b w:val="1"/>
          <w:bCs w:val="1"/>
          <w:color w:val="auto"/>
        </w:rPr>
      </w:pPr>
    </w:p>
    <w:p>
      <w:pPr>
        <w:ind w:left="66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Condensed Consolidated Statements of Operations, which is within the same line item as the related hosting fees. The balance of the unamortized CCA implementation costs totaled $5.7 million and $6.4 million as of April 29, 2023 and January 28, 2023, respectively. Of this total, $2.9 million and $3.0 million was recorded within prepaid expenses and other current assets and $2.8 million and $3.4 million was recorded within other assets on the Company's Condensed Consolidated Balance Sheets as of April 29, 2023 and January 28, 2023, respectively. The CCA implementation costs are recorded within operating activities in the Company's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Noncontrolling Interest</w:t>
      </w:r>
    </w:p>
    <w:p>
      <w:pPr>
        <w:spacing w:after="0" w:line="107" w:lineRule="exact"/>
        <w:rPr>
          <w:rFonts w:ascii="Arial" w:cs="Arial" w:eastAsia="Arial" w:hAnsi="Arial"/>
          <w:sz w:val="18"/>
          <w:szCs w:val="18"/>
          <w:b w:val="1"/>
          <w:bCs w:val="1"/>
          <w:color w:val="auto"/>
        </w:rPr>
      </w:pPr>
    </w:p>
    <w:p>
      <w:pPr>
        <w:ind w:left="6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Redeemable noncontrolling interest represents the remaining twenty-five percent (25%) interest in Pura Vida not acquired by the Company until January 30, 2023.</w:t>
      </w:r>
    </w:p>
    <w:p>
      <w:pPr>
        <w:spacing w:after="0" w:line="35" w:lineRule="exact"/>
        <w:rPr>
          <w:rFonts w:ascii="Arial" w:cs="Arial" w:eastAsia="Arial" w:hAnsi="Arial"/>
          <w:sz w:val="18"/>
          <w:szCs w:val="18"/>
          <w:b w:val="1"/>
          <w:bCs w:val="1"/>
          <w:color w:val="auto"/>
        </w:rPr>
      </w:pPr>
    </w:p>
    <w:p>
      <w:pPr>
        <w:ind w:left="6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July 16, 2019, the Company purchased 75% of Pura Vida's outstanding equity interest and entered into a Put/Call Agreement with the Sellers (the “Put/Call Agreement”) providing for certain rights with respect to the purchase by the Company and sale by the Sellers of the Remaining Pura Vida Interests. On January 23, 2023, the Company and certain of its subsidiaries entered into an Interest Purchase Agreement (the “Interest Purchase Agreement”) with Creative Genius Holdings, Inc. a California corporation, Creative Genius Investments, Inc., a California corporation, Griffin Thall, and Paul Goodman (collectively “Sellers”) to purchase the remaining 25% of the outstanding membership interests (the “Remaining Pura Vida Interests”) of Creative Genius, LLC, a California limited liability company (“Pura Vida”).</w:t>
      </w:r>
    </w:p>
    <w:p>
      <w:pPr>
        <w:spacing w:after="0" w:line="56" w:lineRule="exact"/>
        <w:rPr>
          <w:rFonts w:ascii="Arial" w:cs="Arial" w:eastAsia="Arial" w:hAnsi="Arial"/>
          <w:sz w:val="18"/>
          <w:szCs w:val="18"/>
          <w:b w:val="1"/>
          <w:bCs w:val="1"/>
          <w:color w:val="auto"/>
        </w:rPr>
      </w:pPr>
    </w:p>
    <w:p>
      <w:pPr>
        <w:ind w:left="66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Pursuant to the Interest Purchase Agreement, and subject to the terms and conditions thereof, on the closing date (January 30, 2023), the Company acquired the Remaining Pura Vida Interests (the “Transaction”) in exchange for cash consideration consisting of $10.0 million paid at closing, subject to certain adjustments. The Transaction was not subject to financing conditions. The Company’s existing available cash and cash equivalents funded the purchase price. Following completion of the Transaction, the Company owns 100% of the ownership interests in Pura Vida.</w:t>
      </w:r>
    </w:p>
    <w:p>
      <w:pPr>
        <w:spacing w:after="0" w:line="35" w:lineRule="exact"/>
        <w:rPr>
          <w:rFonts w:ascii="Arial" w:cs="Arial" w:eastAsia="Arial" w:hAnsi="Arial"/>
          <w:sz w:val="18"/>
          <w:szCs w:val="18"/>
          <w:b w:val="1"/>
          <w:bCs w:val="1"/>
          <w:color w:val="auto"/>
        </w:rPr>
      </w:pPr>
    </w:p>
    <w:p>
      <w:pPr>
        <w:ind w:left="66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Interest Purchase Agreement provides that, as of the closing of the Transaction, all rights and obligations of the Company and the Sellers under any agreements among the parties, including the Put/Call Agreement, were terminated.</w:t>
      </w:r>
    </w:p>
    <w:p>
      <w:pPr>
        <w:spacing w:after="0" w:line="35" w:lineRule="exact"/>
        <w:rPr>
          <w:rFonts w:ascii="Arial" w:cs="Arial" w:eastAsia="Arial" w:hAnsi="Arial"/>
          <w:sz w:val="18"/>
          <w:szCs w:val="18"/>
          <w:b w:val="1"/>
          <w:bCs w:val="1"/>
          <w:color w:val="auto"/>
        </w:rPr>
      </w:pPr>
    </w:p>
    <w:p>
      <w:pPr>
        <w:ind w:left="66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a result of the Transaction, the Company recorded a decrease to redeemable noncontrolling interest of $10.7 million. The difference between the fair value of the consideration paid and the balance of the redeemable noncontrolling interest resulted in $0.7 million recognized in additional paid-in capital (“APIC”) during the thirteen weeks ended April 29, 2023. In addition, there was an APIC adjustment of $0.6 million related to deferred income taxes for the purchase of the redeemable noncontrolling interest. The total APIC adjustment for this matter during the thirteen weeks ended April 29, 2023, was $1.3 million.</w:t>
      </w:r>
    </w:p>
    <w:p>
      <w:pPr>
        <w:spacing w:after="0" w:line="6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Changes in redeemable noncontrolling interest for the thirteen weeks ended April 29, 2023, were as follows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28, 2023</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10,712</w:t>
            </w:r>
          </w:p>
        </w:tc>
      </w:tr>
      <w:tr>
        <w:trPr>
          <w:trHeight w:val="23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for purchase of noncontrolling interest</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(10,712)</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April 29, 2023</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redeemable noncontrolling interest for the thirteen weeks ended April 30, 2022, were as follows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29, 2022</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30,974</w:t>
            </w:r>
          </w:p>
        </w:tc>
      </w:tr>
      <w:tr>
        <w:trPr>
          <w:trHeight w:val="237"/>
        </w:trPr>
        <w:tc>
          <w:tcPr>
            <w:tcW w:w="8540" w:type="dxa"/>
            <w:vAlign w:val="bottom"/>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3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Balance at April 30, 2022</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31,092</w:t>
            </w:r>
          </w:p>
        </w:tc>
      </w:tr>
      <w:tr>
        <w:trPr>
          <w:trHeight w:val="20"/>
        </w:trPr>
        <w:tc>
          <w:tcPr>
            <w:tcW w:w="8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107" w:lineRule="exact"/>
        <w:rPr>
          <w:rFonts w:ascii="Arial" w:cs="Arial" w:eastAsia="Arial" w:hAnsi="Arial"/>
          <w:sz w:val="18"/>
          <w:szCs w:val="18"/>
          <w:b w:val="1"/>
          <w:bCs w:val="1"/>
          <w:color w:val="auto"/>
        </w:rPr>
      </w:pPr>
    </w:p>
    <w:p>
      <w:pPr>
        <w:ind w:left="6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tables detail the carrying value of the Company's intangible assets other than goodwill related to the acquisition of a majority interest in Pura Vida. On January 30, 2023, the Company purchased the remaining 25% interest in Pura Vida.</w:t>
      </w:r>
    </w:p>
    <w:p>
      <w:pPr>
        <w:spacing w:after="0" w:line="67"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w w:val="95"/>
              </w:rPr>
              <w:t>April 29, 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1"/>
                <w:szCs w:val="11"/>
                <w:color w:val="auto"/>
              </w:rPr>
            </w:pPr>
          </w:p>
        </w:tc>
        <w:tc>
          <w:tcPr>
            <w:tcW w:w="13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Gross Basis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137"/>
              <w:spacing w:after="0" w:line="130"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Carrying Amount</w:t>
            </w:r>
          </w:p>
        </w:tc>
        <w:tc>
          <w:tcPr>
            <w:tcW w:w="0" w:type="dxa"/>
            <w:vAlign w:val="bottom"/>
          </w:tcPr>
          <w:p>
            <w:pPr>
              <w:spacing w:after="0"/>
              <w:rPr>
                <w:sz w:val="1"/>
                <w:szCs w:val="1"/>
                <w:color w:val="auto"/>
              </w:rPr>
            </w:pPr>
          </w:p>
        </w:tc>
      </w:tr>
      <w:tr>
        <w:trPr>
          <w:trHeight w:val="201"/>
        </w:trPr>
        <w:tc>
          <w:tcPr>
            <w:tcW w:w="496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37"/>
              <w:spacing w:after="0" w:line="201" w:lineRule="exact"/>
              <w:rPr>
                <w:sz w:val="20"/>
                <w:szCs w:val="20"/>
                <w:color w:val="auto"/>
              </w:rPr>
            </w:pPr>
            <w:r>
              <w:rPr>
                <w:rFonts w:ascii="Arial" w:cs="Arial" w:eastAsia="Arial" w:hAnsi="Arial"/>
                <w:sz w:val="14"/>
                <w:szCs w:val="14"/>
                <w:b w:val="1"/>
                <w:bCs w:val="1"/>
                <w:color w:val="auto"/>
                <w:w w:val="93"/>
              </w:rPr>
              <w:t>Amortization</w:t>
            </w:r>
            <w:r>
              <w:rPr>
                <w:rFonts w:ascii="Arial" w:cs="Arial" w:eastAsia="Arial" w:hAnsi="Arial"/>
                <w:sz w:val="18"/>
                <w:szCs w:val="18"/>
                <w:b w:val="1"/>
                <w:bCs w:val="1"/>
                <w:color w:val="auto"/>
                <w:w w:val="93"/>
                <w:vertAlign w:val="superscript"/>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Definite-lived intangible 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24,208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(20,685)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63"/>
        </w:trPr>
        <w:tc>
          <w:tcPr>
            <w:tcW w:w="49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Indefinite-lived intangible asset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Pura Vida Brand </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Amortization expense is recorded within the Pura Vida segment.</w:t>
      </w:r>
    </w:p>
    <w:p>
      <w:pPr>
        <w:spacing w:after="0" w:line="23" w:lineRule="exact"/>
        <w:rPr>
          <w:rFonts w:ascii="Arial" w:cs="Arial" w:eastAsia="Arial" w:hAnsi="Arial"/>
          <w:sz w:val="18"/>
          <w:szCs w:val="18"/>
          <w:color w:val="auto"/>
        </w:rPr>
      </w:pPr>
    </w:p>
    <w:p>
      <w:pPr>
        <w:ind w:left="680" w:right="780" w:hanging="6"/>
        <w:spacing w:after="0" w:line="245" w:lineRule="auto"/>
        <w:tabs>
          <w:tab w:leader="none" w:pos="9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charges of $9.9 million and $15.1 million were recorded within the Pura Vida segment during the second and fourth quarters of fiscal 2023.</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January 28, 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jc w:val="center"/>
              <w:ind w:right="97"/>
              <w:spacing w:after="0" w:line="130"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96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Gross Basis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97"/>
              <w:spacing w:after="0" w:line="201" w:lineRule="exact"/>
              <w:rPr>
                <w:sz w:val="20"/>
                <w:szCs w:val="20"/>
                <w:color w:val="auto"/>
              </w:rPr>
            </w:pPr>
            <w:r>
              <w:rPr>
                <w:rFonts w:ascii="Arial" w:cs="Arial" w:eastAsia="Arial" w:hAnsi="Arial"/>
                <w:sz w:val="14"/>
                <w:szCs w:val="14"/>
                <w:b w:val="1"/>
                <w:bCs w:val="1"/>
                <w:color w:val="auto"/>
                <w:w w:val="93"/>
              </w:rPr>
              <w:t>Amortization</w:t>
            </w:r>
            <w:r>
              <w:rPr>
                <w:rFonts w:ascii="Arial" w:cs="Arial" w:eastAsia="Arial" w:hAnsi="Arial"/>
                <w:sz w:val="18"/>
                <w:szCs w:val="18"/>
                <w:b w:val="1"/>
                <w:bCs w:val="1"/>
                <w:color w:val="auto"/>
                <w:w w:val="93"/>
                <w:vertAlign w:val="superscript"/>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9"/>
              </w:rPr>
              <w:t>Carrying Amount</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Definite-lived intangible 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(19,956)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3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64"/>
        </w:trPr>
        <w:tc>
          <w:tcPr>
            <w:tcW w:w="49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Indefinite-lived intangible asset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Pura Vida Brand </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Amortization expense is recorded within the Pura Vida segment.</w:t>
      </w:r>
    </w:p>
    <w:p>
      <w:pPr>
        <w:spacing w:after="0" w:line="23" w:lineRule="exact"/>
        <w:rPr>
          <w:rFonts w:ascii="Arial" w:cs="Arial" w:eastAsia="Arial" w:hAnsi="Arial"/>
          <w:sz w:val="18"/>
          <w:szCs w:val="18"/>
          <w:color w:val="auto"/>
        </w:rPr>
      </w:pPr>
    </w:p>
    <w:p>
      <w:pPr>
        <w:ind w:left="680" w:right="780" w:hanging="6"/>
        <w:spacing w:after="0" w:line="245" w:lineRule="auto"/>
        <w:tabs>
          <w:tab w:leader="none" w:pos="9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 charges of $9.9 million and $15.1 million were recorded within the Pura Vida segment during the second and fourth quarters of fiscal 2023.</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 is recorded within selling, general, and administrative expenses in the Company's Condensed Consolidated Statement of</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Operations. The future amortization expense for intangible assets is as follows (in thousands):</w:t>
      </w:r>
    </w:p>
    <w:p>
      <w:pPr>
        <w:spacing w:after="0" w:line="121"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ind w:right="275"/>
              <w:spacing w:after="0"/>
              <w:rPr>
                <w:sz w:val="20"/>
                <w:szCs w:val="20"/>
                <w:color w:val="auto"/>
              </w:rPr>
            </w:pPr>
            <w:r>
              <w:rPr>
                <w:rFonts w:ascii="Arial" w:cs="Arial" w:eastAsia="Arial" w:hAnsi="Arial"/>
                <w:sz w:val="14"/>
                <w:szCs w:val="14"/>
                <w:b w:val="1"/>
                <w:bCs w:val="1"/>
                <w:color w:val="auto"/>
              </w:rPr>
              <w:t>Amortization Expense</w:t>
            </w:r>
          </w:p>
        </w:tc>
      </w:tr>
      <w:tr>
        <w:trPr>
          <w:trHeight w:val="25"/>
        </w:trPr>
        <w:tc>
          <w:tcPr>
            <w:tcW w:w="7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 (remaining nine months)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r>
      <w:tr>
        <w:trPr>
          <w:trHeight w:val="262"/>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was no goodwill balance as of April 29, 2023 and January 28, 2023 due to impairment charges recorded during fiscal 2023.</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7100" w:hanging="652"/>
        <w:spacing w:after="0" w:line="398" w:lineRule="auto"/>
        <w:tabs>
          <w:tab w:leader="none" w:pos="66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Cost Savings Initiatives and Other Charges </w:t>
      </w:r>
      <w:r>
        <w:rPr>
          <w:rFonts w:ascii="Arial" w:cs="Arial" w:eastAsia="Arial" w:hAnsi="Arial"/>
          <w:sz w:val="16"/>
          <w:szCs w:val="16"/>
          <w:i w:val="1"/>
          <w:iCs w:val="1"/>
          <w:color w:val="auto"/>
        </w:rPr>
        <w:t>Cost Savings Initiatives and Severance Charges</w:t>
      </w:r>
    </w:p>
    <w:p>
      <w:pPr>
        <w:spacing w:after="0" w:line="1" w:lineRule="exact"/>
        <w:rPr>
          <w:rFonts w:ascii="Arial" w:cs="Arial" w:eastAsia="Arial" w:hAnsi="Arial"/>
          <w:sz w:val="16"/>
          <w:szCs w:val="16"/>
          <w:b w:val="1"/>
          <w:bCs w:val="1"/>
          <w:color w:val="auto"/>
        </w:rPr>
      </w:pPr>
    </w:p>
    <w:p>
      <w:pPr>
        <w:ind w:left="660" w:right="380"/>
        <w:spacing w:after="0" w:line="286" w:lineRule="auto"/>
        <w:rPr>
          <w:rFonts w:ascii="Arial" w:cs="Arial" w:eastAsia="Arial" w:hAnsi="Arial"/>
          <w:sz w:val="16"/>
          <w:szCs w:val="16"/>
          <w:b w:val="1"/>
          <w:bCs w:val="1"/>
          <w:color w:val="auto"/>
        </w:rPr>
      </w:pPr>
      <w:r>
        <w:rPr>
          <w:rFonts w:ascii="Arial" w:cs="Arial" w:eastAsia="Arial" w:hAnsi="Arial"/>
          <w:sz w:val="17"/>
          <w:szCs w:val="17"/>
          <w:color w:val="auto"/>
        </w:rPr>
        <w:t>During fiscal 2023, the Company began implementation of its targeted cost reductions, which are expected to be fully realized in fiscal 2025. Expense savings are being derived across various areas of the Company, including retail store efficiencies, marketing expenses, information technology contracts, professional services, logistics and operational costs, and corporate payroll.</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incurred the following charges during the thirteen weeks ended April 29, 2023 (in thousands):</w:t>
      </w:r>
    </w:p>
    <w:p>
      <w:pPr>
        <w:spacing w:after="0" w:line="271"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Reportable Segment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Unallocated Corporate</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VB Direct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rPr>
              <w:t>VB Indirect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Pura Vida</w:t>
            </w:r>
          </w:p>
        </w:tc>
        <w:tc>
          <w:tcPr>
            <w:tcW w:w="100" w:type="dxa"/>
            <w:vAlign w:val="bottom"/>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w w:val="98"/>
              </w:rPr>
              <w:t>Total Expense</w:t>
            </w: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Severance charges </w:t>
            </w:r>
            <w:r>
              <w:rPr>
                <w:rFonts w:ascii="Arial" w:cs="Arial" w:eastAsia="Arial" w:hAnsi="Arial"/>
                <w:sz w:val="23"/>
                <w:szCs w:val="23"/>
                <w:color w:val="auto"/>
                <w:vertAlign w:val="superscript"/>
              </w:rPr>
              <w:t>(1)</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176"/>
        </w:trPr>
        <w:tc>
          <w:tcPr>
            <w:tcW w:w="2000" w:type="dxa"/>
            <w:vAlign w:val="bottom"/>
          </w:tcPr>
          <w:p>
            <w:pPr>
              <w:ind w:left="20"/>
              <w:spacing w:after="0" w:line="176" w:lineRule="exact"/>
              <w:rPr>
                <w:sz w:val="20"/>
                <w:szCs w:val="20"/>
                <w:color w:val="auto"/>
              </w:rPr>
            </w:pPr>
            <w:r>
              <w:rPr>
                <w:rFonts w:ascii="Arial" w:cs="Arial" w:eastAsia="Arial" w:hAnsi="Arial"/>
                <w:sz w:val="18"/>
                <w:szCs w:val="18"/>
                <w:color w:val="auto"/>
                <w:w w:val="95"/>
              </w:rPr>
              <w:t>Consulting fees and other</w:t>
            </w:r>
          </w:p>
        </w:tc>
        <w:tc>
          <w:tcPr>
            <w:tcW w:w="112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vMerge w:val="restart"/>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restart"/>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costs </w:t>
            </w:r>
            <w:r>
              <w:rPr>
                <w:rFonts w:ascii="Arial" w:cs="Arial" w:eastAsia="Arial" w:hAnsi="Arial"/>
                <w:sz w:val="23"/>
                <w:szCs w:val="23"/>
                <w:color w:val="auto"/>
                <w:vertAlign w:val="superscript"/>
              </w:rPr>
              <w:t>(2)</w:t>
            </w: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0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(3)</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342</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former CFO severance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Related to professional fees</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Recorded within selling, general, and administrative ("SG&amp;A") expenses</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charges and related liabilities associated with the cost savings initiatives and severance charges are as follows (in thousands):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Liability as of January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624967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49670" cy="15430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Fiscal 2024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24967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49670" cy="14541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Cash payments</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Liability as of April 29, 2023</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 Remaining liability is recorded within accrued employment costs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Severance Charges and Cash</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2"/>
              </w:rPr>
              <w:t>Consulting Fees and Other</w:t>
            </w:r>
          </w:p>
        </w:tc>
        <w:tc>
          <w:tcPr>
            <w:tcW w:w="0" w:type="dxa"/>
            <w:vAlign w:val="bottom"/>
          </w:tcPr>
          <w:p>
            <w:pPr>
              <w:spacing w:after="0"/>
              <w:rPr>
                <w:sz w:val="1"/>
                <w:szCs w:val="1"/>
                <w:color w:val="auto"/>
              </w:rPr>
            </w:pPr>
          </w:p>
        </w:tc>
      </w:tr>
      <w:tr>
        <w:trPr>
          <w:trHeight w:val="145"/>
        </w:trPr>
        <w:tc>
          <w:tcPr>
            <w:tcW w:w="180" w:type="dxa"/>
            <w:vAlign w:val="bottom"/>
          </w:tcPr>
          <w:p>
            <w:pPr>
              <w:spacing w:after="0"/>
              <w:rPr>
                <w:sz w:val="12"/>
                <w:szCs w:val="12"/>
                <w:color w:val="auto"/>
              </w:rPr>
            </w:pPr>
          </w:p>
        </w:tc>
        <w:tc>
          <w:tcPr>
            <w:tcW w:w="1800" w:type="dxa"/>
            <w:vAlign w:val="bottom"/>
          </w:tcPr>
          <w:p>
            <w:pPr>
              <w:jc w:val="center"/>
              <w:ind w:right="96"/>
              <w:spacing w:after="0" w:line="145" w:lineRule="exact"/>
              <w:rPr>
                <w:sz w:val="20"/>
                <w:szCs w:val="20"/>
                <w:color w:val="auto"/>
              </w:rPr>
            </w:pPr>
            <w:r>
              <w:rPr>
                <w:rFonts w:ascii="Arial" w:cs="Arial" w:eastAsia="Arial" w:hAnsi="Arial"/>
                <w:sz w:val="14"/>
                <w:szCs w:val="14"/>
                <w:b w:val="1"/>
                <w:bCs w:val="1"/>
                <w:color w:val="auto"/>
                <w:w w:val="93"/>
              </w:rPr>
              <w:t>Retention Payment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116"/>
              <w:spacing w:after="0" w:line="201" w:lineRule="exact"/>
              <w:rPr>
                <w:sz w:val="20"/>
                <w:szCs w:val="20"/>
                <w:color w:val="auto"/>
              </w:rPr>
            </w:pPr>
            <w:r>
              <w:rPr>
                <w:rFonts w:ascii="Arial" w:cs="Arial" w:eastAsia="Arial" w:hAnsi="Arial"/>
                <w:sz w:val="14"/>
                <w:szCs w:val="14"/>
                <w:b w:val="1"/>
                <w:bCs w:val="1"/>
                <w:color w:val="auto"/>
                <w:w w:val="91"/>
              </w:rPr>
              <w:t xml:space="preserve">Acceleration Charges </w:t>
            </w:r>
            <w:r>
              <w:rPr>
                <w:rFonts w:ascii="Arial" w:cs="Arial" w:eastAsia="Arial" w:hAnsi="Arial"/>
                <w:sz w:val="18"/>
                <w:szCs w:val="18"/>
                <w:b w:val="1"/>
                <w:bCs w:val="1"/>
                <w:color w:val="auto"/>
                <w:w w:val="91"/>
                <w:vertAlign w:val="superscript"/>
              </w:rPr>
              <w:t>(1)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Costs</w:t>
            </w:r>
          </w:p>
        </w:tc>
        <w:tc>
          <w:tcPr>
            <w:tcW w:w="0" w:type="dxa"/>
            <w:vAlign w:val="bottom"/>
          </w:tcPr>
          <w:p>
            <w:pPr>
              <w:spacing w:after="0"/>
              <w:rPr>
                <w:sz w:val="1"/>
                <w:szCs w:val="1"/>
                <w:color w:val="auto"/>
              </w:rPr>
            </w:pPr>
          </w:p>
        </w:tc>
      </w:tr>
      <w:tr>
        <w:trPr>
          <w:trHeight w:val="224"/>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center"/>
              <w:ind w:left="1156"/>
              <w:spacing w:after="0"/>
              <w:rPr>
                <w:sz w:val="20"/>
                <w:szCs w:val="20"/>
                <w:color w:val="auto"/>
              </w:rPr>
            </w:pPr>
            <w:r>
              <w:rPr>
                <w:rFonts w:ascii="Arial" w:cs="Arial" w:eastAsia="Arial" w:hAnsi="Arial"/>
                <w:sz w:val="18"/>
                <w:szCs w:val="18"/>
                <w:color w:val="auto"/>
                <w:w w:val="88"/>
              </w:rPr>
              <w:t>3,083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p>
        </w:tc>
        <w:tc>
          <w:tcPr>
            <w:tcW w:w="1800" w:type="dxa"/>
            <w:vAlign w:val="bottom"/>
          </w:tcPr>
          <w:p>
            <w:pPr>
              <w:jc w:val="center"/>
              <w:ind w:left="1156"/>
              <w:spacing w:after="0"/>
              <w:rPr>
                <w:sz w:val="20"/>
                <w:szCs w:val="20"/>
                <w:color w:val="auto"/>
              </w:rPr>
            </w:pPr>
            <w:r>
              <w:rPr>
                <w:rFonts w:ascii="Arial" w:cs="Arial" w:eastAsia="Arial" w:hAnsi="Arial"/>
                <w:sz w:val="18"/>
                <w:szCs w:val="18"/>
                <w:color w:val="auto"/>
                <w:w w:val="88"/>
              </w:rPr>
              <w:t>1,989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left="1116"/>
              <w:spacing w:after="0"/>
              <w:rPr>
                <w:sz w:val="20"/>
                <w:szCs w:val="20"/>
                <w:color w:val="auto"/>
              </w:rPr>
            </w:pPr>
            <w:r>
              <w:rPr>
                <w:rFonts w:ascii="Arial" w:cs="Arial" w:eastAsia="Arial" w:hAnsi="Arial"/>
                <w:sz w:val="18"/>
                <w:szCs w:val="18"/>
                <w:color w:val="auto"/>
                <w:w w:val="91"/>
              </w:rPr>
              <w:t>(2,913)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center"/>
              <w:ind w:left="1156"/>
              <w:spacing w:after="0"/>
              <w:rPr>
                <w:sz w:val="20"/>
                <w:szCs w:val="20"/>
                <w:color w:val="auto"/>
              </w:rPr>
            </w:pPr>
            <w:r>
              <w:rPr>
                <w:rFonts w:ascii="Arial" w:cs="Arial" w:eastAsia="Arial" w:hAnsi="Arial"/>
                <w:sz w:val="18"/>
                <w:szCs w:val="18"/>
                <w:color w:val="auto"/>
                <w:w w:val="88"/>
              </w:rPr>
              <w:t>2,159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10" w:lineRule="exact"/>
        <w:rPr>
          <w:sz w:val="20"/>
          <w:szCs w:val="20"/>
          <w:color w:val="auto"/>
        </w:rPr>
      </w:pPr>
    </w:p>
    <w:p>
      <w:pPr>
        <w:sectPr>
          <w:pgSz w:w="11900" w:h="16838" w:orient="portrait"/>
          <w:cols w:equalWidth="0" w:num="2">
            <w:col w:w="5720" w:space="720"/>
            <w:col w:w="4760"/>
          </w:cols>
          <w:pgMar w:left="320" w:top="121" w:right="379" w:bottom="1440" w:gutter="0" w:footer="0" w:header="0"/>
          <w:type w:val="continuous"/>
        </w:sectPr>
      </w:pPr>
    </w:p>
    <w:p>
      <w:pPr>
        <w:spacing w:after="0" w:line="156" w:lineRule="exact"/>
        <w:rPr>
          <w:sz w:val="20"/>
          <w:szCs w:val="20"/>
          <w:color w:val="auto"/>
        </w:rPr>
      </w:pPr>
    </w:p>
    <w:p>
      <w:pPr>
        <w:ind w:left="660" w:right="220"/>
        <w:spacing w:after="0" w:line="246" w:lineRule="auto"/>
        <w:rPr>
          <w:sz w:val="20"/>
          <w:szCs w:val="20"/>
          <w:color w:val="auto"/>
        </w:rPr>
      </w:pPr>
      <w:r>
        <w:rPr>
          <w:rFonts w:ascii="Arial" w:cs="Arial" w:eastAsia="Arial" w:hAnsi="Arial"/>
          <w:sz w:val="18"/>
          <w:szCs w:val="18"/>
          <w:color w:val="auto"/>
        </w:rPr>
        <w:t>During the thirteen weeks ended April 30, 2022, the Company incurred $0.2 million for consulting costs associated with cost savings initiatives recognized within SG&amp;A and corporate unallocated expenses.</w:t>
      </w:r>
    </w:p>
    <w:p>
      <w:pPr>
        <w:spacing w:after="0" w:line="30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07" w:lineRule="exact"/>
        <w:rPr>
          <w:rFonts w:ascii="Arial" w:cs="Arial" w:eastAsia="Arial" w:hAnsi="Arial"/>
          <w:sz w:val="18"/>
          <w:szCs w:val="18"/>
          <w:b w:val="1"/>
          <w:bCs w:val="1"/>
          <w:color w:val="auto"/>
        </w:rPr>
      </w:pPr>
    </w:p>
    <w:p>
      <w:pPr>
        <w:ind w:left="660" w:right="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has three operating segments, which are also its reportable segments: VB 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27" w:lineRule="exact"/>
        <w:rPr>
          <w:rFonts w:ascii="Arial" w:cs="Arial" w:eastAsia="Arial" w:hAnsi="Arial"/>
          <w:sz w:val="18"/>
          <w:szCs w:val="18"/>
          <w:b w:val="1"/>
          <w:bCs w:val="1"/>
          <w:color w:val="auto"/>
        </w:rPr>
      </w:pPr>
    </w:p>
    <w:p>
      <w:pPr>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VB Direct segment includes Vera Bradley full-line and factory outlet stores; the Vera Bradley websites, verabradley.com and verabradley.ca; the Vera Bradley online outlet site; and typically the Vera Bradley annual outlet sale. Revenues generated from this segment are driven through the sale of Vera Bradley-branded products from Vera Bradley to end consumers.</w:t>
      </w:r>
    </w:p>
    <w:p>
      <w:pPr>
        <w:spacing w:after="0" w:line="48" w:lineRule="exact"/>
        <w:rPr>
          <w:rFonts w:ascii="Arial" w:cs="Arial" w:eastAsia="Arial" w:hAnsi="Arial"/>
          <w:sz w:val="18"/>
          <w:szCs w:val="18"/>
          <w:b w:val="1"/>
          <w:bCs w:val="1"/>
          <w:color w:val="auto"/>
        </w:rPr>
      </w:pPr>
    </w:p>
    <w:p>
      <w:pPr>
        <w:ind w:left="6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VB Indirect segment represents revenues generated through the distribution of Vera Bradley-branded products to specialty retailers representing approximately 1,700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The Pura Vida segment represents revenues generated through the Pura Vida websites, www.puravidabracelets.com, www.puravidabracelets.eu, and www.puravidabracelets.ca; through the distribution of Pura Vida-branded products to wholesale retailers, substantially all of which are located in the United States; and through the Pura Vida retail stores.</w:t>
      </w:r>
    </w:p>
    <w:p>
      <w:pPr>
        <w:spacing w:after="0" w:line="49"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65" w:lineRule="exact"/>
        <w:rPr>
          <w:sz w:val="20"/>
          <w:szCs w:val="20"/>
          <w:color w:val="auto"/>
        </w:rPr>
      </w:pPr>
    </w:p>
    <w:p>
      <w:pPr>
        <w:ind w:left="660" w:right="220"/>
        <w:spacing w:after="0" w:line="278" w:lineRule="auto"/>
        <w:rPr>
          <w:sz w:val="20"/>
          <w:szCs w:val="20"/>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weeks ended April 29, 2023 and April 30, 2022, respectively, consisted of the following (in thousands):</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
        </w:trPr>
        <w:tc>
          <w:tcPr>
            <w:tcW w:w="6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right"/>
              <w:ind w:right="414"/>
              <w:spacing w:after="0" w:line="129" w:lineRule="exact"/>
              <w:rPr>
                <w:sz w:val="20"/>
                <w:szCs w:val="20"/>
                <w:color w:val="auto"/>
              </w:rPr>
            </w:pPr>
            <w:r>
              <w:rPr>
                <w:rFonts w:ascii="Arial" w:cs="Arial" w:eastAsia="Arial" w:hAnsi="Arial"/>
                <w:sz w:val="14"/>
                <w:szCs w:val="14"/>
                <w:b w:val="1"/>
                <w:bCs w:val="1"/>
                <w:color w:val="auto"/>
              </w:rPr>
              <w:t>April 29,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433"/>
              <w:spacing w:after="0" w:line="129" w:lineRule="exact"/>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20"/>
              <w:spacing w:after="0"/>
              <w:rPr>
                <w:sz w:val="20"/>
                <w:szCs w:val="20"/>
                <w:color w:val="auto"/>
              </w:rPr>
            </w:pPr>
            <w:r>
              <w:rPr>
                <w:rFonts w:ascii="Arial" w:cs="Arial" w:eastAsia="Arial" w:hAnsi="Arial"/>
                <w:sz w:val="18"/>
                <w:szCs w:val="18"/>
                <w:color w:val="auto"/>
              </w:rPr>
              <w:t>VB Direct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58,905</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61,636</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VB Indirect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Pura Vida</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19,846</w:t>
            </w:r>
          </w:p>
        </w:tc>
        <w:tc>
          <w:tcPr>
            <w:tcW w:w="0" w:type="dxa"/>
            <w:vAlign w:val="bottom"/>
          </w:tcPr>
          <w:p>
            <w:pPr>
              <w:spacing w:after="0"/>
              <w:rPr>
                <w:sz w:val="1"/>
                <w:szCs w:val="1"/>
                <w:color w:val="auto"/>
              </w:rPr>
            </w:pPr>
          </w:p>
        </w:tc>
      </w:tr>
      <w:tr>
        <w:trPr>
          <w:trHeight w:val="254"/>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98,459</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Segment operating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VB Direct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29"/>
        </w:trPr>
        <w:tc>
          <w:tcPr>
            <w:tcW w:w="6580" w:type="dxa"/>
            <w:vAlign w:val="bottom"/>
          </w:tcPr>
          <w:p>
            <w:pPr>
              <w:ind w:left="220"/>
              <w:spacing w:after="0"/>
              <w:rPr>
                <w:sz w:val="20"/>
                <w:szCs w:val="20"/>
                <w:color w:val="auto"/>
              </w:rPr>
            </w:pPr>
            <w:r>
              <w:rPr>
                <w:rFonts w:ascii="Arial" w:cs="Arial" w:eastAsia="Arial" w:hAnsi="Arial"/>
                <w:sz w:val="18"/>
                <w:szCs w:val="18"/>
                <w:color w:val="auto"/>
              </w:rPr>
              <w:t>VB Indirect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Pura Vida</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30"/>
        </w:trPr>
        <w:tc>
          <w:tcPr>
            <w:tcW w:w="6580" w:type="dxa"/>
            <w:vAlign w:val="bottom"/>
          </w:tcPr>
          <w:p>
            <w:pPr>
              <w:ind w:left="46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13,608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12,038</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Reconciliation:</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20"/>
              <w:spacing w:after="0"/>
              <w:rPr>
                <w:sz w:val="20"/>
                <w:szCs w:val="20"/>
                <w:color w:val="auto"/>
              </w:rPr>
            </w:pPr>
            <w:r>
              <w:rPr>
                <w:rFonts w:ascii="Arial" w:cs="Arial" w:eastAsia="Arial" w:hAnsi="Arial"/>
                <w:sz w:val="18"/>
                <w:szCs w:val="18"/>
                <w:color w:val="auto"/>
              </w:rPr>
              <w:t>Segment 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13,608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12,038</w:t>
            </w: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2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(20,271)</w:t>
            </w: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0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discussion summarizes the significant factors affecting the condensed consolidated operating results, financial condition, liquidity, and cash flows of the Company as of and for the thirteen weeks ended April 29, 2023 and April 30, 2022. The following discussion should be read in conjunction with our Annual Report on Form 10-K for the fiscal year ended January 28, 2023, and our unaudited condensed consolidated financial statements and the related notes included in Item 1 of this Quarterly Report. The results of operations for the thirteen weeks ended April 29, 2023, are not necessarily indicative of the results to be expected for the full fiscal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Progress, Macroeconomic Factors, and Other Factors Impacting our Financial Condition and Results of Operations</w:t>
      </w:r>
    </w:p>
    <w:p>
      <w:pPr>
        <w:spacing w:after="0" w:line="10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Strategic Progress</w:t>
      </w:r>
      <w:r>
        <w:rPr>
          <w:rFonts w:ascii="Arial" w:cs="Arial" w:eastAsia="Arial" w:hAnsi="Arial"/>
          <w:sz w:val="17"/>
          <w:szCs w:val="17"/>
          <w:color w:val="auto"/>
        </w:rPr>
        <w:t>. In the first quarter of fiscal 2024, we began work on Project Restoration, which is focused on four key pillars of the business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brand to help drive long-term profitable growth. These pillars are: Consumer, Brand, Product, and Channel. To support Project Restoration, and to lay the groundwork for our success, we made additional corporate changes, including the elimination of approximately 25 corporate positions. We also announced additional cost reductions as part of our overall plan to right-size the expense structure of our Company.</w:t>
      </w:r>
    </w:p>
    <w:p>
      <w:pPr>
        <w:spacing w:after="0" w:line="5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These expense savings are expected to be fully realized in fiscal 2025. Savings are being derived across various areas of the Company, including retail store efficiencies, marketing expenses, information technology contracts, professional services, logistics and operational costs, and corporate payroll. We will continue to review our expense structure for additional cost reduction opportunities.</w:t>
      </w:r>
    </w:p>
    <w:p>
      <w:pPr>
        <w:spacing w:after="0" w:line="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 assist in driving profitable growth and supporting the execution of Project Restoration, Michael Schwindle joined the Company as Chief Financial Officer on May 8, 2023, subsequent to the end of the first quarter.</w:t>
      </w:r>
    </w:p>
    <w:p>
      <w:pPr>
        <w:spacing w:after="0" w:line="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a result of these cost savings initiatives, as well as a result of our CFO transition, we recorded severance charges of approximately $2.0 million within SG&amp;A expenses during the thirteen weeks ended April 29, 2023. Refer to Note 14 to the Notes to the Condensed Consolidated Financial Statements herein for additional information.</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Macroeconomic and Other Factors</w:t>
      </w:r>
      <w:r>
        <w:rPr>
          <w:rFonts w:ascii="Arial" w:cs="Arial" w:eastAsia="Arial" w:hAnsi="Arial"/>
          <w:sz w:val="18"/>
          <w:szCs w:val="18"/>
          <w:color w:val="auto"/>
        </w:rPr>
        <w:t>. We have been impacted by higher tariffs from previously duty-free countries, where we source products,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expiration of the Generalized System of Preferences (“GSP”) duty-free status at the end of calendar year 2020. In addition, the macroeconomic environment has been further challenged by inflationary pressures, including high gas prices, and other related factors that have impacted consumer discretionary spending. We continued to see weakness in the Vera Bradley factory store business in the first quarter. However, we have seen improving trends in our Pura Vida e-commerce and wholesale channels.</w:t>
      </w:r>
    </w:p>
    <w:p>
      <w:pPr>
        <w:spacing w:after="0" w:line="5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Within our supply chain, the COVID-19 pandemic caused disruptions that have resulted in delivery delays and increased inbound and outbound shipping costs. However, these supply chain disruptions began to stabilize towards the end of fiscal 2023. We began to see favorability in our operating results associated with the reduction in these costs in the first quarter of fiscal 2024 compared to the prior-year period.</w:t>
      </w:r>
    </w:p>
    <w:p>
      <w:pPr>
        <w:spacing w:after="0" w:line="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implemented strategic price increases across both of our brands to mitigate some of these inflationary and supply chain pressures in late fiscal 2022 and early fiscal 2023. We will continue to monitor our pricing as it relates to the current macroeconomic trends.</w:t>
      </w:r>
    </w:p>
    <w:p>
      <w:pPr>
        <w:spacing w:after="0" w:line="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While we continue to actively monitor this rapidly evolving macroeconomic environment and are working to mitigate the situation, these matters could have a material adverse effect on our liquidity,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Net revenues reflect sales of our merchandise and revenue from distribution and shipping and handling fees, less returns and discounts. Revenues for the VB Direct segment reflect sales through Vera Bradley full-line and factory outlet stores; the Vera Bradley websites verabradley.com and verabradley.ca; and our Vera Bradley online outlet site. The Vera Bradley annual outlet sale was cancelled in the prior year but will resume in June 2023.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 the Pura Vida websites, www.puravidabracelets.com, www.puravidabracelets.eu, and www.puravidabracelets.ca; through the distribution of Pura Vida-branded products to wholesale retailers; and through Pura Vida retail stores.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Comparable sales are calculated based upon our stores that have been open for at least 12 full fiscal months and net revenues from our Vera Bradley e-commerce operations.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3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Measuring the change in year-over-year comparable sales allows us and our investors to evaluate how our store base and e-commerce operations are performing. Various factors affect our comparable sales, including:</w:t>
      </w:r>
    </w:p>
    <w:p>
      <w:pPr>
        <w:spacing w:after="0" w:line="4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of store, mall, and e-commerce traffic;</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 and to our on-line customers;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success of promotional and marketing efforts.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all inbound freight costs incurred, and inventory adjustments, if any. The components of our reported cost of sales may not be comparable to those of other retail and wholesale companies.</w:t>
      </w:r>
    </w:p>
    <w:p>
      <w:pPr>
        <w:spacing w:after="0" w:line="13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Gross profit can be impacted by changes in volume; fluctuations in sales price; inbound freight and other logistical costs; operational efficiencies, such as leveraging of fixed costs; promotional activities, including free shipping; commodity prices, such as for cotton; tariffs; and labor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include selling; advertising, marketing, and product development; and administrative expenses. Selling expenses include:</w:t>
      </w:r>
    </w:p>
    <w:p>
      <w:pPr>
        <w:spacing w:after="0" w:line="10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VB Direct business expenses, such as store expenses, employee compensation, and store occupancy and supply costs;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VB Indirect business expenses consisting primarily of employee compensation and other expenses associated with sales to Indirect retailers; and</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Pura Vida business expenses primarily related to employee compensation and store expenses.</w:t>
      </w:r>
    </w:p>
    <w:p>
      <w:pPr>
        <w:spacing w:after="0" w:line="10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Advertising, marketing, and product development expenses include employee compensation, media costs, creative production expenses, marketing agency fees, new product design costs, public relations expenses, and market research expenses. Administrative expenses include employee compensation for corporate functions, corporate headquarters occupancy costs, consulting and software expenses, and charitable donations, as well as severance charges and consulting fees associated with cost savings initiatives disclosed in Note 14 to the Notes to the Condensed Consolidated Financial Statements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primarily includes certain legal settlements, sales tax credits received for timely filings, and sublease income.</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Operating loss is equal to gross profit less SG&amp;A expenses plus other income, net. Operating loss excludes interest income, interest expense, and 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Net loss is equal to operating loss plus interest income less interest expense and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Redeemable Noncontrolling Interest</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income attributable to redeemable noncontrolling interest represents the operating results of Pura Vida that are not attributable to Vera Bradley, Inc, which was applicable for our prior year, fiscal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Vera Bradley,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Vera Bradley, Inc. is equal to net loss less net income attributable to redeemable noncontrolling interest.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We perform our annual impairment test over the indefinite-lived Pura Vida brand (and goodwill in prior years) during the second quarter of each fiscal year.</w:t>
      </w:r>
    </w:p>
    <w:p>
      <w:pPr>
        <w:spacing w:after="0" w:line="24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Refer to Note 15 to the Notes to the Consolidated Financial Statements filed with the SEC on Form 10-K for the fiscal year ended January 28, 2023, for additional information regarding the goodwill and indefinite-lived intangible assets impairment tests and impairment charges recorded during fiscal 2023. There were no impairment charges recorded during the thirteen weeks ended April 29, 2023 or April 30,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0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5 to the Notes to the Condensed Consolidated Financial Statements herein. An impairment charge of $0.6 million was recognized during thirteen weeks ended April 30, 2022 for a lease right-of use asset and is recorded in SG&amp;A expenses and within corporate unallocated expenses. There were no impairment charges recorded during the thirteen weeks ended April 29, 2023. We are unable to predict the extent of the impact that the inflationary environment and supply chain challenges could have on our operations, the economy, or other factors; therefore, it is possible additional impairments could be identified in future periods, and such amounts could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39"/>
        </w:trPr>
        <w:tc>
          <w:tcPr>
            <w:tcW w:w="8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right"/>
              <w:ind w:right="412"/>
              <w:spacing w:after="0" w:line="139" w:lineRule="exact"/>
              <w:rPr>
                <w:sz w:val="20"/>
                <w:szCs w:val="20"/>
                <w:color w:val="auto"/>
              </w:rPr>
            </w:pPr>
            <w:r>
              <w:rPr>
                <w:rFonts w:ascii="Arial" w:cs="Arial" w:eastAsia="Arial" w:hAnsi="Arial"/>
                <w:sz w:val="14"/>
                <w:szCs w:val="14"/>
                <w:b w:val="1"/>
                <w:bCs w:val="1"/>
                <w:color w:val="auto"/>
              </w:rPr>
              <w:t>April 29,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8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94,362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98,459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42,613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45,945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51,749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52,514</w:t>
            </w: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58,506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60,914</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802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(6,386)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(8,233)</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02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(6,418)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(8,273)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(1,739)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(4,679)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redeemable noncontrolling interest</w:t>
            </w: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3"/>
        </w:trPr>
        <w:tc>
          <w:tcPr>
            <w:tcW w:w="8020" w:type="dxa"/>
            <w:vAlign w:val="bottom"/>
          </w:tcPr>
          <w:p>
            <w:pPr>
              <w:ind w:left="220"/>
              <w:spacing w:after="0"/>
              <w:rPr>
                <w:sz w:val="20"/>
                <w:szCs w:val="20"/>
                <w:color w:val="auto"/>
              </w:rPr>
            </w:pPr>
            <w:r>
              <w:rPr>
                <w:rFonts w:ascii="Arial" w:cs="Arial" w:eastAsia="Arial" w:hAnsi="Arial"/>
                <w:sz w:val="18"/>
                <w:szCs w:val="18"/>
                <w:color w:val="auto"/>
              </w:rPr>
              <w:t>Net loss attributable to Vera Bradley, Inc.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(4,679)</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(6,974)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Revenues: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45.2 %</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46.7 %</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54.8 %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53.3 %</w:t>
            </w:r>
          </w:p>
        </w:tc>
        <w:tc>
          <w:tcPr>
            <w:tcW w:w="0" w:type="dxa"/>
            <w:vAlign w:val="bottom"/>
          </w:tcPr>
          <w:p>
            <w:pPr>
              <w:spacing w:after="0"/>
              <w:rPr>
                <w:sz w:val="1"/>
                <w:szCs w:val="1"/>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62.0 %</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61.9 %</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Less: Net income attributable to redeemable noncontrolling interest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55"/>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 attributable to Vera Bradley, Inc.</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4"/>
          </w:tcPr>
          <w:p>
            <w:pPr>
              <w:jc w:val="right"/>
              <w:ind w:right="816"/>
              <w:spacing w:after="0"/>
              <w:rPr>
                <w:sz w:val="20"/>
                <w:szCs w:val="20"/>
                <w:color w:val="auto"/>
              </w:rPr>
            </w:pPr>
            <w:r>
              <w:rPr>
                <w:rFonts w:ascii="Arial" w:cs="Arial" w:eastAsia="Arial" w:hAnsi="Arial"/>
                <w:sz w:val="14"/>
                <w:szCs w:val="14"/>
                <w:b w:val="1"/>
                <w:bCs w:val="1"/>
                <w:color w:val="auto"/>
              </w:rPr>
              <w:t>Thirteen Weeks Ended</w:t>
            </w:r>
          </w:p>
        </w:tc>
      </w:tr>
      <w:tr>
        <w:trPr>
          <w:trHeight w:val="25"/>
        </w:trPr>
        <w:tc>
          <w:tcPr>
            <w:tcW w:w="8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9"/>
        </w:trPr>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right"/>
              <w:ind w:right="418"/>
              <w:spacing w:after="0" w:line="129" w:lineRule="exact"/>
              <w:rPr>
                <w:sz w:val="20"/>
                <w:szCs w:val="20"/>
                <w:color w:val="auto"/>
              </w:rPr>
            </w:pPr>
            <w:r>
              <w:rPr>
                <w:rFonts w:ascii="Arial" w:cs="Arial" w:eastAsia="Arial" w:hAnsi="Arial"/>
                <w:sz w:val="14"/>
                <w:szCs w:val="14"/>
                <w:b w:val="1"/>
                <w:bCs w:val="1"/>
                <w:color w:val="auto"/>
              </w:rPr>
              <w:t>April 29,</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right"/>
              <w:ind w:right="416"/>
              <w:spacing w:after="0" w:line="129" w:lineRule="exact"/>
              <w:rPr>
                <w:sz w:val="20"/>
                <w:szCs w:val="20"/>
                <w:color w:val="auto"/>
              </w:rPr>
            </w:pPr>
            <w:r>
              <w:rPr>
                <w:rFonts w:ascii="Arial" w:cs="Arial" w:eastAsia="Arial" w:hAnsi="Arial"/>
                <w:sz w:val="14"/>
                <w:szCs w:val="14"/>
                <w:b w:val="1"/>
                <w:bCs w:val="1"/>
                <w:color w:val="auto"/>
              </w:rPr>
              <w:t>April 30,</w:t>
            </w:r>
          </w:p>
        </w:tc>
      </w:tr>
      <w:tr>
        <w:trPr>
          <w:trHeight w:val="196"/>
        </w:trPr>
        <w:tc>
          <w:tcPr>
            <w:tcW w:w="8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Net Revenues by Segment:</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58,905</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61,636</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300" w:type="dxa"/>
            <w:vAlign w:val="bottom"/>
          </w:tcPr>
          <w:p>
            <w:pPr>
              <w:spacing w:after="0"/>
              <w:rPr>
                <w:sz w:val="19"/>
                <w:szCs w:val="19"/>
                <w:color w:val="auto"/>
              </w:rPr>
            </w:pPr>
          </w:p>
        </w:tc>
        <w:tc>
          <w:tcPr>
            <w:tcW w:w="1240" w:type="dxa"/>
            <w:vAlign w:val="bottom"/>
          </w:tcPr>
          <w:p>
            <w:pPr>
              <w:jc w:val="right"/>
              <w:ind w:right="138"/>
              <w:spacing w:after="0"/>
              <w:rPr>
                <w:sz w:val="20"/>
                <w:szCs w:val="20"/>
                <w:color w:val="auto"/>
              </w:rPr>
            </w:pPr>
            <w:r>
              <w:rPr>
                <w:rFonts w:ascii="Arial" w:cs="Arial" w:eastAsia="Arial" w:hAnsi="Arial"/>
                <w:sz w:val="18"/>
                <w:szCs w:val="18"/>
                <w:color w:val="auto"/>
              </w:rPr>
              <w:t>15,373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16,977</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20,084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19,846</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8"/>
              <w:spacing w:after="0"/>
              <w:rPr>
                <w:sz w:val="20"/>
                <w:szCs w:val="20"/>
                <w:color w:val="auto"/>
              </w:rPr>
            </w:pPr>
            <w:r>
              <w:rPr>
                <w:rFonts w:ascii="Arial" w:cs="Arial" w:eastAsia="Arial" w:hAnsi="Arial"/>
                <w:sz w:val="18"/>
                <w:szCs w:val="18"/>
                <w:color w:val="auto"/>
              </w:rPr>
              <w:t>94,362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98,459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Revenues by Segment:</w:t>
            </w:r>
          </w:p>
        </w:tc>
        <w:tc>
          <w:tcPr>
            <w:tcW w:w="3680" w:type="dxa"/>
            <w:vAlign w:val="bottom"/>
            <w:tcBorders>
              <w:top w:val="single" w:sz="8" w:color="CCEEFF"/>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VB Direct</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62.4 %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62.6 %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Indirect</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Pura Vida</w:t>
            </w:r>
          </w:p>
        </w:tc>
        <w:tc>
          <w:tcPr>
            <w:tcW w:w="368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21.3 %</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210"/>
              <w:spacing w:after="0"/>
              <w:rPr>
                <w:sz w:val="20"/>
                <w:szCs w:val="20"/>
                <w:color w:val="auto"/>
              </w:rPr>
            </w:pPr>
            <w:r>
              <w:rPr>
                <w:rFonts w:ascii="Arial" w:cs="Arial" w:eastAsia="Arial" w:hAnsi="Arial"/>
                <w:sz w:val="18"/>
                <w:szCs w:val="18"/>
                <w:color w:val="auto"/>
              </w:rPr>
              <w:t>26</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3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right"/>
              <w:ind w:right="413"/>
              <w:spacing w:after="0" w:line="129" w:lineRule="exact"/>
              <w:rPr>
                <w:sz w:val="20"/>
                <w:szCs w:val="20"/>
                <w:color w:val="auto"/>
              </w:rPr>
            </w:pPr>
            <w:r>
              <w:rPr>
                <w:rFonts w:ascii="Arial" w:cs="Arial" w:eastAsia="Arial" w:hAnsi="Arial"/>
                <w:sz w:val="14"/>
                <w:szCs w:val="14"/>
                <w:b w:val="1"/>
                <w:bCs w:val="1"/>
                <w:color w:val="auto"/>
              </w:rPr>
              <w:t>April 29,</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right"/>
              <w:ind w:right="412"/>
              <w:spacing w:after="0" w:line="129" w:lineRule="exact"/>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 by Segment:</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7,340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30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Less: Corporate unallocated</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(19,994)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(20,271)</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(6,386)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(8,233)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Income as a Percentage of Net Revenues by Segment: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32.3 %</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Vera Bradley Store Data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stores opened during period</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Total stores closed during period</w:t>
            </w:r>
          </w:p>
        </w:tc>
        <w:tc>
          <w:tcPr>
            <w:tcW w:w="300" w:type="dxa"/>
            <w:vAlign w:val="bottom"/>
          </w:tcPr>
          <w:p>
            <w:pPr>
              <w:spacing w:after="0"/>
              <w:rPr>
                <w:sz w:val="20"/>
                <w:szCs w:val="20"/>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stores open at end of period</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Total gross square footage at end of period</w:t>
            </w:r>
          </w:p>
        </w:tc>
        <w:tc>
          <w:tcPr>
            <w:tcW w:w="30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381,987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401,132</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3"/>
                <w:szCs w:val="23"/>
                <w:color w:val="auto"/>
                <w:vertAlign w:val="superscript"/>
              </w:rPr>
              <w:t>(2)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04"/>
        </w:trPr>
        <w:tc>
          <w:tcPr>
            <w:tcW w:w="8020" w:type="dxa"/>
            <w:vAlign w:val="bottom"/>
          </w:tcPr>
          <w:p>
            <w:pPr>
              <w:ind w:left="20"/>
              <w:spacing w:after="0"/>
              <w:rPr>
                <w:sz w:val="20"/>
                <w:szCs w:val="20"/>
                <w:color w:val="auto"/>
              </w:rPr>
            </w:pPr>
            <w:r>
              <w:rPr>
                <w:rFonts w:ascii="Arial" w:cs="Arial" w:eastAsia="Arial" w:hAnsi="Arial"/>
                <w:sz w:val="18"/>
                <w:szCs w:val="18"/>
                <w:color w:val="auto"/>
              </w:rPr>
              <w:t xml:space="preserve">Comparable sales (including e-commerce) decrease </w:t>
            </w:r>
            <w:r>
              <w:rPr>
                <w:rFonts w:ascii="Arial" w:cs="Arial" w:eastAsia="Arial" w:hAnsi="Arial"/>
                <w:sz w:val="23"/>
                <w:szCs w:val="23"/>
                <w:color w:val="auto"/>
                <w:vertAlign w:val="superscript"/>
              </w:rPr>
              <w:t>(3)</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80" w:right="760" w:hanging="572"/>
        <w:spacing w:after="0" w:line="258"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Vera Bradley full-line and factory outlet stores. These figures do not include Pura Vida retail locations or Pura Vida e-commerce operations.</w:t>
      </w:r>
    </w:p>
    <w:p>
      <w:pPr>
        <w:spacing w:after="0" w:line="1"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1" w:lineRule="exact"/>
        <w:rPr>
          <w:rFonts w:ascii="Arial" w:cs="Arial" w:eastAsia="Arial" w:hAnsi="Arial"/>
          <w:sz w:val="18"/>
          <w:szCs w:val="18"/>
          <w:color w:val="auto"/>
        </w:rPr>
      </w:pPr>
    </w:p>
    <w:p>
      <w:pPr>
        <w:ind w:left="580" w:right="80" w:hanging="572"/>
        <w:spacing w:after="0" w:line="295"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Comparable sales are calculated based upon stores that have been open for at least 12 full fiscal months and net revenues from e-commerce operations.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Thirteen Weeks Ended April 29, 2023, Compared to Thirteen Weeks Ended April 30, 2022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1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thirteen weeks ended April 29, 2023, net revenues decreased $4.1 million, or 4.2%, to $94.4 million, from $98.5 million in the comparable prior-year period.</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auto"/>
        </w:rPr>
        <w:t>VB Direct</w:t>
      </w:r>
      <w:r>
        <w:rPr>
          <w:rFonts w:ascii="Arial" w:cs="Arial" w:eastAsia="Arial" w:hAnsi="Arial"/>
          <w:sz w:val="17"/>
          <w:szCs w:val="17"/>
          <w:color w:val="auto"/>
        </w:rPr>
        <w:t>. For the thirteen weeks ended April 29, 2023, net revenues in the VB Direct segment decreased $2.7 million, or 4.4%, to $58.9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$61.6 million in the comparable prior-year period. Vera Bradley comparable sales decreased $2.0 million, or 3.3%, which includes an 8.7% decrease in comparable store sales, partially offset by a 6.7% increase in e-commerce sales. In addition, non-comparable store revenue decreased $0.6 million. Closed retail store locations were partially offset by two factory stores opened in the current year. The decrease in comparable sales and comparable store sales was impacted by reduced traffic, conversion, and units sold primarily in the factory outlet channel.</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VB Indirect</w:t>
      </w:r>
      <w:r>
        <w:rPr>
          <w:rFonts w:ascii="Arial" w:cs="Arial" w:eastAsia="Arial" w:hAnsi="Arial"/>
          <w:sz w:val="18"/>
          <w:szCs w:val="18"/>
          <w:color w:val="auto"/>
        </w:rPr>
        <w:t>. For the thirteen weeks ended April 29, 2023, net revenues in the VB Indirect segment decreased $1.6 million, or 9.4%, to $15.4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$17.0 million in the comparable prior-year period. The decrease was primarily due to a one-time key account order that did not recur in the current-year period, along with channel mix changes.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 xml:space="preserve">Pura Vida. </w:t>
      </w:r>
      <w:r>
        <w:rPr>
          <w:rFonts w:ascii="Arial" w:cs="Arial" w:eastAsia="Arial" w:hAnsi="Arial"/>
          <w:sz w:val="18"/>
          <w:szCs w:val="18"/>
          <w:color w:val="auto"/>
        </w:rPr>
        <w:t>For the thirteen weeks ended April 29, 2023, net revenues in the Pura Vida segment increased $0.3 million, or 1.2%, to $20.1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$19.8 million in the comparable prior-year period. The increase was primarily due to four non-comparable retail stores opened in the prior year, partially offset by a decline in e-commerce sales.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For the thirteen weeks ended April 29, 2023, gross profit decreased $0.8 million, or 1.5%, to $51.7 million, from $52.5 million in the comparable prior-year period. As a percentage of net revenues, gross profit increased to 54.8% for the thirteen weeks ended April 29, 2023, from 53.3% in the comparable prior-year period. Gross profit as a percentage of net revenues for the current-year period was positively impacted by the sell-through of previously reserved excess inventory, as well as a decrease in inbound and outbound freight and shipping costs which was partially offset by an increase in promotional activity.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For the thirteen weeks ended April 29, 2023, SG&amp;A expenses decreased $2.4 million, or 4.0%, to $58.5 million, from $60.9 million in the comparable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prior-year period. As a percentage of net revenues, SG&amp;A expenses increased to 62.0% for the thirteen weeks ended April 29, 2023, from 61.9% in the</w:t>
      </w:r>
    </w:p>
    <w:p>
      <w:pPr>
        <w:spacing w:after="0" w:line="238" w:lineRule="auto"/>
        <w:rPr>
          <w:sz w:val="20"/>
          <w:szCs w:val="20"/>
          <w:color w:val="auto"/>
        </w:rPr>
      </w:pPr>
      <w:r>
        <w:rPr>
          <w:rFonts w:ascii="Arial" w:cs="Arial" w:eastAsia="Arial" w:hAnsi="Arial"/>
          <w:sz w:val="17"/>
          <w:szCs w:val="17"/>
          <w:color w:val="auto"/>
        </w:rPr>
        <w:t>comparable prior-year period. SG&amp;A expenses related to Vera Bradley and corporate unallocated were $47.8 million compared to $50.4 million in the</w:t>
      </w:r>
    </w:p>
    <w:p>
      <w:pPr>
        <w:spacing w:after="0"/>
        <w:rPr>
          <w:sz w:val="20"/>
          <w:szCs w:val="20"/>
          <w:color w:val="auto"/>
        </w:rPr>
      </w:pPr>
      <w:r>
        <w:rPr>
          <w:rFonts w:ascii="Arial" w:cs="Arial" w:eastAsia="Arial" w:hAnsi="Arial"/>
          <w:sz w:val="16"/>
          <w:szCs w:val="16"/>
          <w:color w:val="auto"/>
        </w:rPr>
        <w:t>comparable prior-year period. SG&amp;A expenses related to Pura Vida were $10.7 million compared to $10.5 million in the comparable prior-year period.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decrease in consolidated SG&amp;A expenses for the thirteen weeks ended April 29, 2023 was primarily due to a decrease in employee-related expenses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$2.2 million due to a reduction in headcount, partially offset by an increase in incentive compensation due to Company performance estimates; a decrease</w:t>
      </w:r>
    </w:p>
    <w:p>
      <w:pPr>
        <w:spacing w:after="0" w:line="238" w:lineRule="auto"/>
        <w:rPr>
          <w:sz w:val="20"/>
          <w:szCs w:val="20"/>
          <w:color w:val="auto"/>
        </w:rPr>
      </w:pPr>
      <w:r>
        <w:rPr>
          <w:rFonts w:ascii="Arial" w:cs="Arial" w:eastAsia="Arial" w:hAnsi="Arial"/>
          <w:sz w:val="17"/>
          <w:szCs w:val="17"/>
          <w:color w:val="auto"/>
        </w:rPr>
        <w:t>in marketing and advertising expenses of $1.0 million; $0.6 million related to a lease right-of-use asset impairment charge in the prior year that did not</w:t>
      </w:r>
    </w:p>
    <w:p>
      <w:pPr>
        <w:spacing w:after="0"/>
        <w:rPr>
          <w:sz w:val="20"/>
          <w:szCs w:val="20"/>
          <w:color w:val="auto"/>
        </w:rPr>
      </w:pPr>
      <w:r>
        <w:rPr>
          <w:rFonts w:ascii="Arial" w:cs="Arial" w:eastAsia="Arial" w:hAnsi="Arial"/>
          <w:sz w:val="18"/>
          <w:szCs w:val="18"/>
          <w:color w:val="auto"/>
        </w:rPr>
        <w:t>recur in the current year; and $0.6 million in other expense reductions.</w:t>
      </w:r>
    </w:p>
    <w:p>
      <w:pPr>
        <w:spacing w:after="0" w:line="15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aforementioned decreases in SG&amp;A expenses were partially offset by $2.0 million in severance expenses associated with our CFO transition and cost savings initiatives.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as a percentage of net revenues were flat compared to the prior-year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0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For the thirteen weeks ended April 29, 2023, net other income increased $0.2 million to other income of $0.4 million compared to $0.2 million in the comparable prior-year period. The increase in net other income was primarily due to a legal settlement in the current year that did not occur in the prior year, as well as sublease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w:t>
      </w:r>
    </w:p>
    <w:p>
      <w:pPr>
        <w:spacing w:after="0" w:line="10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 the thirteen weeks ended April 29, 2023, operating loss decreased $1.8 million to $(6.4) million in the current-year period, from operating loss of $(8.2) million in the comparable prior-year period. As a percentage of net revenues, operating loss was (6.8)% and (8.4)% for the thirteen weeks ended April 29, 2023 and April 30, 2022, respectively. Operating loss decreased due to the factors described in the captions above.</w:t>
      </w:r>
    </w:p>
    <w:p>
      <w:pPr>
        <w:spacing w:after="0" w:line="1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VB Direct</w:t>
      </w:r>
      <w:r>
        <w:rPr>
          <w:rFonts w:ascii="Arial" w:cs="Arial" w:eastAsia="Arial" w:hAnsi="Arial"/>
          <w:sz w:val="18"/>
          <w:szCs w:val="18"/>
          <w:color w:val="auto"/>
        </w:rPr>
        <w:t>. For the thirteen weeks ended April 29, 2023, operating income in the VB Direct segment increased $1.8 million, to $7.3 million from $5.5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As a percentage of VB Direct segment net revenues, operating income in the VB Direct segment was 12.5% and 8.9% for the thirteen weeks ended April 29, 2023 and April 30, 2022, respectively. The increase in operating income as a percentage of VB Direct segment net revenues was primarily due to a decrease in employee-related expenses due to closed stores and cost savings initiatives; a decline in marketing and advertising expense; and an increase in gross margin as a percentage of net revenues as described above. These increases were partially offset by SG&amp;A expense deleverage associated with decreased sales.</w:t>
      </w:r>
    </w:p>
    <w:p>
      <w:pPr>
        <w:spacing w:after="0" w:line="13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VB Indirect</w:t>
      </w:r>
      <w:r>
        <w:rPr>
          <w:rFonts w:ascii="Arial" w:cs="Arial" w:eastAsia="Arial" w:hAnsi="Arial"/>
          <w:sz w:val="18"/>
          <w:szCs w:val="18"/>
          <w:color w:val="auto"/>
        </w:rPr>
        <w:t>. For the thirteen weeks ended April 29, 2023, operating income in the VB Indirect segment decreased $0.8 million, or 14.1%, to $4.7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$5.5 million in the comparable prior-year period. As a percentage of VB Indirect segment net revenues, operating income in the VB Indirect segment was 30.6% and 32.3% for the thirteen weeks ended April 29, 2023 and April 30, 2022, respectively. The decrease in operating income as a percentage of VB Indirect segment net revenues was due to SG&amp;A expense deleverage associated with decreased sales, partially offset by an increase in gross margin as a percentage of net revenues as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Pura Vida. </w:t>
      </w:r>
      <w:r>
        <w:rPr>
          <w:rFonts w:ascii="Arial" w:cs="Arial" w:eastAsia="Arial" w:hAnsi="Arial"/>
          <w:sz w:val="17"/>
          <w:szCs w:val="17"/>
          <w:color w:val="auto"/>
        </w:rPr>
        <w:t>For the thirteen weeks ended April 29, 2023, operating income in the Pura Vida segment increased $0.5 million to $1.6 million from</w:t>
      </w:r>
    </w:p>
    <w:p>
      <w:pPr>
        <w:spacing w:after="0" w:line="3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$1.1 million in the comparable prior-year period. As a percentage of Pura Vida segment net revenues, operating income in the Pura Vida segment was 7.8% and 5.3% for the thirteen weeks ended April 29, 2023 and April 30, 2022, respectively. The increase in operating income as a percentage of Pura Vida net revenues was primarily due to an increase in gross margin as a percentage of net revenues as described above. In addition, there was a decrease in marketing and advertising expense which was partially offset by expenses associated with non-comparable retail stores opened in the prior year and SG&amp;A expense deleverage associated with a decrease in sales, excluding non-comparable stores.</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April 29, 2023, unallocated expenses decreased $0.3 million, or 1.4%, to $20.0 million from $20.3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The decrease in unallocated expenses was primarily due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corporate expense reductions of $0.8 million, a reduction in employee-related expenses of $0.7 million primarily related to lower headcount, partially offset by an increase in incentive compensation expense as a result of Company performance estimates, and $0.6 million related to a lease right-of-use asset impairment charge in the prior year that did not recur in the current year. These reductions were partially offset by severance charges of $1.6 million and a $0.2 million increase in corporate advertising expense.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90"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The effective tax rate for the thirteen weeks ended April 29, 2023, was 27.1%, compared to 18.9% for the thirteen weeks ended April 30, 2022. The year-over year effective tax rate increase was primarily due to the relative impact of permanent and discrete items in the current-year period compared to the prior-year period, primarily as a result of stock-based compensation, noncontrolling interest in the prior-year period, and non-deductible executive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thirteen weeks ended April 29, 2023, net loss decreased $2.0 million to $(4.7) million from net loss of $(6.7) million in the comparable prior-year period due to the factors described in the captions above</w:t>
      </w:r>
      <w:r>
        <w:rPr>
          <w:rFonts w:ascii="Arial" w:cs="Arial" w:eastAsia="Arial" w:hAnsi="Arial"/>
          <w:sz w:val="18"/>
          <w:szCs w:val="18"/>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Redeemable Noncontrolling Interest</w:t>
      </w:r>
    </w:p>
    <w:p>
      <w:pPr>
        <w:spacing w:after="0" w:line="9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For the thirteen weeks ended April 30, 2022, net income attributable to redeemable noncontrolling interest was $0.3 million. This represents the allocation of the Pura Vida net income to the noncontrolling interest. On January 30, 2023, we purchased the remaining 25% interest in Pura Vida resulting in 100% ownership. As a result, there was no noncontrolling interest for the current-year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Vera Bradley, Inc.</w:t>
      </w:r>
    </w:p>
    <w:p>
      <w:pPr>
        <w:spacing w:after="0" w:line="1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thirteen weeks ended April 29, 2023, net loss attributable to Vera Bradley, Inc. decreased $2.3 million to $(4.7) million from $(7.0) million in the comparable prior-year period due to the factors described in the captions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0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primary sources of liquidity are cash on hand and cash equivalents, as well as cash flow from operations. We also have access to additional liquidity, if needed, through borrowings under our $75.0 million asset-based revolving credit agreement (the “Credit Agreement”). There was no debt outstanding as of April 29, 2023.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18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believe that cash on hand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697"/>
              <w:spacing w:after="0"/>
              <w:rPr>
                <w:sz w:val="20"/>
                <w:szCs w:val="20"/>
                <w:color w:val="auto"/>
              </w:rPr>
            </w:pPr>
            <w:r>
              <w:rPr>
                <w:rFonts w:ascii="Arial" w:cs="Arial" w:eastAsia="Arial" w:hAnsi="Arial"/>
                <w:sz w:val="14"/>
                <w:szCs w:val="14"/>
                <w:b w:val="1"/>
                <w:bCs w:val="1"/>
                <w:color w:val="auto"/>
              </w:rPr>
              <w:t>Thirteen Weeks Ended</w:t>
            </w:r>
          </w:p>
        </w:tc>
      </w:tr>
      <w:tr>
        <w:trPr>
          <w:trHeight w:val="25"/>
        </w:trPr>
        <w:tc>
          <w:tcPr>
            <w:tcW w:w="8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28"/>
        </w:trPr>
        <w:tc>
          <w:tcPr>
            <w:tcW w:w="8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379"/>
              <w:spacing w:after="0" w:line="129" w:lineRule="exact"/>
              <w:rPr>
                <w:sz w:val="20"/>
                <w:szCs w:val="20"/>
                <w:color w:val="auto"/>
              </w:rPr>
            </w:pPr>
            <w:r>
              <w:rPr>
                <w:rFonts w:ascii="Arial" w:cs="Arial" w:eastAsia="Arial" w:hAnsi="Arial"/>
                <w:sz w:val="14"/>
                <w:szCs w:val="14"/>
                <w:b w:val="1"/>
                <w:bCs w:val="1"/>
                <w:color w:val="auto"/>
              </w:rPr>
              <w:t>April 29,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357"/>
              <w:spacing w:after="0" w:line="129" w:lineRule="exact"/>
              <w:rPr>
                <w:sz w:val="20"/>
                <w:szCs w:val="20"/>
                <w:color w:val="auto"/>
              </w:rPr>
            </w:pPr>
            <w:r>
              <w:rPr>
                <w:rFonts w:ascii="Arial" w:cs="Arial" w:eastAsia="Arial" w:hAnsi="Arial"/>
                <w:sz w:val="14"/>
                <w:szCs w:val="14"/>
                <w:b w:val="1"/>
                <w:bCs w:val="1"/>
                <w:color w:val="auto"/>
              </w:rPr>
              <w:t>April 30,</w:t>
            </w:r>
          </w:p>
        </w:tc>
      </w:tr>
      <w:tr>
        <w:trPr>
          <w:trHeight w:val="196"/>
        </w:trPr>
        <w:tc>
          <w:tcPr>
            <w:tcW w:w="8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(1,745)</w:t>
            </w: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cash used in operating activities consists primarily of net loss adjusted for non-cash items, including depreciation, amortization, impairment charges, deferred taxes, and stock-based compensation; and the effect of changes in assets and liabilities.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operating activities for the thirteen weeks ended April 29, 2023 was $8.8 million compared to $11.1 million for the thirteen weeks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April 30, 2022. The decrease in cash used in operating activities was primarily related to a decrease in the net loss of $2.0 million and the change in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items of $0.8 million, as well as the change in assets and liabilities. The source of cash provided by lower inventory receipts, the timing of collection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tenant allowances associated with our store leases, and lower accounts receivable due to VB Indirect segment sales, as well as increased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 collections due in part to certain Vera Bradley key account payments and the timing of other payments, was offset by the timing of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 and the change in income taxes. There was a net income tax refund of $7.4 million in the prior-year period compared to net cash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in the current-year period. Severance payments of $2.9 million made in the current year related to prior year accruals were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accruals of $2.0 million in the current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Investing activities consist primarily of investments and capital expenditures related to new store openings, buildings, operational equipment, and information technology investments.</w:t>
      </w:r>
    </w:p>
    <w:p>
      <w:pPr>
        <w:spacing w:after="0" w:line="1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Net cash used in investing activities was $10.8 million for the thirteen weeks ended April 29, 2023 compared to $1.7 million for the thirteen weeks ended April 30, 2022. The increase in cash used in investing activities was a result of the purchase of the remaining 25% interest in Pura Vida for $10.0 million, partially offset by a decline in property, plant, and equipment spending as a result of a lower amount of new store construction in the current year and Vera Bradley relocations in the prior year that did not recur.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2024 are expected to be approximately $5.0 million.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7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Net cash used in financing activities was $1.7 million for the thirteen weeks ended April 29, 2023 compared to $11.6 million for the thirteen weeks ended April 30, 2022. The decrease in cash used in financing activities was primarily due to $0.7 million of common stock repurchases in the current-year period compared to $10.0 million in the comparable prior-year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Borrowings under the credit facilities are available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 regarding the Credit Agreement, please see Note 6 of the Notes to Condensed Consolidated Financial Statements herein.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0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With the exception of $2.0 million of severance accruals in the first quarter of the current year, as of April 29, 2023, there were no material changes outside the ordinary course of business to material cash requirements, as disclosed in our Annual Report on Form 10-K for the fiscal year ended January 28, 2023.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28, 2023.</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28, 2023. There were no significant changes to any of the critical accounting policies and estimates described in the Annual Report as of April 29, 2023.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April 29, 2023, there was no material change in the market risks described in “Quantitative and Qualitative Disclosures About Market Risks” in the Company’s Annual Report on Form 10-K for the fiscal year ended January 28, 2023.</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April 29, 2023.</w:t>
      </w:r>
    </w:p>
    <w:p>
      <w:pPr>
        <w:spacing w:after="0" w:line="1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Company filed a motion for summary judgement asking the Court to dismiss all claims with prejudice and grant judgement on its counterclaim. On January 4, 2023, the Court granted the Company’s motion for summary judgment dismissing Vesi’s claims and also granted judgment on the Company’s counterclaims against the principals of Vesi for an immaterial amount. Vesi has appealed this decision.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have been no material changes to the risk factors previously set forth in the Company’s Annual Report on Form 10-K for the fiscal year ended January 28,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0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was effective beginning December 13, 2021 and expires in December 2024.</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 activity under the program during the thirteen weeks ended April 29, 2023 are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8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5"/>
              </w:rPr>
              <w:t>Average Price Paid per</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4"/>
        </w:trPr>
        <w:tc>
          <w:tcPr>
            <w:tcW w:w="356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Period</w:t>
            </w:r>
          </w:p>
        </w:tc>
        <w:tc>
          <w:tcPr>
            <w:tcW w:w="1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Publicly Announced Plans or</w:t>
            </w:r>
          </w:p>
        </w:tc>
        <w:tc>
          <w:tcPr>
            <w:tcW w:w="120" w:type="dxa"/>
            <w:vAlign w:val="bottom"/>
          </w:tcPr>
          <w:p>
            <w:pPr>
              <w:spacing w:after="0"/>
              <w:rPr>
                <w:sz w:val="12"/>
                <w:szCs w:val="12"/>
                <w:color w:val="auto"/>
              </w:rPr>
            </w:pPr>
          </w:p>
        </w:tc>
        <w:tc>
          <w:tcPr>
            <w:tcW w:w="18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auto"/>
            </w:tcBorders>
            <w:vMerge w:val="continue"/>
          </w:tcPr>
          <w:p>
            <w:pPr>
              <w:spacing w:after="0"/>
              <w:rPr>
                <w:sz w:val="17"/>
                <w:szCs w:val="17"/>
                <w:color w:val="auto"/>
              </w:rPr>
            </w:pPr>
          </w:p>
        </w:tc>
        <w:tc>
          <w:tcPr>
            <w:tcW w:w="18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the Plans or Program</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29, 2023 - February 25, 2023</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39,300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27,507,912</w:t>
            </w:r>
          </w:p>
        </w:tc>
        <w:tc>
          <w:tcPr>
            <w:tcW w:w="0" w:type="dxa"/>
            <w:vAlign w:val="bottom"/>
          </w:tcPr>
          <w:p>
            <w:pPr>
              <w:spacing w:after="0"/>
              <w:rPr>
                <w:sz w:val="1"/>
                <w:szCs w:val="1"/>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February 26, 2023 - April 1, 2023</w:t>
            </w:r>
          </w:p>
        </w:tc>
        <w:tc>
          <w:tcPr>
            <w:tcW w:w="1820" w:type="dxa"/>
            <w:vAlign w:val="bottom"/>
          </w:tcPr>
          <w:p>
            <w:pPr>
              <w:jc w:val="right"/>
              <w:spacing w:after="0"/>
              <w:rPr>
                <w:sz w:val="20"/>
                <w:szCs w:val="20"/>
                <w:color w:val="auto"/>
              </w:rPr>
            </w:pPr>
            <w:r>
              <w:rPr>
                <w:rFonts w:ascii="Arial" w:cs="Arial" w:eastAsia="Arial" w:hAnsi="Arial"/>
                <w:sz w:val="18"/>
                <w:szCs w:val="18"/>
                <w:color w:val="auto"/>
              </w:rPr>
              <w:t>51,900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5.70</w:t>
            </w:r>
          </w:p>
        </w:tc>
        <w:tc>
          <w:tcPr>
            <w:tcW w:w="1940" w:type="dxa"/>
            <w:vAlign w:val="bottom"/>
            <w:gridSpan w:val="2"/>
          </w:tcPr>
          <w:p>
            <w:pPr>
              <w:jc w:val="right"/>
              <w:ind w:right="2"/>
              <w:spacing w:after="0"/>
              <w:rPr>
                <w:sz w:val="20"/>
                <w:szCs w:val="20"/>
                <w:color w:val="auto"/>
              </w:rPr>
            </w:pPr>
            <w:r>
              <w:rPr>
                <w:rFonts w:ascii="Arial" w:cs="Arial" w:eastAsia="Arial" w:hAnsi="Arial"/>
                <w:sz w:val="18"/>
                <w:szCs w:val="18"/>
                <w:color w:val="auto"/>
              </w:rPr>
              <w:t>51,900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27,212,162</w:t>
            </w:r>
          </w:p>
        </w:tc>
        <w:tc>
          <w:tcPr>
            <w:tcW w:w="0" w:type="dxa"/>
            <w:vAlign w:val="bottom"/>
          </w:tcPr>
          <w:p>
            <w:pPr>
              <w:spacing w:after="0"/>
              <w:rPr>
                <w:sz w:val="1"/>
                <w:szCs w:val="1"/>
                <w:color w:val="auto"/>
              </w:rPr>
            </w:pPr>
          </w:p>
        </w:tc>
      </w:tr>
      <w:tr>
        <w:trPr>
          <w:trHeight w:val="23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 2023 - April 29, 2023</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9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36,900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26,998,299</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128,100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7920" w:type="dxa"/>
            <w:vAlign w:val="bottom"/>
            <w:gridSpan w:val="8"/>
          </w:tcPr>
          <w:p>
            <w:pPr>
              <w:ind w:left="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80" w:type="dxa"/>
            <w:vAlign w:val="bottom"/>
            <w:gridSpan w:val="9"/>
          </w:tcPr>
          <w:p>
            <w:pPr>
              <w:ind w:left="120"/>
              <w:spacing w:after="0"/>
              <w:rPr>
                <w:sz w:val="20"/>
                <w:szCs w:val="20"/>
                <w:color w:val="auto"/>
              </w:rPr>
            </w:pPr>
            <w:r>
              <w:rPr>
                <w:rFonts w:ascii="Arial" w:cs="Arial" w:eastAsia="Arial" w:hAnsi="Arial"/>
                <w:sz w:val="18"/>
                <w:szCs w:val="18"/>
                <w:color w:val="auto"/>
              </w:rPr>
              <w:t>a. Exhibits</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8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7"/>
              </w:rPr>
              <w:t>No.</w:t>
            </w: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58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Fiscal 2024 Annual Incentive Compensation Plan (Executives)</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CEO Section 302 Certification</w:t>
            </w:r>
          </w:p>
        </w:tc>
        <w:tc>
          <w:tcPr>
            <w:tcW w:w="5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CFO Section 302 Certification</w:t>
            </w:r>
          </w:p>
        </w:tc>
        <w:tc>
          <w:tcPr>
            <w:tcW w:w="53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gridSpan w:val="5"/>
          </w:tcPr>
          <w:p>
            <w:pPr>
              <w:spacing w:after="0"/>
              <w:rPr>
                <w:sz w:val="20"/>
                <w:szCs w:val="20"/>
                <w:color w:val="auto"/>
              </w:rPr>
            </w:pPr>
            <w:r>
              <w:rPr>
                <w:rFonts w:ascii="Arial" w:cs="Arial" w:eastAsia="Arial" w:hAnsi="Arial"/>
                <w:sz w:val="18"/>
                <w:szCs w:val="18"/>
                <w:color w:val="0000FF"/>
              </w:rPr>
              <w:t>Section 906 Certifications*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580" w:type="dxa"/>
            <w:vAlign w:val="bottom"/>
            <w:gridSpan w:val="5"/>
          </w:tcPr>
          <w:p>
            <w:pPr>
              <w:spacing w:after="0"/>
              <w:rPr>
                <w:sz w:val="20"/>
                <w:szCs w:val="20"/>
                <w:color w:val="auto"/>
              </w:rPr>
            </w:pPr>
            <w:r>
              <w:rPr>
                <w:rFonts w:ascii="Arial" w:cs="Arial" w:eastAsia="Arial" w:hAnsi="Arial"/>
                <w:sz w:val="18"/>
                <w:szCs w:val="18"/>
                <w:color w:val="auto"/>
                <w:w w:val="94"/>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80" w:type="dxa"/>
            <w:vAlign w:val="bottom"/>
            <w:gridSpan w:val="5"/>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00" w:hanging="67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Vera Bradley, Inc.</w:t>
      </w:r>
    </w:p>
    <w:p>
      <w:pPr>
        <w:ind w:left="5680"/>
        <w:spacing w:after="0"/>
        <w:rPr>
          <w:sz w:val="20"/>
          <w:szCs w:val="20"/>
          <w:color w:val="auto"/>
        </w:rPr>
      </w:pPr>
      <w:r>
        <w:rPr>
          <w:rFonts w:ascii="Arial" w:cs="Arial" w:eastAsia="Arial" w:hAnsi="Arial"/>
          <w:sz w:val="18"/>
          <w:szCs w:val="18"/>
          <w:color w:val="auto"/>
        </w:rPr>
        <w:t>(Registrant)</w:t>
      </w:r>
    </w:p>
    <w:p>
      <w:pPr>
        <w:spacing w:after="0" w:line="277"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June 7, 2023</w:t>
      </w:r>
      <w:r>
        <w:rPr>
          <w:sz w:val="20"/>
          <w:szCs w:val="20"/>
          <w:color w:val="auto"/>
        </w:rPr>
        <w:tab/>
      </w:r>
      <w:r>
        <w:rPr>
          <w:rFonts w:ascii="Arial" w:cs="Arial" w:eastAsia="Arial" w:hAnsi="Arial"/>
          <w:sz w:val="16"/>
          <w:szCs w:val="16"/>
          <w:color w:val="auto"/>
        </w:rPr>
        <w:t>/s/ Michael Schwindle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23495</wp:posOffset>
            </wp:positionV>
            <wp:extent cx="3531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Michael Schwindle</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121" w:right="3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Annual Incentive Compensation Plan</w:t>
      </w:r>
    </w:p>
    <w:p>
      <w:pPr>
        <w:jc w:val="center"/>
        <w:spacing w:after="0" w:line="234" w:lineRule="auto"/>
        <w:rPr>
          <w:sz w:val="20"/>
          <w:szCs w:val="20"/>
          <w:color w:val="auto"/>
        </w:rPr>
      </w:pPr>
      <w:r>
        <w:rPr>
          <w:rFonts w:ascii="Arial" w:cs="Arial" w:eastAsia="Arial" w:hAnsi="Arial"/>
          <w:sz w:val="18"/>
          <w:szCs w:val="18"/>
          <w:b w:val="1"/>
          <w:bCs w:val="1"/>
          <w:color w:val="auto"/>
        </w:rPr>
        <w:t>Executive Officers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Plan Overview</w:t>
      </w:r>
    </w:p>
    <w:p>
      <w:pPr>
        <w:jc w:val="both"/>
        <w:ind w:right="120"/>
        <w:spacing w:after="0" w:line="237" w:lineRule="auto"/>
        <w:rPr>
          <w:sz w:val="20"/>
          <w:szCs w:val="20"/>
          <w:color w:val="auto"/>
        </w:rPr>
      </w:pPr>
      <w:r>
        <w:rPr>
          <w:rFonts w:ascii="Arial" w:cs="Arial" w:eastAsia="Arial" w:hAnsi="Arial"/>
          <w:sz w:val="16"/>
          <w:szCs w:val="16"/>
          <w:color w:val="auto"/>
        </w:rPr>
        <w:t>Awards under this Annual Incentive Compensation Plan ("Annual Plan") are granted under and governed by the terms and conditions of the Vera Bradley, Inc. 2020 Equity and Incentive Plan (the “2020 Plan”), as amended. Any term capitalized herein but not defined will have the meaning set forth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2020 Plan.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This Annual Plan is designed to give each eligible Participant (as defined in the attached Administrative Guidelines) an opportunity to share in the</w:t>
      </w:r>
    </w:p>
    <w:p>
      <w:pPr>
        <w:spacing w:after="0" w:line="10" w:lineRule="exact"/>
        <w:rPr>
          <w:sz w:val="20"/>
          <w:szCs w:val="20"/>
          <w:color w:val="auto"/>
        </w:rPr>
      </w:pPr>
    </w:p>
    <w:p>
      <w:pPr>
        <w:jc w:val="both"/>
        <w:ind w:right="120"/>
        <w:spacing w:after="0" w:line="234" w:lineRule="auto"/>
        <w:rPr>
          <w:sz w:val="20"/>
          <w:szCs w:val="20"/>
          <w:color w:val="auto"/>
        </w:rPr>
      </w:pPr>
      <w:r>
        <w:rPr>
          <w:rFonts w:ascii="Arial" w:cs="Arial" w:eastAsia="Arial" w:hAnsi="Arial"/>
          <w:sz w:val="16"/>
          <w:szCs w:val="16"/>
          <w:color w:val="auto"/>
        </w:rPr>
        <w:t>Company's success for the fiscal year ending February 3, 2024 (the "Performance Period"). The incentive is intended to be an inducement for future faithful service as well as a reward for performance. The incentive opportunity for the Performance Period is based on a percentage of each Participant's Base Salary (as defined herein) and will be earned based on three independent performance measures: (1) Brand/Enterprise Performance (made up of net</w:t>
      </w:r>
    </w:p>
    <w:p>
      <w:pPr>
        <w:spacing w:after="0" w:line="2" w:lineRule="exact"/>
        <w:rPr>
          <w:sz w:val="20"/>
          <w:szCs w:val="20"/>
          <w:color w:val="auto"/>
        </w:rPr>
      </w:pPr>
    </w:p>
    <w:p>
      <w:pPr>
        <w:jc w:val="both"/>
        <w:ind w:right="120"/>
        <w:spacing w:after="0" w:line="226" w:lineRule="auto"/>
        <w:rPr>
          <w:sz w:val="20"/>
          <w:szCs w:val="20"/>
          <w:color w:val="auto"/>
        </w:rPr>
      </w:pPr>
      <w:r>
        <w:rPr>
          <w:rFonts w:ascii="Arial" w:cs="Arial" w:eastAsia="Arial" w:hAnsi="Arial"/>
          <w:sz w:val="18"/>
          <w:szCs w:val="18"/>
          <w:color w:val="auto"/>
        </w:rPr>
        <w:t>revenue and operating income), (2) Brand/ Enterprise Strategic Objectives, and (3) Individual Financial Goals. Collectively, these are referred to as the “FY24 Performance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Incentive Opportunity</w:t>
      </w:r>
    </w:p>
    <w:p>
      <w:pPr>
        <w:spacing w:after="0" w:line="231" w:lineRule="auto"/>
        <w:rPr>
          <w:sz w:val="20"/>
          <w:szCs w:val="20"/>
          <w:color w:val="auto"/>
        </w:rPr>
      </w:pPr>
      <w:r>
        <w:rPr>
          <w:rFonts w:ascii="Arial" w:cs="Arial" w:eastAsia="Arial" w:hAnsi="Arial"/>
          <w:sz w:val="16"/>
          <w:szCs w:val="16"/>
          <w:color w:val="auto"/>
        </w:rPr>
        <w:t>The incentive opportunity for each Participant is determined based on a percentage of each Participant's Base Salary (as defined below) based upon the</w:t>
      </w:r>
    </w:p>
    <w:p>
      <w:pPr>
        <w:spacing w:after="0"/>
        <w:rPr>
          <w:sz w:val="20"/>
          <w:szCs w:val="20"/>
          <w:color w:val="auto"/>
        </w:rPr>
      </w:pPr>
      <w:r>
        <w:rPr>
          <w:rFonts w:ascii="Arial" w:cs="Arial" w:eastAsia="Arial" w:hAnsi="Arial"/>
          <w:sz w:val="18"/>
          <w:szCs w:val="18"/>
          <w:color w:val="auto"/>
        </w:rPr>
        <w:t>Participant’s level:</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4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78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Incentive Opportunity as a Percentage of Base Salary</w:t>
            </w:r>
          </w:p>
        </w:tc>
      </w:tr>
      <w:tr>
        <w:trPr>
          <w:trHeight w:val="223"/>
        </w:trPr>
        <w:tc>
          <w:tcPr>
            <w:tcW w:w="6460" w:type="dxa"/>
            <w:vAlign w:val="bottom"/>
            <w:tcBorders>
              <w:left w:val="single" w:sz="8" w:color="auto"/>
              <w:bottom w:val="single" w:sz="8" w:color="auto"/>
              <w:right w:val="single" w:sz="8" w:color="auto"/>
            </w:tcBorders>
          </w:tcPr>
          <w:p>
            <w:pPr>
              <w:ind w:left="2560"/>
              <w:spacing w:after="0"/>
              <w:rPr>
                <w:sz w:val="20"/>
                <w:szCs w:val="20"/>
                <w:color w:val="auto"/>
              </w:rPr>
            </w:pPr>
            <w:r>
              <w:rPr>
                <w:rFonts w:ascii="Arial" w:cs="Arial" w:eastAsia="Arial" w:hAnsi="Arial"/>
                <w:sz w:val="18"/>
                <w:szCs w:val="18"/>
                <w:b w:val="1"/>
                <w:bCs w:val="1"/>
                <w:color w:val="auto"/>
              </w:rPr>
              <w:t>Participant Level</w:t>
            </w:r>
          </w:p>
        </w:tc>
        <w:tc>
          <w:tcPr>
            <w:tcW w:w="176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Threshold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Excellence</w:t>
            </w:r>
          </w:p>
        </w:tc>
      </w:tr>
      <w:tr>
        <w:trPr>
          <w:trHeight w:val="230"/>
        </w:trPr>
        <w:tc>
          <w:tcPr>
            <w:tcW w:w="6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Chief Executive Officer</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29"/>
        </w:trPr>
        <w:tc>
          <w:tcPr>
            <w:tcW w:w="6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Executive Officer II</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15%</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120%</w:t>
            </w:r>
          </w:p>
        </w:tc>
      </w:tr>
      <w:tr>
        <w:trPr>
          <w:trHeight w:val="223"/>
        </w:trPr>
        <w:tc>
          <w:tcPr>
            <w:tcW w:w="6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Executive Officer I</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bl>
    <w:p>
      <w:pPr>
        <w:spacing w:after="0" w:line="310"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"Base Salary" is defined as the Participant's gross base salary (before taxes and deductions) paid by the Company to the Participant during the Performance Period.</w:t>
      </w:r>
    </w:p>
    <w:p>
      <w:pPr>
        <w:spacing w:after="0" w:line="202" w:lineRule="exact"/>
        <w:rPr>
          <w:sz w:val="20"/>
          <w:szCs w:val="20"/>
          <w:color w:val="auto"/>
        </w:rPr>
      </w:pPr>
    </w:p>
    <w:p>
      <w:pPr>
        <w:jc w:val="both"/>
        <w:ind w:right="120"/>
        <w:spacing w:after="0" w:line="224" w:lineRule="auto"/>
        <w:rPr>
          <w:sz w:val="20"/>
          <w:szCs w:val="20"/>
          <w:color w:val="auto"/>
        </w:rPr>
      </w:pPr>
      <w:r>
        <w:rPr>
          <w:rFonts w:ascii="Arial" w:cs="Arial" w:eastAsia="Arial" w:hAnsi="Arial"/>
          <w:sz w:val="18"/>
          <w:szCs w:val="18"/>
          <w:color w:val="auto"/>
        </w:rPr>
        <w:t>Each Participant will have the opportunity to earn the incentive set forth above based on the level of achievement against the FY24 Performance Measures. The applicability and weighting of the FY24 Performance Measures relative to the total incentive opportunity is also based upon the Participant’s level as follows: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Vera Bradley/Pura Vida Brand - 90% Brand; 10% Enterprise</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1860" w:type="dxa"/>
            <w:vAlign w:val="bottom"/>
            <w:tcBorders>
              <w:top w:val="single" w:sz="8" w:color="auto"/>
              <w:left w:val="single" w:sz="8" w:color="auto"/>
              <w:right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spacing w:after="0"/>
              <w:rPr>
                <w:sz w:val="20"/>
                <w:szCs w:val="20"/>
                <w:color w:val="auto"/>
              </w:rPr>
            </w:pPr>
          </w:p>
        </w:tc>
        <w:tc>
          <w:tcPr>
            <w:tcW w:w="5880" w:type="dxa"/>
            <w:vAlign w:val="bottom"/>
            <w:tcBorders>
              <w:top w:val="single" w:sz="8" w:color="auto"/>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w w:val="90"/>
              </w:rPr>
              <w:t>As a Percentage of Total Target Incentive Opportunity Shown Above</w:t>
            </w:r>
          </w:p>
        </w:tc>
        <w:tc>
          <w:tcPr>
            <w:tcW w:w="202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tcBorders>
              <w:left w:val="single" w:sz="8" w:color="auto"/>
              <w:right w:val="single" w:sz="8" w:color="auto"/>
            </w:tcBorders>
          </w:tcPr>
          <w:p>
            <w:pPr>
              <w:spacing w:after="0"/>
              <w:rPr>
                <w:sz w:val="14"/>
                <w:szCs w:val="14"/>
                <w:color w:val="auto"/>
              </w:rPr>
            </w:pPr>
          </w:p>
        </w:tc>
        <w:tc>
          <w:tcPr>
            <w:tcW w:w="3200" w:type="dxa"/>
            <w:vAlign w:val="bottom"/>
            <w:tcBorders>
              <w:right w:val="single" w:sz="8" w:color="auto"/>
            </w:tcBorders>
            <w:gridSpan w:val="2"/>
            <w:vMerge w:val="restart"/>
          </w:tcPr>
          <w:p>
            <w:pPr>
              <w:ind w:left="820"/>
              <w:spacing w:after="0"/>
              <w:rPr>
                <w:sz w:val="20"/>
                <w:szCs w:val="20"/>
                <w:color w:val="auto"/>
              </w:rPr>
            </w:pPr>
            <w:r>
              <w:rPr>
                <w:rFonts w:ascii="Arial" w:cs="Arial" w:eastAsia="Arial" w:hAnsi="Arial"/>
                <w:sz w:val="18"/>
                <w:szCs w:val="18"/>
                <w:b w:val="1"/>
                <w:bCs w:val="1"/>
                <w:color w:val="auto"/>
              </w:rPr>
              <w:t>Brand Performance</w:t>
            </w:r>
          </w:p>
        </w:tc>
        <w:tc>
          <w:tcPr>
            <w:tcW w:w="21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92"/>
              </w:rPr>
              <w:t>Enterprise</w:t>
            </w:r>
          </w:p>
        </w:tc>
        <w:tc>
          <w:tcPr>
            <w:tcW w:w="202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gridSpan w:val="2"/>
            <w:vMerge w:val="continue"/>
          </w:tcPr>
          <w:p>
            <w:pPr>
              <w:spacing w:after="0"/>
              <w:rPr>
                <w:sz w:val="19"/>
                <w:szCs w:val="19"/>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202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60" w:type="dxa"/>
            <w:vAlign w:val="bottom"/>
            <w:tcBorders>
              <w:left w:val="single" w:sz="8" w:color="auto"/>
              <w:right w:val="single" w:sz="8" w:color="auto"/>
            </w:tcBorders>
          </w:tcPr>
          <w:p>
            <w:pPr>
              <w:spacing w:after="0"/>
              <w:rPr>
                <w:sz w:val="15"/>
                <w:szCs w:val="15"/>
                <w:color w:val="auto"/>
              </w:rPr>
            </w:pPr>
          </w:p>
        </w:tc>
        <w:tc>
          <w:tcPr>
            <w:tcW w:w="14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89"/>
              </w:rPr>
              <w:t>Net</w:t>
            </w:r>
          </w:p>
        </w:tc>
        <w:tc>
          <w:tcPr>
            <w:tcW w:w="1720" w:type="dxa"/>
            <w:vAlign w:val="bottom"/>
            <w:tcBorders>
              <w:right w:val="single" w:sz="8" w:color="auto"/>
            </w:tcBorders>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0"/>
              </w:rPr>
              <w:t>Brand Strategic</w:t>
            </w:r>
          </w:p>
        </w:tc>
        <w:tc>
          <w:tcPr>
            <w:tcW w:w="20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3"/>
              </w:rPr>
              <w:t>Individual Financial</w:t>
            </w:r>
          </w:p>
        </w:tc>
        <w:tc>
          <w:tcPr>
            <w:tcW w:w="0" w:type="dxa"/>
            <w:vAlign w:val="bottom"/>
          </w:tcPr>
          <w:p>
            <w:pPr>
              <w:spacing w:after="0"/>
              <w:rPr>
                <w:sz w:val="1"/>
                <w:szCs w:val="1"/>
                <w:color w:val="auto"/>
              </w:rPr>
            </w:pPr>
          </w:p>
        </w:tc>
      </w:tr>
      <w:tr>
        <w:trPr>
          <w:trHeight w:val="234"/>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Participant Level</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Operating Income</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Operating Income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Objectives</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Goals</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Executive Officer II</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Executive Officer I</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Enterprise - 100% Enterprise Performance; 0% Brand Performance</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520" w:type="dxa"/>
            <w:vAlign w:val="bottom"/>
            <w:tcBorders>
              <w:top w:val="single" w:sz="8" w:color="auto"/>
              <w:left w:val="single" w:sz="8" w:color="auto"/>
              <w:right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520" w:type="dxa"/>
            <w:vAlign w:val="bottom"/>
            <w:tcBorders>
              <w:top w:val="single" w:sz="8" w:color="auto"/>
              <w:bottom w:val="single" w:sz="8" w:color="auto"/>
            </w:tcBorders>
            <w:gridSpan w:val="4"/>
          </w:tcPr>
          <w:p>
            <w:pPr>
              <w:ind w:left="720"/>
              <w:spacing w:after="0"/>
              <w:rPr>
                <w:sz w:val="20"/>
                <w:szCs w:val="20"/>
                <w:color w:val="auto"/>
              </w:rPr>
            </w:pPr>
            <w:r>
              <w:rPr>
                <w:rFonts w:ascii="Arial" w:cs="Arial" w:eastAsia="Arial" w:hAnsi="Arial"/>
                <w:sz w:val="18"/>
                <w:szCs w:val="18"/>
                <w:b w:val="1"/>
                <w:bCs w:val="1"/>
                <w:color w:val="auto"/>
                <w:w w:val="98"/>
              </w:rPr>
              <w:t>As a Percentage of Total Target Incentive Opportunity Shown Above</w:t>
            </w:r>
          </w:p>
        </w:tc>
        <w:tc>
          <w:tcPr>
            <w:tcW w:w="170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520" w:type="dxa"/>
            <w:vAlign w:val="bottom"/>
            <w:tcBorders>
              <w:left w:val="single" w:sz="8" w:color="auto"/>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900" w:type="dxa"/>
            <w:vAlign w:val="bottom"/>
            <w:tcBorders>
              <w:right w:val="single" w:sz="8" w:color="auto"/>
            </w:tcBorders>
            <w:gridSpan w:val="2"/>
          </w:tcPr>
          <w:p>
            <w:pPr>
              <w:jc w:val="center"/>
              <w:ind w:right="1210"/>
              <w:spacing w:after="0" w:line="173" w:lineRule="exact"/>
              <w:rPr>
                <w:sz w:val="20"/>
                <w:szCs w:val="20"/>
                <w:color w:val="auto"/>
              </w:rPr>
            </w:pPr>
            <w:r>
              <w:rPr>
                <w:rFonts w:ascii="Arial" w:cs="Arial" w:eastAsia="Arial" w:hAnsi="Arial"/>
                <w:sz w:val="18"/>
                <w:szCs w:val="18"/>
                <w:b w:val="1"/>
                <w:bCs w:val="1"/>
                <w:color w:val="auto"/>
                <w:w w:val="92"/>
              </w:rPr>
              <w:t>Brand</w:t>
            </w:r>
          </w:p>
        </w:tc>
        <w:tc>
          <w:tcPr>
            <w:tcW w:w="3120" w:type="dxa"/>
            <w:vAlign w:val="bottom"/>
            <w:tcBorders>
              <w:right w:val="single" w:sz="8" w:color="auto"/>
            </w:tcBorders>
            <w:gridSpan w:val="2"/>
            <w:vMerge w:val="restart"/>
          </w:tcPr>
          <w:p>
            <w:pPr>
              <w:ind w:left="620"/>
              <w:spacing w:after="0"/>
              <w:rPr>
                <w:sz w:val="20"/>
                <w:szCs w:val="20"/>
                <w:color w:val="auto"/>
              </w:rPr>
            </w:pPr>
            <w:r>
              <w:rPr>
                <w:rFonts w:ascii="Arial" w:cs="Arial" w:eastAsia="Arial" w:hAnsi="Arial"/>
                <w:sz w:val="18"/>
                <w:szCs w:val="18"/>
                <w:b w:val="1"/>
                <w:bCs w:val="1"/>
                <w:color w:val="auto"/>
              </w:rPr>
              <w:t>Enterprise Performance</w:t>
            </w:r>
          </w:p>
        </w:tc>
        <w:tc>
          <w:tcPr>
            <w:tcW w:w="170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tcPr>
          <w:p>
            <w:pPr>
              <w:spacing w:after="0"/>
              <w:rPr>
                <w:sz w:val="11"/>
                <w:szCs w:val="11"/>
                <w:color w:val="auto"/>
              </w:rPr>
            </w:pPr>
          </w:p>
        </w:tc>
        <w:tc>
          <w:tcPr>
            <w:tcW w:w="32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3120" w:type="dxa"/>
            <w:vAlign w:val="bottom"/>
            <w:tcBorders>
              <w:right w:val="single" w:sz="8" w:color="auto"/>
            </w:tcBorders>
            <w:gridSpan w:val="2"/>
            <w:vMerge w:val="continue"/>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520" w:type="dxa"/>
            <w:vAlign w:val="bottom"/>
            <w:tcBorders>
              <w:left w:val="single" w:sz="8" w:color="auto"/>
              <w:bottom w:val="single" w:sz="8" w:color="auto"/>
              <w:right w:val="single" w:sz="8" w:color="auto"/>
            </w:tcBorders>
          </w:tcPr>
          <w:p>
            <w:pPr>
              <w:spacing w:after="0"/>
              <w:rPr>
                <w:sz w:val="8"/>
                <w:szCs w:val="8"/>
                <w:color w:val="auto"/>
              </w:rPr>
            </w:pPr>
          </w:p>
        </w:tc>
        <w:tc>
          <w:tcPr>
            <w:tcW w:w="3200" w:type="dxa"/>
            <w:vAlign w:val="bottom"/>
            <w:tcBorders>
              <w:bottom w:val="single" w:sz="8" w:color="auto"/>
              <w:right w:val="single" w:sz="8" w:color="auto"/>
            </w:tcBorders>
            <w:gridSpan w:val="3"/>
            <w:vMerge w:val="continue"/>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170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8"/>
                <w:szCs w:val="18"/>
                <w:b w:val="1"/>
                <w:bCs w:val="1"/>
                <w:color w:val="auto"/>
                <w:w w:val="90"/>
              </w:rPr>
              <w:t>Enterprise Strategic</w:t>
            </w:r>
          </w:p>
        </w:tc>
        <w:tc>
          <w:tcPr>
            <w:tcW w:w="170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8"/>
                <w:szCs w:val="18"/>
                <w:b w:val="1"/>
                <w:bCs w:val="1"/>
                <w:color w:val="auto"/>
                <w:w w:val="93"/>
              </w:rPr>
              <w:t>Individual Financial</w:t>
            </w:r>
          </w:p>
        </w:tc>
        <w:tc>
          <w:tcPr>
            <w:tcW w:w="0" w:type="dxa"/>
            <w:vAlign w:val="bottom"/>
          </w:tcPr>
          <w:p>
            <w:pPr>
              <w:spacing w:after="0"/>
              <w:rPr>
                <w:sz w:val="1"/>
                <w:szCs w:val="1"/>
                <w:color w:val="auto"/>
              </w:rPr>
            </w:pPr>
          </w:p>
        </w:tc>
      </w:tr>
      <w:tr>
        <w:trPr>
          <w:trHeight w:val="75"/>
        </w:trPr>
        <w:tc>
          <w:tcPr>
            <w:tcW w:w="1520" w:type="dxa"/>
            <w:vAlign w:val="bottom"/>
            <w:tcBorders>
              <w:left w:val="single" w:sz="8" w:color="auto"/>
              <w:right w:val="single" w:sz="8" w:color="auto"/>
            </w:tcBorders>
          </w:tcPr>
          <w:p>
            <w:pPr>
              <w:spacing w:after="0"/>
              <w:rPr>
                <w:sz w:val="6"/>
                <w:szCs w:val="6"/>
                <w:color w:val="auto"/>
              </w:rPr>
            </w:pPr>
          </w:p>
        </w:tc>
        <w:tc>
          <w:tcPr>
            <w:tcW w:w="130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w w:val="95"/>
              </w:rPr>
              <w:t>Participant Level</w:t>
            </w:r>
          </w:p>
        </w:tc>
        <w:tc>
          <w:tcPr>
            <w:tcW w:w="130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89"/>
              </w:rPr>
              <w:t>Net Revenue</w:t>
            </w:r>
          </w:p>
        </w:tc>
        <w:tc>
          <w:tcPr>
            <w:tcW w:w="2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w w:val="99"/>
              </w:rPr>
              <w:t>Operating Income</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Net Revenue</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Operating Income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Objectives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Goals</w:t>
            </w:r>
          </w:p>
        </w:tc>
        <w:tc>
          <w:tcPr>
            <w:tcW w:w="0" w:type="dxa"/>
            <w:vAlign w:val="bottom"/>
          </w:tcPr>
          <w:p>
            <w:pPr>
              <w:spacing w:after="0"/>
              <w:rPr>
                <w:sz w:val="1"/>
                <w:szCs w:val="1"/>
                <w:color w:val="auto"/>
              </w:rPr>
            </w:pPr>
          </w:p>
        </w:tc>
      </w:tr>
      <w:tr>
        <w:trPr>
          <w:trHeight w:val="117"/>
        </w:trPr>
        <w:tc>
          <w:tcPr>
            <w:tcW w:w="1520" w:type="dxa"/>
            <w:vAlign w:val="bottom"/>
            <w:tcBorders>
              <w:left w:val="single" w:sz="8" w:color="auto"/>
              <w:right w:val="single" w:sz="8" w:color="auto"/>
            </w:tcBorders>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520" w:type="dxa"/>
            <w:vAlign w:val="bottom"/>
            <w:tcBorders>
              <w:left w:val="single" w:sz="8" w:color="auto"/>
              <w:bottom w:val="single" w:sz="8" w:color="auto"/>
              <w:right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520" w:type="dxa"/>
            <w:vAlign w:val="bottom"/>
            <w:tcBorders>
              <w:left w:val="single" w:sz="8" w:color="auto"/>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Chief Executive</w:t>
            </w:r>
          </w:p>
        </w:tc>
        <w:tc>
          <w:tcPr>
            <w:tcW w:w="1300" w:type="dxa"/>
            <w:vAlign w:val="bottom"/>
            <w:vMerge w:val="restart"/>
          </w:tcPr>
          <w:p>
            <w:pPr>
              <w:jc w:val="center"/>
              <w:ind w:left="90"/>
              <w:spacing w:after="0"/>
              <w:rPr>
                <w:sz w:val="20"/>
                <w:szCs w:val="20"/>
                <w:color w:val="auto"/>
              </w:rPr>
            </w:pPr>
            <w:r>
              <w:rPr>
                <w:rFonts w:ascii="Arial" w:cs="Arial" w:eastAsia="Arial" w:hAnsi="Arial"/>
                <w:sz w:val="18"/>
                <w:szCs w:val="18"/>
                <w:color w:val="auto"/>
                <w:w w:val="92"/>
              </w:rPr>
              <w:t>0%</w:t>
            </w:r>
          </w:p>
        </w:tc>
        <w:tc>
          <w:tcPr>
            <w:tcW w:w="20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vMerge w:val="restart"/>
          </w:tcPr>
          <w:p>
            <w:pPr>
              <w:ind w:left="720"/>
              <w:spacing w:after="0"/>
              <w:rPr>
                <w:sz w:val="20"/>
                <w:szCs w:val="20"/>
                <w:color w:val="auto"/>
              </w:rPr>
            </w:pPr>
            <w:r>
              <w:rPr>
                <w:rFonts w:ascii="Arial" w:cs="Arial" w:eastAsia="Arial" w:hAnsi="Arial"/>
                <w:sz w:val="18"/>
                <w:szCs w:val="18"/>
                <w:color w:val="auto"/>
              </w:rPr>
              <w:t>0%</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25%</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25%</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25%</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136"/>
        </w:trPr>
        <w:tc>
          <w:tcPr>
            <w:tcW w:w="15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Officer</w:t>
            </w:r>
          </w:p>
        </w:tc>
        <w:tc>
          <w:tcPr>
            <w:tcW w:w="13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52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52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Executive Officer</w:t>
            </w:r>
          </w:p>
        </w:tc>
        <w:tc>
          <w:tcPr>
            <w:tcW w:w="1300" w:type="dxa"/>
            <w:vAlign w:val="bottom"/>
            <w:vMerge w:val="restart"/>
          </w:tcPr>
          <w:p>
            <w:pPr>
              <w:jc w:val="center"/>
              <w:ind w:left="90"/>
              <w:spacing w:after="0"/>
              <w:rPr>
                <w:sz w:val="20"/>
                <w:szCs w:val="20"/>
                <w:color w:val="auto"/>
              </w:rPr>
            </w:pPr>
            <w:r>
              <w:rPr>
                <w:rFonts w:ascii="Arial" w:cs="Arial" w:eastAsia="Arial" w:hAnsi="Arial"/>
                <w:sz w:val="18"/>
                <w:szCs w:val="18"/>
                <w:color w:val="auto"/>
                <w:w w:val="92"/>
              </w:rPr>
              <w:t>0%</w:t>
            </w:r>
          </w:p>
        </w:tc>
        <w:tc>
          <w:tcPr>
            <w:tcW w:w="20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vMerge w:val="restart"/>
          </w:tcPr>
          <w:p>
            <w:pPr>
              <w:ind w:left="720"/>
              <w:spacing w:after="0"/>
              <w:rPr>
                <w:sz w:val="20"/>
                <w:szCs w:val="20"/>
                <w:color w:val="auto"/>
              </w:rPr>
            </w:pPr>
            <w:r>
              <w:rPr>
                <w:rFonts w:ascii="Arial" w:cs="Arial" w:eastAsia="Arial" w:hAnsi="Arial"/>
                <w:sz w:val="18"/>
                <w:szCs w:val="18"/>
                <w:color w:val="auto"/>
              </w:rPr>
              <w:t>0%</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25%</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25%</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25%</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149"/>
        </w:trPr>
        <w:tc>
          <w:tcPr>
            <w:tcW w:w="15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II</w:t>
            </w:r>
          </w:p>
        </w:tc>
        <w:tc>
          <w:tcPr>
            <w:tcW w:w="130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5"/>
              </w:rPr>
              <w:t>Executive Officer I</w:t>
            </w:r>
          </w:p>
        </w:tc>
        <w:tc>
          <w:tcPr>
            <w:tcW w:w="13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2"/>
              </w:rPr>
              <w:t>0%</w:t>
            </w:r>
          </w:p>
        </w:tc>
        <w:tc>
          <w:tcPr>
            <w:tcW w:w="2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Enterprise Financial Performance</w:t>
      </w:r>
    </w:p>
    <w:p>
      <w:pPr>
        <w:ind w:right="40"/>
        <w:spacing w:after="0" w:line="280" w:lineRule="auto"/>
        <w:rPr>
          <w:sz w:val="20"/>
          <w:szCs w:val="20"/>
          <w:color w:val="auto"/>
        </w:rPr>
      </w:pPr>
      <w:r>
        <w:rPr>
          <w:rFonts w:ascii="Arial" w:cs="Arial" w:eastAsia="Arial" w:hAnsi="Arial"/>
          <w:sz w:val="16"/>
          <w:szCs w:val="16"/>
          <w:color w:val="auto"/>
        </w:rPr>
        <w:t>Payouts for Financial Performance are based on meeting two independent financial metrics, which are net revenue and operating income. Assuming at least threshold levels of performance against the Performance goals are met during the Performance Period, the actual payout levels will range from 25%-200%</w:t>
      </w:r>
    </w:p>
    <w:p>
      <w:pPr>
        <w:ind w:right="220"/>
        <w:spacing w:after="0" w:line="261" w:lineRule="auto"/>
        <w:rPr>
          <w:sz w:val="20"/>
          <w:szCs w:val="20"/>
          <w:color w:val="auto"/>
        </w:rPr>
      </w:pPr>
      <w:r>
        <w:rPr>
          <w:rFonts w:ascii="Arial" w:cs="Arial" w:eastAsia="Arial" w:hAnsi="Arial"/>
          <w:sz w:val="18"/>
          <w:szCs w:val="18"/>
          <w:color w:val="auto"/>
        </w:rPr>
        <w:t>of target. The actual amount of Financial Performance goals is considered to be confidential information and is not included in this document, but can be obtained from Human Resources.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Net Revenue Performance Level</w:t>
            </w:r>
          </w:p>
        </w:tc>
        <w:tc>
          <w:tcPr>
            <w:tcW w:w="578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9"/>
              </w:rPr>
              <w:t>Payout as a Percentage of the Portion of Incentive Tied to Corporate</w:t>
            </w:r>
          </w:p>
        </w:tc>
        <w:tc>
          <w:tcPr>
            <w:tcW w:w="0" w:type="dxa"/>
            <w:vAlign w:val="bottom"/>
          </w:tcPr>
          <w:p>
            <w:pPr>
              <w:spacing w:after="0"/>
              <w:rPr>
                <w:sz w:val="1"/>
                <w:szCs w:val="1"/>
                <w:color w:val="auto"/>
              </w:rPr>
            </w:pPr>
          </w:p>
        </w:tc>
      </w:tr>
      <w:tr>
        <w:trPr>
          <w:trHeight w:val="135"/>
        </w:trPr>
        <w:tc>
          <w:tcPr>
            <w:tcW w:w="5460" w:type="dxa"/>
            <w:vAlign w:val="bottom"/>
            <w:tcBorders>
              <w:left w:val="single" w:sz="8" w:color="auto"/>
              <w:right w:val="single" w:sz="8" w:color="auto"/>
            </w:tcBorders>
            <w:vMerge w:val="continue"/>
          </w:tcPr>
          <w:p>
            <w:pPr>
              <w:spacing w:after="0"/>
              <w:rPr>
                <w:sz w:val="11"/>
                <w:szCs w:val="11"/>
                <w:color w:val="auto"/>
              </w:rPr>
            </w:pPr>
          </w:p>
        </w:tc>
        <w:tc>
          <w:tcPr>
            <w:tcW w:w="5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Performance*</w:t>
            </w:r>
          </w:p>
        </w:tc>
        <w:tc>
          <w:tcPr>
            <w:tcW w:w="0" w:type="dxa"/>
            <w:vAlign w:val="bottom"/>
          </w:tcPr>
          <w:p>
            <w:pPr>
              <w:spacing w:after="0"/>
              <w:rPr>
                <w:sz w:val="1"/>
                <w:szCs w:val="1"/>
                <w:color w:val="auto"/>
              </w:rPr>
            </w:pPr>
          </w:p>
        </w:tc>
      </w:tr>
      <w:tr>
        <w:trPr>
          <w:trHeight w:val="94"/>
        </w:trPr>
        <w:tc>
          <w:tcPr>
            <w:tcW w:w="5460" w:type="dxa"/>
            <w:vAlign w:val="bottom"/>
            <w:tcBorders>
              <w:left w:val="single" w:sz="8" w:color="auto"/>
              <w:bottom w:val="single" w:sz="8" w:color="auto"/>
              <w:right w:val="single" w:sz="8" w:color="auto"/>
            </w:tcBorders>
          </w:tcPr>
          <w:p>
            <w:pPr>
              <w:spacing w:after="0"/>
              <w:rPr>
                <w:sz w:val="8"/>
                <w:szCs w:val="8"/>
                <w:color w:val="auto"/>
              </w:rPr>
            </w:pPr>
          </w:p>
        </w:tc>
        <w:tc>
          <w:tcPr>
            <w:tcW w:w="57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Threshold</w:t>
            </w: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29"/>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3"/>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Excellence</w:t>
            </w: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178"/>
        </w:trPr>
        <w:tc>
          <w:tcPr>
            <w:tcW w:w="5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Operating Income Performance Level</w:t>
            </w:r>
          </w:p>
        </w:tc>
        <w:tc>
          <w:tcPr>
            <w:tcW w:w="57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89"/>
              </w:rPr>
              <w:t>Payout as a Percentage of the Portion of Incentive Tied to Corporate</w:t>
            </w:r>
          </w:p>
        </w:tc>
        <w:tc>
          <w:tcPr>
            <w:tcW w:w="0" w:type="dxa"/>
            <w:vAlign w:val="bottom"/>
          </w:tcPr>
          <w:p>
            <w:pPr>
              <w:spacing w:after="0"/>
              <w:rPr>
                <w:sz w:val="1"/>
                <w:szCs w:val="1"/>
                <w:color w:val="auto"/>
              </w:rPr>
            </w:pPr>
          </w:p>
        </w:tc>
      </w:tr>
      <w:tr>
        <w:trPr>
          <w:trHeight w:val="140"/>
        </w:trPr>
        <w:tc>
          <w:tcPr>
            <w:tcW w:w="5460" w:type="dxa"/>
            <w:vAlign w:val="bottom"/>
            <w:tcBorders>
              <w:left w:val="single" w:sz="8" w:color="auto"/>
              <w:right w:val="single" w:sz="8" w:color="auto"/>
            </w:tcBorders>
            <w:vMerge w:val="continue"/>
          </w:tcPr>
          <w:p>
            <w:pPr>
              <w:spacing w:after="0"/>
              <w:rPr>
                <w:sz w:val="12"/>
                <w:szCs w:val="12"/>
                <w:color w:val="auto"/>
              </w:rPr>
            </w:pPr>
          </w:p>
        </w:tc>
        <w:tc>
          <w:tcPr>
            <w:tcW w:w="5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Performance*</w:t>
            </w:r>
          </w:p>
        </w:tc>
        <w:tc>
          <w:tcPr>
            <w:tcW w:w="0" w:type="dxa"/>
            <w:vAlign w:val="bottom"/>
          </w:tcPr>
          <w:p>
            <w:pPr>
              <w:spacing w:after="0"/>
              <w:rPr>
                <w:sz w:val="1"/>
                <w:szCs w:val="1"/>
                <w:color w:val="auto"/>
              </w:rPr>
            </w:pPr>
          </w:p>
        </w:tc>
      </w:tr>
      <w:tr>
        <w:trPr>
          <w:trHeight w:val="94"/>
        </w:trPr>
        <w:tc>
          <w:tcPr>
            <w:tcW w:w="5460" w:type="dxa"/>
            <w:vAlign w:val="bottom"/>
            <w:tcBorders>
              <w:left w:val="single" w:sz="8" w:color="auto"/>
              <w:bottom w:val="single" w:sz="8" w:color="auto"/>
              <w:right w:val="single" w:sz="8" w:color="auto"/>
            </w:tcBorders>
          </w:tcPr>
          <w:p>
            <w:pPr>
              <w:spacing w:after="0"/>
              <w:rPr>
                <w:sz w:val="8"/>
                <w:szCs w:val="8"/>
                <w:color w:val="auto"/>
              </w:rPr>
            </w:pPr>
          </w:p>
        </w:tc>
        <w:tc>
          <w:tcPr>
            <w:tcW w:w="57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Threshold</w:t>
            </w: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30"/>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Excellence</w:t>
            </w: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*Payout levels are determined using linear interpolation for results falling between the three performance levels.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Enterprise Strategic Objectives</w:t>
      </w:r>
    </w:p>
    <w:p>
      <w:pPr>
        <w:spacing w:after="0"/>
        <w:rPr>
          <w:sz w:val="20"/>
          <w:szCs w:val="20"/>
          <w:color w:val="auto"/>
        </w:rPr>
      </w:pPr>
      <w:r>
        <w:rPr>
          <w:rFonts w:ascii="Arial" w:cs="Arial" w:eastAsia="Arial" w:hAnsi="Arial"/>
          <w:sz w:val="17"/>
          <w:szCs w:val="17"/>
          <w:color w:val="auto"/>
        </w:rPr>
        <w:t>Payouts for performance against the Brand and Enterprise Strategic Objectives will be based on performance against the following objectives: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Vera Bradley Brand Strategic Objectives:</w:t>
      </w:r>
    </w:p>
    <w:p>
      <w:pPr>
        <w:ind w:left="660" w:hanging="328"/>
        <w:spacing w:after="0" w:line="20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Restore Core Product - Deliver updated designs</w:t>
      </w:r>
    </w:p>
    <w:p>
      <w:pPr>
        <w:ind w:left="660" w:hanging="328"/>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Restore Core Brand - Clarify brand position</w:t>
      </w:r>
    </w:p>
    <w:p>
      <w:pPr>
        <w:ind w:left="660" w:hanging="328"/>
        <w:spacing w:after="0" w:line="20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Restore Core Customer - Create multi-year customer file growth plan</w:t>
      </w:r>
    </w:p>
    <w:p>
      <w:pPr>
        <w:ind w:left="660" w:hanging="328"/>
        <w:spacing w:after="0" w:line="20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Balanced Sales Footprint - Achieve channel growth</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 Management - Deliver savings above FY24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Pura Vida Brand Strategic Objectives</w:t>
      </w:r>
    </w:p>
    <w:p>
      <w:pPr>
        <w:ind w:left="660" w:hanging="328"/>
        <w:spacing w:after="0" w:line="21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Restore Core Product - Achieve string and jewelry/accessories growth</w:t>
      </w:r>
    </w:p>
    <w:p>
      <w:pPr>
        <w:ind w:left="660" w:hanging="328"/>
        <w:spacing w:after="0" w:line="20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Restore Core Brand - Clarify brand position</w:t>
      </w:r>
    </w:p>
    <w:p>
      <w:pPr>
        <w:ind w:left="660" w:hanging="328"/>
        <w:spacing w:after="0" w:line="21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Restore Core Customer - Develop diversified marketing plan</w:t>
      </w:r>
    </w:p>
    <w:p>
      <w:pPr>
        <w:ind w:left="660" w:hanging="328"/>
        <w:spacing w:after="0" w:line="20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Drive Repeat Purchases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 Management - Deliver savings above FY24 plan</w:t>
      </w:r>
    </w:p>
    <w:p>
      <w:pPr>
        <w:sectPr>
          <w:pgSz w:w="11900" w:h="16838" w:orient="portrait"/>
          <w:cols w:equalWidth="0" w:num="1">
            <w:col w:w="11240"/>
          </w:cols>
          <w:pgMar w:left="320" w:top="1417" w:right="339" w:bottom="1440" w:gutter="0" w:footer="0" w:header="0"/>
        </w:sectPr>
      </w:pPr>
    </w:p>
    <w:bookmarkStart w:id="39" w:name="page40"/>
    <w:bookmarkEnd w:id="39"/>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Enterprise Strategic Objectives:</w:t>
      </w:r>
    </w:p>
    <w:p>
      <w:pPr>
        <w:spacing w:after="0" w:line="1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Drive Stock Price and Shareholder Return</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Gross Margin Management - Exceed gross profit plan</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Talent Management - Achieve engagement score plan</w:t>
      </w:r>
    </w:p>
    <w:p>
      <w:pPr>
        <w:ind w:left="660" w:hanging="328"/>
        <w:spacing w:after="0" w:line="21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 Management - Reduce total SG&amp;A expense</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ESG &amp; Corporate Responsibility - Improve process and product to sustain a brighter, more beautiful tomorrow</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Assuming threshold levels of performance against the Brand and Enterprise Strategic Objectives are met during the Performance Period, the actual payout</w:t>
      </w:r>
    </w:p>
    <w:p>
      <w:pPr>
        <w:spacing w:after="0" w:line="2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levels will range from 25%-200% of target. The Compensation Committee of the Board of Directors of the Company (the “Compensation Committee”) shall determine the level of performance achieved against the Brand and Enterprise Strategic Objectives in its sole discretion.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Financial Goals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Payouts for performance against the Individual Financial Goals will be based on a Participant’s overall achievement of personal objectives, as determined</w:t>
      </w:r>
    </w:p>
    <w:p>
      <w:pPr>
        <w:spacing w:after="0" w:line="5"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by the Participant’s supervisor and approved by the Compensation Committee. Payout levels for achievement of the Individual Financial Goals range from 0%-200% of that portion of incentive tied to the Individual Financial Goals.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Administrative Guidelines</w:t>
      </w:r>
    </w:p>
    <w:p>
      <w:pPr>
        <w:spacing w:after="0" w:line="2" w:lineRule="exact"/>
        <w:rPr>
          <w:sz w:val="20"/>
          <w:szCs w:val="20"/>
          <w:color w:val="auto"/>
        </w:rPr>
      </w:pPr>
    </w:p>
    <w:p>
      <w:pPr>
        <w:jc w:val="both"/>
        <w:ind w:left="340" w:hanging="332"/>
        <w:spacing w:after="0" w:line="218"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CEO direct reports at an Executive Officer level and certain designated Executive Officers are eligible to participate in this Annual Plan. Any question regarding eligibility for participation in this Annual Plan shall be resolved by the Compensation Committee, in the Committee’s sole discretion.</w:t>
      </w:r>
    </w:p>
    <w:p>
      <w:pPr>
        <w:spacing w:after="0" w:line="202" w:lineRule="exact"/>
        <w:rPr>
          <w:rFonts w:ascii="Arial" w:cs="Arial" w:eastAsia="Arial" w:hAnsi="Arial"/>
          <w:sz w:val="18"/>
          <w:szCs w:val="18"/>
          <w:color w:val="auto"/>
        </w:rPr>
      </w:pPr>
    </w:p>
    <w:p>
      <w:pPr>
        <w:ind w:left="340" w:hanging="332"/>
        <w:spacing w:after="0" w:line="235"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Participation in this Annual Plan neither gives any employee the right to be retained as an employee nor limits the Company's right to discharge or discipline any employee.</w:t>
      </w:r>
    </w:p>
    <w:p>
      <w:pPr>
        <w:spacing w:after="0" w:line="188"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Final payout of any bonus under this Plan is subject to the final approval of the Chief Financial Officer and Vice President, Human Resources and as necessary the Compensation Committee.</w:t>
      </w:r>
    </w:p>
    <w:p>
      <w:pPr>
        <w:spacing w:after="0" w:line="183" w:lineRule="exact"/>
        <w:rPr>
          <w:rFonts w:ascii="Arial" w:cs="Arial" w:eastAsia="Arial" w:hAnsi="Arial"/>
          <w:sz w:val="18"/>
          <w:szCs w:val="18"/>
          <w:color w:val="auto"/>
        </w:rPr>
      </w:pPr>
    </w:p>
    <w:p>
      <w:pPr>
        <w:ind w:left="340" w:hanging="332"/>
        <w:spacing w:after="0" w:line="235"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Participants placed on a Performance Improvement Plan or who are on Step 3 Probation within six months of when payment is made under this Plan will not be eligible for such payment.</w:t>
      </w:r>
    </w:p>
    <w:p>
      <w:pPr>
        <w:spacing w:after="0" w:line="202" w:lineRule="exact"/>
        <w:rPr>
          <w:rFonts w:ascii="Arial" w:cs="Arial" w:eastAsia="Arial" w:hAnsi="Arial"/>
          <w:sz w:val="18"/>
          <w:szCs w:val="18"/>
          <w:color w:val="auto"/>
        </w:rPr>
      </w:pPr>
    </w:p>
    <w:p>
      <w:pPr>
        <w:jc w:val="both"/>
        <w:ind w:left="340" w:hanging="332"/>
        <w:spacing w:after="0" w:line="21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Certification of Results. Before any Awards under the Annual Plan are deemed earned with respect to a Performance Period, the Compensation Committee shall certify, in accordance with Section 9.5 of the 2020 Plan, in writing (i) that the performance goals have been met for the Performance Period, and (ii) the calculation of "Operating Income" and "Net Revenue" for the Performance Period.</w:t>
      </w:r>
    </w:p>
    <w:p>
      <w:pPr>
        <w:spacing w:after="0" w:line="2" w:lineRule="exact"/>
        <w:rPr>
          <w:rFonts w:ascii="Arial" w:cs="Arial" w:eastAsia="Arial" w:hAnsi="Arial"/>
          <w:sz w:val="18"/>
          <w:szCs w:val="18"/>
          <w:color w:val="auto"/>
        </w:rPr>
      </w:pPr>
    </w:p>
    <w:p>
      <w:pPr>
        <w:jc w:val="both"/>
        <w:ind w:left="1300" w:hanging="320"/>
        <w:spacing w:after="0" w:line="20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Definition of "Operating Income". For purposes of this Annual Plan, the term "Operating Income" means, with respect to the Performance Period related to any Awards, the Company's consolidated operating income,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5" w:lineRule="exact"/>
        <w:rPr>
          <w:rFonts w:ascii="Arial" w:cs="Arial" w:eastAsia="Arial" w:hAnsi="Arial"/>
          <w:sz w:val="18"/>
          <w:szCs w:val="18"/>
          <w:color w:val="auto"/>
        </w:rPr>
      </w:pPr>
    </w:p>
    <w:p>
      <w:pPr>
        <w:ind w:left="1300" w:hanging="320"/>
        <w:spacing w:after="0" w:line="239"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Definition of "Net Revenue". For purposes of this Annual Plan, the term "Net Revenue" means, with respect to the Performance Period related to any Awards, the Company's consolidated net revenue, as determined in accordance with U.S. GAAP.</w:t>
      </w:r>
    </w:p>
    <w:p>
      <w:pPr>
        <w:spacing w:after="0" w:line="202" w:lineRule="exact"/>
        <w:rPr>
          <w:rFonts w:ascii="Arial" w:cs="Arial" w:eastAsia="Arial" w:hAnsi="Arial"/>
          <w:sz w:val="17"/>
          <w:szCs w:val="17"/>
          <w:color w:val="auto"/>
        </w:rPr>
      </w:pPr>
    </w:p>
    <w:p>
      <w:pPr>
        <w:jc w:val="both"/>
        <w:ind w:left="660" w:right="60" w:hanging="652"/>
        <w:spacing w:after="0" w:line="229"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Except as provided herein, (a) no Participant will be entitled to an incentive payment under the Plan unless the Participant is employed by the Company or an Affiliate in an eligible position on the day the incentive payment is made, and (b) a Participant who separates from Service for any reason prior to the date of payment of such incentive will not be entitled to a prorated award, unless otherwise required by applicable state law. By way of clarification, should a Participant separate from Service and be rehired within the same Performance Period, the Participant shall not be given credit for prior periods Service. Notwithstanding the preceding provisions, the following provisions will apply if, during the Performance Period (or after the Performance Period and prior to the date of payment), you cease providing Services</w:t>
      </w:r>
    </w:p>
    <w:p>
      <w:pPr>
        <w:sectPr>
          <w:pgSz w:w="11900" w:h="16838" w:orient="portrait"/>
          <w:cols w:equalWidth="0" w:num="1">
            <w:col w:w="11240"/>
          </w:cols>
          <w:pgMar w:left="320" w:top="1440" w:right="339" w:bottom="1440" w:gutter="0" w:footer="0" w:header="0"/>
        </w:sectPr>
      </w:pPr>
    </w:p>
    <w:bookmarkStart w:id="40" w:name="page41"/>
    <w:bookmarkEnd w:id="40"/>
    <w:p>
      <w:pPr>
        <w:ind w:left="652"/>
        <w:spacing w:after="0"/>
        <w:rPr>
          <w:sz w:val="20"/>
          <w:szCs w:val="20"/>
          <w:color w:val="auto"/>
        </w:rPr>
      </w:pPr>
      <w:r>
        <w:rPr>
          <w:rFonts w:ascii="Arial" w:cs="Arial" w:eastAsia="Arial" w:hAnsi="Arial"/>
          <w:sz w:val="18"/>
          <w:szCs w:val="18"/>
          <w:color w:val="auto"/>
        </w:rPr>
        <w:t>due to death, Disability or Retirement (and provided that you have not otherwise engaged in an act that would constitute Cause):</w:t>
      </w:r>
    </w:p>
    <w:p>
      <w:pPr>
        <w:spacing w:after="0" w:line="212" w:lineRule="exact"/>
        <w:rPr>
          <w:sz w:val="20"/>
          <w:szCs w:val="20"/>
          <w:color w:val="auto"/>
        </w:rPr>
      </w:pPr>
    </w:p>
    <w:p>
      <w:pPr>
        <w:jc w:val="both"/>
        <w:ind w:left="1952" w:right="60" w:hanging="656"/>
        <w:spacing w:after="0" w:line="223" w:lineRule="auto"/>
        <w:tabs>
          <w:tab w:leader="none" w:pos="19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Death or Disability: In the event a Participant's Service terminates as a result of death or Disability prior to the date on which the incentive payment is made, the outstanding Award shall be treated as earned at the actual level for both the Company performance and at the target level for individual performance with any such earned Awards becoming fully vested and paid out as provided in section 8, below.</w:t>
      </w:r>
    </w:p>
    <w:p>
      <w:pPr>
        <w:spacing w:after="0" w:line="202" w:lineRule="exact"/>
        <w:rPr>
          <w:rFonts w:ascii="Arial" w:cs="Arial" w:eastAsia="Arial" w:hAnsi="Arial"/>
          <w:sz w:val="18"/>
          <w:szCs w:val="18"/>
          <w:color w:val="auto"/>
        </w:rPr>
      </w:pPr>
    </w:p>
    <w:p>
      <w:pPr>
        <w:jc w:val="both"/>
        <w:ind w:left="1952" w:right="60" w:hanging="656"/>
        <w:spacing w:after="0" w:line="219" w:lineRule="auto"/>
        <w:tabs>
          <w:tab w:leader="none" w:pos="19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Retirement: In the event a Participant's Service with the Company terminates as a result of Retirement during the Performance Period, the outstanding Award shall be earned based on the actual Company performance level obtained (determined at the end of the Performance Period) and target individual performance level, with any such earned Awards becoming fully vested and paid out as provided in section 8, below. Retirement age is defined as the individual’s early or normal retirement date as defined by the United States Social Security Administration.</w:t>
      </w:r>
    </w:p>
    <w:p>
      <w:pPr>
        <w:spacing w:after="0" w:line="189" w:lineRule="exact"/>
        <w:rPr>
          <w:rFonts w:ascii="Arial" w:cs="Arial" w:eastAsia="Arial" w:hAnsi="Arial"/>
          <w:sz w:val="18"/>
          <w:szCs w:val="18"/>
          <w:color w:val="auto"/>
        </w:rPr>
      </w:pPr>
    </w:p>
    <w:p>
      <w:pPr>
        <w:jc w:val="both"/>
        <w:ind w:left="652" w:hanging="652"/>
        <w:spacing w:after="0" w:line="245" w:lineRule="auto"/>
        <w:tabs>
          <w:tab w:leader="none" w:pos="652"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Annual Plan, in the event of a Change in Control of the Company during the Performance Period, then the outstanding Award shall be treated as earned at the target level, but prorated based on the number of full fiscal months (in which the Participant provided Service throughout such month) during the Performance Period, with any such earned</w:t>
      </w:r>
    </w:p>
    <w:p>
      <w:pPr>
        <w:spacing w:after="0" w:line="184" w:lineRule="exact"/>
        <w:rPr>
          <w:rFonts w:ascii="Arial" w:cs="Arial" w:eastAsia="Arial" w:hAnsi="Arial"/>
          <w:sz w:val="17"/>
          <w:szCs w:val="17"/>
          <w:color w:val="auto"/>
        </w:rPr>
      </w:pPr>
    </w:p>
    <w:p>
      <w:pPr>
        <w:jc w:val="both"/>
        <w:ind w:left="652"/>
        <w:spacing w:after="0" w:line="225" w:lineRule="auto"/>
        <w:rPr>
          <w:rFonts w:ascii="Arial" w:cs="Arial" w:eastAsia="Arial" w:hAnsi="Arial"/>
          <w:sz w:val="17"/>
          <w:szCs w:val="17"/>
          <w:color w:val="auto"/>
        </w:rPr>
      </w:pPr>
      <w:r>
        <w:rPr>
          <w:rFonts w:ascii="Arial" w:cs="Arial" w:eastAsia="Arial" w:hAnsi="Arial"/>
          <w:sz w:val="17"/>
          <w:szCs w:val="17"/>
          <w:color w:val="auto"/>
        </w:rPr>
        <w:t>Awards becoming fully vested and paid out on a as soon as practicable (but not later than 30 calendar days) following the Change in Control. For purposes of this Annual Plan, the term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194" w:lineRule="exact"/>
        <w:rPr>
          <w:rFonts w:ascii="Arial" w:cs="Arial" w:eastAsia="Arial" w:hAnsi="Arial"/>
          <w:sz w:val="17"/>
          <w:szCs w:val="17"/>
          <w:color w:val="auto"/>
        </w:rPr>
      </w:pPr>
    </w:p>
    <w:p>
      <w:pPr>
        <w:ind w:left="652" w:hanging="652"/>
        <w:spacing w:after="0"/>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Participants will receive an award that is prorated based on Base Salary earned during the Performance Period.</w:t>
      </w:r>
    </w:p>
    <w:p>
      <w:pPr>
        <w:spacing w:after="0" w:line="225" w:lineRule="exact"/>
        <w:rPr>
          <w:rFonts w:ascii="Arial" w:cs="Arial" w:eastAsia="Arial" w:hAnsi="Arial"/>
          <w:sz w:val="18"/>
          <w:szCs w:val="18"/>
          <w:color w:val="auto"/>
        </w:rPr>
      </w:pPr>
    </w:p>
    <w:p>
      <w:pPr>
        <w:ind w:left="652" w:hanging="652"/>
        <w:spacing w:after="0" w:line="235"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that a Participant joins the Company at any time during the final three fiscal months of the Performance Period, such participant will not be eligible to participate in this Plan.</w:t>
      </w:r>
    </w:p>
    <w:p>
      <w:pPr>
        <w:spacing w:after="0" w:line="188" w:lineRule="exact"/>
        <w:rPr>
          <w:rFonts w:ascii="Arial" w:cs="Arial" w:eastAsia="Arial" w:hAnsi="Arial"/>
          <w:sz w:val="18"/>
          <w:szCs w:val="18"/>
          <w:color w:val="auto"/>
        </w:rPr>
      </w:pPr>
    </w:p>
    <w:p>
      <w:pPr>
        <w:ind w:left="652" w:hanging="652"/>
        <w:spacing w:after="0"/>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goal attainment calculations will follow normal rounding guidelines (i.e., 93.1% to 93.49% = 93%; 93.5% to 93.9% = 94%).</w:t>
      </w:r>
    </w:p>
    <w:p>
      <w:pPr>
        <w:spacing w:after="0" w:line="225" w:lineRule="exact"/>
        <w:rPr>
          <w:rFonts w:ascii="Arial" w:cs="Arial" w:eastAsia="Arial" w:hAnsi="Arial"/>
          <w:sz w:val="18"/>
          <w:szCs w:val="18"/>
          <w:color w:val="auto"/>
        </w:rPr>
      </w:pPr>
    </w:p>
    <w:p>
      <w:pPr>
        <w:ind w:left="652" w:hanging="652"/>
        <w:spacing w:after="0" w:line="235" w:lineRule="auto"/>
        <w:tabs>
          <w:tab w:leader="none" w:pos="6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under the Annual Plan will be paid in cash after the end of the Company's fiscal tax year but no later than the 15th day of the third month following the Company's fiscal tax year on which the annual incentives under this Annual Plan are based.</w:t>
      </w:r>
    </w:p>
    <w:p>
      <w:pPr>
        <w:spacing w:after="0" w:line="188" w:lineRule="exact"/>
        <w:rPr>
          <w:rFonts w:ascii="Arial" w:cs="Arial" w:eastAsia="Arial" w:hAnsi="Arial"/>
          <w:sz w:val="18"/>
          <w:szCs w:val="18"/>
          <w:color w:val="auto"/>
        </w:rPr>
      </w:pPr>
    </w:p>
    <w:p>
      <w:pPr>
        <w:ind w:left="652" w:hanging="652"/>
        <w:spacing w:after="0" w:line="235"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shall have the power and the right to deduct or withhold an amount sufficient to satisfy federal, state, and local taxes (including FICA obligations), domestic or foreign, and other deductions required to be withheld by law with respect to this Award.</w:t>
      </w:r>
    </w:p>
    <w:p>
      <w:pPr>
        <w:spacing w:after="0" w:line="202" w:lineRule="exact"/>
        <w:rPr>
          <w:rFonts w:ascii="Arial" w:cs="Arial" w:eastAsia="Arial" w:hAnsi="Arial"/>
          <w:sz w:val="18"/>
          <w:szCs w:val="18"/>
          <w:color w:val="auto"/>
        </w:rPr>
      </w:pPr>
    </w:p>
    <w:p>
      <w:pPr>
        <w:ind w:left="652" w:hanging="652"/>
        <w:spacing w:after="0" w:line="235"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Record keeping and computation required by this Annual Plan will be subject to review by third-party auditors, and by the Compensation Committee.</w:t>
      </w:r>
    </w:p>
    <w:p>
      <w:pPr>
        <w:sectPr>
          <w:pgSz w:w="11900" w:h="16838" w:orient="portrait"/>
          <w:cols w:equalWidth="0" w:num="1">
            <w:col w:w="11232"/>
          </w:cols>
          <w:pgMar w:left="328" w:top="1408" w:right="339" w:bottom="1440" w:gutter="0" w:footer="0" w:header="0"/>
        </w:sectPr>
      </w:pPr>
    </w:p>
    <w:bookmarkStart w:id="41" w:name="page42"/>
    <w:bookmarkEnd w:id="41"/>
    <w:p>
      <w:pPr>
        <w:jc w:val="both"/>
        <w:ind w:left="652" w:hanging="652"/>
        <w:spacing w:after="0" w:line="219"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Interpretations, determinations, and actions regarding plan administration shall be made by the Compensation Committee. Any such determinations and any interpretation, rule, or decision under the Annual Plan or in carrying out or administering the Annual Plan, is final and binding for all purposes and upon all interested persons, their heirs, and personal representatives. The Company or its designee may rely conclusively on determinations made by the Company and its auditors to determine related information for purposes of administration of the Annual Plan, whether such information is determined by the Company, its auditors, or a third-party vendor engaged to provide such information to the Company.</w:t>
      </w:r>
    </w:p>
    <w:p>
      <w:pPr>
        <w:spacing w:after="0" w:line="189" w:lineRule="exact"/>
        <w:rPr>
          <w:rFonts w:ascii="Arial" w:cs="Arial" w:eastAsia="Arial" w:hAnsi="Arial"/>
          <w:sz w:val="18"/>
          <w:szCs w:val="18"/>
          <w:color w:val="auto"/>
        </w:rPr>
      </w:pPr>
    </w:p>
    <w:p>
      <w:pPr>
        <w:ind w:left="652" w:hanging="652"/>
        <w:spacing w:after="0" w:line="235"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While it is the intent of the Company to continue this Annual Plan as stated herein, the Company reserves the right to amend or discontinue the plan at any time in its sole discretion.</w:t>
      </w:r>
    </w:p>
    <w:p>
      <w:pPr>
        <w:spacing w:after="0" w:line="202" w:lineRule="exact"/>
        <w:rPr>
          <w:rFonts w:ascii="Arial" w:cs="Arial" w:eastAsia="Arial" w:hAnsi="Arial"/>
          <w:sz w:val="18"/>
          <w:szCs w:val="18"/>
          <w:color w:val="auto"/>
        </w:rPr>
      </w:pPr>
    </w:p>
    <w:p>
      <w:pPr>
        <w:ind w:left="652" w:hanging="652"/>
        <w:spacing w:after="0" w:line="235"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Participant can assign, encumber or transfer any of his or her rights and interests under the Award described in this document, except, in the event of his or her death, by will or the laws of descent and distribution.</w:t>
      </w:r>
    </w:p>
    <w:p>
      <w:pPr>
        <w:spacing w:after="0" w:line="188" w:lineRule="exact"/>
        <w:rPr>
          <w:rFonts w:ascii="Arial" w:cs="Arial" w:eastAsia="Arial" w:hAnsi="Arial"/>
          <w:sz w:val="18"/>
          <w:szCs w:val="18"/>
          <w:color w:val="auto"/>
        </w:rPr>
      </w:pPr>
    </w:p>
    <w:p>
      <w:pPr>
        <w:ind w:left="652" w:hanging="652"/>
        <w:spacing w:after="0" w:line="307" w:lineRule="auto"/>
        <w:tabs>
          <w:tab w:leader="none" w:pos="6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rights granted under this document are in all respects subject to the provisions of the 2020 Plan to the same extent and with the same effect as if they were set forth fully therein. If the terms of this document or the Award conflict with the terms of the 2020 Plan, the 2020 Plan will control.</w:t>
      </w:r>
    </w:p>
    <w:p>
      <w:pPr>
        <w:spacing w:after="0" w:line="136" w:lineRule="exact"/>
        <w:rPr>
          <w:rFonts w:ascii="Arial" w:cs="Arial" w:eastAsia="Arial" w:hAnsi="Arial"/>
          <w:sz w:val="16"/>
          <w:szCs w:val="16"/>
          <w:color w:val="auto"/>
        </w:rPr>
      </w:pPr>
    </w:p>
    <w:p>
      <w:pPr>
        <w:ind w:left="652" w:hanging="652"/>
        <w:spacing w:after="0" w:line="235"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Awards under this Plan shall be subject to all other Company policies, as amended, including but not limited to the Vera Bradley Compensation Recoupment Policy.</w:t>
      </w:r>
    </w:p>
    <w:p>
      <w:pPr>
        <w:sectPr>
          <w:pgSz w:w="11900" w:h="16838" w:orient="portrait"/>
          <w:cols w:equalWidth="0" w:num="1">
            <w:col w:w="11232"/>
          </w:cols>
          <w:pgMar w:left="328" w:top="140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Jacqueline Ardrey, certify that:</w:t>
      </w:r>
    </w:p>
    <w:p>
      <w:pPr>
        <w:spacing w:after="0" w:line="104"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34"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644"/>
        <w:spacing w:after="0" w:line="263"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460" w:hanging="644"/>
        <w:spacing w:after="0" w:line="334"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644"/>
        <w:spacing w:after="0" w:line="273"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320"/>
        <w:spacing w:after="0"/>
        <w:tabs>
          <w:tab w:leader="none" w:pos="6320" w:val="left"/>
        </w:tabs>
        <w:rPr>
          <w:sz w:val="20"/>
          <w:szCs w:val="20"/>
          <w:color w:val="auto"/>
        </w:rPr>
      </w:pPr>
      <w:r>
        <w:rPr>
          <w:rFonts w:ascii="Arial" w:cs="Arial" w:eastAsia="Arial" w:hAnsi="Arial"/>
          <w:sz w:val="18"/>
          <w:szCs w:val="18"/>
          <w:color w:val="auto"/>
        </w:rPr>
        <w:t>Date: June 7, 2023</w:t>
      </w:r>
      <w:r>
        <w:rPr>
          <w:sz w:val="20"/>
          <w:szCs w:val="20"/>
          <w:color w:val="auto"/>
        </w:rPr>
        <w:tab/>
      </w:r>
      <w:r>
        <w:rPr>
          <w:rFonts w:ascii="Arial" w:cs="Arial" w:eastAsia="Arial" w:hAnsi="Arial"/>
          <w:sz w:val="16"/>
          <w:szCs w:val="16"/>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23495</wp:posOffset>
            </wp:positionV>
            <wp:extent cx="31203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3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Jacqueline Ardrey</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Schwindle, certify that:</w:t>
      </w:r>
    </w:p>
    <w:p>
      <w:pPr>
        <w:spacing w:after="0" w:line="104"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34"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644"/>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460" w:hanging="644"/>
        <w:spacing w:after="0" w:line="334"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644"/>
        <w:spacing w:after="0" w:line="27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320"/>
        <w:spacing w:after="0"/>
        <w:tabs>
          <w:tab w:leader="none" w:pos="6320" w:val="left"/>
        </w:tabs>
        <w:rPr>
          <w:sz w:val="20"/>
          <w:szCs w:val="20"/>
          <w:color w:val="auto"/>
        </w:rPr>
      </w:pPr>
      <w:r>
        <w:rPr>
          <w:rFonts w:ascii="Arial" w:cs="Arial" w:eastAsia="Arial" w:hAnsi="Arial"/>
          <w:sz w:val="18"/>
          <w:szCs w:val="18"/>
          <w:color w:val="auto"/>
        </w:rPr>
        <w:t>Date: June 7, 2023</w:t>
      </w:r>
      <w:r>
        <w:rPr>
          <w:sz w:val="20"/>
          <w:szCs w:val="20"/>
          <w:color w:val="auto"/>
        </w:rPr>
        <w:tab/>
      </w:r>
      <w:r>
        <w:rPr>
          <w:rFonts w:ascii="Arial" w:cs="Arial" w:eastAsia="Arial" w:hAnsi="Arial"/>
          <w:sz w:val="16"/>
          <w:szCs w:val="16"/>
          <w:color w:val="auto"/>
        </w:rPr>
        <w:t>/s/ Michael Schwindle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23495</wp:posOffset>
            </wp:positionV>
            <wp:extent cx="31203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3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Michael Schwindle</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160" w:firstLine="180"/>
        <w:spacing w:after="0" w:line="259" w:lineRule="auto"/>
        <w:rPr>
          <w:sz w:val="20"/>
          <w:szCs w:val="20"/>
          <w:color w:val="auto"/>
        </w:rPr>
      </w:pPr>
      <w:r>
        <w:rPr>
          <w:rFonts w:ascii="Arial" w:cs="Arial" w:eastAsia="Arial" w:hAnsi="Arial"/>
          <w:sz w:val="18"/>
          <w:szCs w:val="18"/>
          <w:color w:val="auto"/>
        </w:rPr>
        <w:t>I, Jacqueline Ardrey, the Chief Executive Officer of Vera Bradley, Inc., certify that (i) the quarterly report on Form 10-Q for the fiscal quarter ended April 29, 2023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14605</wp:posOffset>
            </wp:positionV>
            <wp:extent cx="35229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Jacqueline Ardrey</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29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June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14605</wp:posOffset>
            </wp:positionV>
            <wp:extent cx="35229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ind w:right="160" w:firstLine="180"/>
        <w:spacing w:after="0" w:line="259" w:lineRule="auto"/>
        <w:rPr>
          <w:sz w:val="20"/>
          <w:szCs w:val="20"/>
          <w:color w:val="auto"/>
        </w:rPr>
      </w:pPr>
      <w:r>
        <w:rPr>
          <w:rFonts w:ascii="Arial" w:cs="Arial" w:eastAsia="Arial" w:hAnsi="Arial"/>
          <w:sz w:val="18"/>
          <w:szCs w:val="18"/>
          <w:color w:val="auto"/>
        </w:rPr>
        <w:t>I, Michael Schwindle, the Chief Financial Officer of Vera Bradley, Inc., certify that (i) the quarterly report on Form 10-Q for the fiscal quarter ended April 29, 2023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Michael Schwindle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23495</wp:posOffset>
            </wp:positionV>
            <wp:extent cx="35229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Michael Schwindle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pacing w:after="0" w:line="29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June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23495</wp:posOffset>
            </wp:positionV>
            <wp:extent cx="3522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3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lvl w:ilvl="1">
      <w:lvlJc w:val="left"/>
      <w:lvlText w:val="•"/>
      <w:numFmt w:val="bullet"/>
      <w:start w:val="1"/>
    </w:lvl>
  </w:abstractNum>
  <w:abstractNum w:abstractNumId="4">
    <w:nsid w:val="628C895D"/>
    <w:multiLevelType w:val="hybridMultilevel"/>
    <w:lvl w:ilvl="0">
      <w:lvlJc w:val="left"/>
      <w:lvlText w:val="%1."/>
      <w:numFmt w:val="decimal"/>
      <w:start w:val="2"/>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3"/>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4"/>
    </w:lvl>
  </w:abstractNum>
  <w:abstractNum w:abstractNumId="10">
    <w:nsid w:val="75A2A8D4"/>
    <w:multiLevelType w:val="hybridMultilevel"/>
    <w:lvl w:ilvl="0">
      <w:lvlJc w:val="left"/>
      <w:lvlText w:val="%1."/>
      <w:numFmt w:val="decimal"/>
      <w:start w:val="5"/>
    </w:lvl>
    <w:lvl w:ilvl="1">
      <w:lvlJc w:val="left"/>
      <w:lvlText w:val="•"/>
      <w:numFmt w:val="bullet"/>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6"/>
    </w:lvl>
  </w:abstractNum>
  <w:abstractNum w:abstractNumId="13">
    <w:nsid w:val="4353D0CD"/>
    <w:multiLevelType w:val="hybridMultilevel"/>
    <w:lvl w:ilvl="0">
      <w:lvlJc w:val="left"/>
      <w:lvlText w:val="(%1)"/>
      <w:numFmt w:val="lowerRoman"/>
      <w:start w:val="5"/>
    </w:lvl>
  </w:abstractNum>
  <w:abstractNum w:abstractNumId="14">
    <w:nsid w:val="B03E0C6"/>
    <w:multiLevelType w:val="hybridMultilevel"/>
    <w:lvl w:ilvl="0">
      <w:lvlJc w:val="left"/>
      <w:lvlText w:val="%1."/>
      <w:numFmt w:val="decimal"/>
      <w:start w:val="7"/>
    </w:lvl>
  </w:abstractNum>
  <w:abstractNum w:abstractNumId="15">
    <w:nsid w:val="189A769B"/>
    <w:multiLevelType w:val="hybridMultilevel"/>
    <w:lvl w:ilvl="0">
      <w:lvlJc w:val="left"/>
      <w:lvlText w:val="%1."/>
      <w:numFmt w:val="decimal"/>
      <w:start w:val="9"/>
    </w:lvl>
  </w:abstractNum>
  <w:abstractNum w:abstractNumId="16">
    <w:nsid w:val="54E49EB4"/>
    <w:multiLevelType w:val="hybridMultilevel"/>
    <w:lvl w:ilvl="0">
      <w:lvlJc w:val="left"/>
      <w:lvlText w:val="%1."/>
      <w:numFmt w:val="decimal"/>
      <w:start w:val="10"/>
    </w:lvl>
  </w:abstractNum>
  <w:abstractNum w:abstractNumId="17">
    <w:nsid w:val="71F32454"/>
    <w:multiLevelType w:val="hybridMultilevel"/>
    <w:lvl w:ilvl="0">
      <w:lvlJc w:val="left"/>
      <w:lvlText w:val="%1."/>
      <w:numFmt w:val="decimal"/>
      <w:start w:val="12"/>
    </w:lvl>
  </w:abstractNum>
  <w:abstractNum w:abstractNumId="18">
    <w:nsid w:val="2CA88611"/>
    <w:multiLevelType w:val="hybridMultilevel"/>
    <w:lvl w:ilvl="0">
      <w:lvlJc w:val="left"/>
      <w:lvlText w:val="%1."/>
      <w:numFmt w:val="decimal"/>
      <w:start w:val="13"/>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4"/>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5"/>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decimal"/>
      <w:start w:val="1"/>
    </w:lvl>
    <w:lvl w:ilvl="1">
      <w:lvlJc w:val="left"/>
      <w:lvlText w:val="%2."/>
      <w:numFmt w:val="lowerRoman"/>
      <w:start w:val="1"/>
    </w:lvl>
  </w:abstractNum>
  <w:abstractNum w:abstractNumId="33">
    <w:nsid w:val="440BADFC"/>
    <w:multiLevelType w:val="hybridMultilevel"/>
    <w:lvl w:ilvl="0">
      <w:lvlJc w:val="left"/>
      <w:lvlText w:val="%1."/>
      <w:numFmt w:val="decimal"/>
      <w:start w:val="7"/>
    </w:lvl>
    <w:lvl w:ilvl="1">
      <w:lvlJc w:val="left"/>
      <w:lvlText w:val="%2"/>
      <w:numFmt w:val="lowerRoman"/>
      <w:start w:val="1"/>
    </w:lvl>
  </w:abstractNum>
  <w:abstractNum w:abstractNumId="34">
    <w:nsid w:val="5072367"/>
    <w:multiLevelType w:val="hybridMultilevel"/>
    <w:lvl w:ilvl="0">
      <w:lvlJc w:val="left"/>
      <w:lvlText w:val="%1."/>
      <w:numFmt w:val="decimal"/>
      <w:start w:val="14"/>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2023-06-07T14:45:15Z</dcterms:created>
  <dcterms:modified xsi:type="dcterms:W3CDTF">2023-06-07T14:45:15Z</dcterms:modified>
</cp:coreProperties>
</file>