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420370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4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May 1, 2021</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245" w:lineRule="exact"/>
        <w:rPr>
          <w:sz w:val="24"/>
          <w:szCs w:val="24"/>
          <w:color w:val="auto"/>
        </w:rPr>
      </w:pPr>
    </w:p>
    <w:p>
      <w:pPr>
        <w:ind w:left="33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-7620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VERA BRADLEY,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5"/>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5"/>
              </w:rPr>
              <w:t>Indiana</w:t>
            </w:r>
          </w:p>
        </w:tc>
        <w:tc>
          <w:tcPr>
            <w:tcW w:w="5100" w:type="dxa"/>
            <w:vAlign w:val="bottom"/>
          </w:tcPr>
          <w:p>
            <w:pPr>
              <w:jc w:val="right"/>
              <w:ind w:right="60"/>
              <w:spacing w:after="0"/>
              <w:rPr>
                <w:sz w:val="20"/>
                <w:szCs w:val="20"/>
                <w:color w:val="auto"/>
              </w:rPr>
            </w:pPr>
            <w:r>
              <w:rPr>
                <w:rFonts w:ascii="Arial" w:cs="Arial" w:eastAsia="Arial" w:hAnsi="Arial"/>
                <w:sz w:val="18"/>
                <w:szCs w:val="18"/>
                <w:b w:val="1"/>
                <w:bCs w:val="1"/>
                <w:color w:val="auto"/>
              </w:rPr>
              <w:t>27-2935063</w:t>
            </w:r>
          </w:p>
        </w:tc>
        <w:tc>
          <w:tcPr>
            <w:tcW w:w="0" w:type="dxa"/>
            <w:vAlign w:val="bottom"/>
          </w:tcPr>
          <w:p>
            <w:pPr>
              <w:spacing w:after="0"/>
              <w:rPr>
                <w:sz w:val="1"/>
                <w:szCs w:val="1"/>
                <w:color w:val="auto"/>
              </w:rPr>
            </w:pPr>
          </w:p>
        </w:tc>
      </w:tr>
      <w:tr>
        <w:trPr>
          <w:trHeight w:val="144"/>
        </w:trPr>
        <w:tc>
          <w:tcPr>
            <w:tcW w:w="2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48"/>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12420 Stonebridge Road,</w:t>
            </w:r>
          </w:p>
        </w:tc>
        <w:tc>
          <w:tcPr>
            <w:tcW w:w="5100" w:type="dxa"/>
            <w:vAlign w:val="bottom"/>
            <w:vMerge w:val="restart"/>
          </w:tcPr>
          <w:p>
            <w:pPr>
              <w:jc w:val="right"/>
              <w:ind w:right="260"/>
              <w:spacing w:after="0"/>
              <w:rPr>
                <w:sz w:val="20"/>
                <w:szCs w:val="20"/>
                <w:color w:val="auto"/>
              </w:rPr>
            </w:pPr>
            <w:r>
              <w:rPr>
                <w:rFonts w:ascii="Arial" w:cs="Arial" w:eastAsia="Arial" w:hAnsi="Arial"/>
                <w:sz w:val="18"/>
                <w:szCs w:val="18"/>
                <w:b w:val="1"/>
                <w:bCs w:val="1"/>
                <w:color w:val="auto"/>
              </w:rPr>
              <w:t>46783</w:t>
            </w:r>
          </w:p>
        </w:tc>
        <w:tc>
          <w:tcPr>
            <w:tcW w:w="0" w:type="dxa"/>
            <w:vAlign w:val="bottom"/>
          </w:tcPr>
          <w:p>
            <w:pPr>
              <w:spacing w:after="0"/>
              <w:rPr>
                <w:sz w:val="1"/>
                <w:szCs w:val="1"/>
                <w:color w:val="auto"/>
              </w:rPr>
            </w:pPr>
          </w:p>
        </w:tc>
      </w:tr>
      <w:tr>
        <w:trPr>
          <w:trHeight w:val="220"/>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62"/>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Arial" w:cs="Arial" w:eastAsia="Arial" w:hAnsi="Arial"/>
                <w:sz w:val="18"/>
                <w:szCs w:val="18"/>
                <w:b w:val="1"/>
                <w:bCs w:val="1"/>
                <w:color w:val="auto"/>
              </w:rPr>
              <w:t>(877) 708-8372</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42"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2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60"/>
          </w:cols>
          <w:pgMar w:left="320" w:top="229"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9" w:lineRule="exact"/>
        <w:rPr>
          <w:sz w:val="20"/>
          <w:szCs w:val="20"/>
          <w:color w:val="auto"/>
        </w:rPr>
      </w:pPr>
    </w:p>
    <w:p>
      <w:pPr>
        <w:jc w:val="both"/>
        <w:ind w:lef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0"/>
          <w:szCs w:val="20"/>
          <w:color w:val="auto"/>
        </w:rPr>
      </w:pPr>
    </w:p>
    <w:p>
      <w:pPr>
        <w:ind w:right="166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33,991,017 shares of its common stock outstanding as of June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913765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32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0"/>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gridSpan w:val="10"/>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1000" w:type="dxa"/>
            <w:vAlign w:val="bottom"/>
            <w:gridSpan w:val="19"/>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8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May 1, 2021, and January 30, 2021</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1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Operations for the Thirteen Weeks Ended May 1, 2021, and May 2, 2020</w:t>
              </w:r>
            </w:hyperlink>
          </w:p>
        </w:tc>
        <w:tc>
          <w:tcPr>
            <w:tcW w:w="1960" w:type="dxa"/>
            <w:vAlign w:val="bottom"/>
            <w:gridSpan w:val="4"/>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Comprehensive Income for the Thirteen Weeks Ended May 1, 2021, and May 2, 2020</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40" w:type="dxa"/>
            <w:vAlign w:val="bottom"/>
            <w:tcBorders>
              <w:top w:val="single" w:sz="8" w:color="0000FF"/>
            </w:tcBorders>
            <w:gridSpan w:val="17"/>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Condensed Consolidated Statements of Shareholders' Equity for the Thirteen Weeks Ended May 1, 2021, and May 2, 2020</w:t>
              </w:r>
            </w:hyperlink>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1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for the Thirteen Weeks Ended May 1, 2021, and May 2, 2020</w:t>
              </w:r>
            </w:hyperlink>
          </w:p>
        </w:tc>
        <w:tc>
          <w:tcPr>
            <w:tcW w:w="640" w:type="dxa"/>
            <w:vAlign w:val="bottom"/>
            <w:tcBorders>
              <w:top w:val="single" w:sz="8" w:color="0000FF"/>
            </w:tcBorders>
          </w:tcPr>
          <w:p>
            <w:pPr>
              <w:spacing w:after="0"/>
              <w:rPr>
                <w:sz w:val="22"/>
                <w:szCs w:val="22"/>
                <w:color w:val="auto"/>
              </w:rPr>
            </w:pPr>
          </w:p>
        </w:tc>
        <w:tc>
          <w:tcPr>
            <w:tcW w:w="126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18"/>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the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10</w:t>
              </w:r>
            </w:hyperlink>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10080" w:type="dxa"/>
            <w:vAlign w:val="bottom"/>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23</w:t>
              </w:r>
            </w:hyperlink>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22"/>
                <w:szCs w:val="22"/>
                <w:color w:val="auto"/>
              </w:rPr>
            </w:pPr>
          </w:p>
        </w:tc>
        <w:tc>
          <w:tcPr>
            <w:tcW w:w="3640" w:type="dxa"/>
            <w:vAlign w:val="bottom"/>
            <w:gridSpan w:val="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Controls and Procedures</w:t>
              </w:r>
            </w:hyperlink>
          </w:p>
        </w:tc>
        <w:tc>
          <w:tcPr>
            <w:tcW w:w="832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r>
        <w:trPr>
          <w:trHeight w:val="263"/>
        </w:trPr>
        <w:tc>
          <w:tcPr>
            <w:tcW w:w="20" w:type="dxa"/>
            <w:vAlign w:val="bottom"/>
          </w:tcPr>
          <w:p>
            <w:pPr>
              <w:spacing w:after="0"/>
              <w:rPr>
                <w:sz w:val="22"/>
                <w:szCs w:val="22"/>
                <w:color w:val="auto"/>
              </w:rPr>
            </w:pPr>
          </w:p>
        </w:tc>
        <w:tc>
          <w:tcPr>
            <w:tcW w:w="11000" w:type="dxa"/>
            <w:vAlign w:val="bottom"/>
            <w:gridSpan w:val="1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 OTHER INFORMATION</w:t>
              </w:r>
            </w:hyperlink>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40" w:type="dxa"/>
            <w:vAlign w:val="bottom"/>
            <w:tcBorders>
              <w:top w:val="single" w:sz="8" w:color="0000FF"/>
            </w:tcBorders>
            <w:gridSpan w:val="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8240" w:type="dxa"/>
            <w:vAlign w:val="bottom"/>
            <w:gridSpan w:val="12"/>
          </w:tcPr>
          <w:p>
            <w:pPr>
              <w:spacing w:after="0"/>
              <w:rPr>
                <w:sz w:val="22"/>
                <w:szCs w:val="22"/>
                <w:color w:val="auto"/>
              </w:rPr>
            </w:pPr>
          </w:p>
        </w:tc>
        <w:tc>
          <w:tcPr>
            <w:tcW w:w="180" w:type="dxa"/>
            <w:vAlign w:val="bottom"/>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34</w:t>
              </w:r>
            </w:hyperlink>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35">
              <w:r>
                <w:rPr>
                  <w:rFonts w:ascii="Arial" w:cs="Arial" w:eastAsia="Arial" w:hAnsi="Arial"/>
                  <w:sz w:val="18"/>
                  <w:szCs w:val="18"/>
                  <w:color w:val="0000FF"/>
                  <w:w w:val="87"/>
                </w:rPr>
                <w:t>Risk Factors</w:t>
              </w:r>
            </w:hyperlink>
          </w:p>
        </w:tc>
        <w:tc>
          <w:tcPr>
            <w:tcW w:w="420" w:type="dxa"/>
            <w:vAlign w:val="bottom"/>
            <w:tcBorders>
              <w:top w:val="single" w:sz="8" w:color="0000FF"/>
            </w:tcBorders>
          </w:tcPr>
          <w:p>
            <w:pPr>
              <w:spacing w:after="0"/>
              <w:rPr>
                <w:sz w:val="22"/>
                <w:szCs w:val="22"/>
                <w:color w:val="auto"/>
              </w:rPr>
            </w:pPr>
          </w:p>
        </w:tc>
        <w:tc>
          <w:tcPr>
            <w:tcW w:w="876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34</w:t>
              </w:r>
            </w:hyperlink>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Unregistered Sales of Equity Securities and Use of Proceeds</w:t>
              </w:r>
            </w:hyperlink>
          </w:p>
        </w:tc>
        <w:tc>
          <w:tcPr>
            <w:tcW w:w="5740" w:type="dxa"/>
            <w:vAlign w:val="bottom"/>
            <w:gridSpan w:val="8"/>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Exhibits</w:t>
              </w:r>
            </w:hyperlink>
          </w:p>
        </w:tc>
        <w:tc>
          <w:tcPr>
            <w:tcW w:w="9480" w:type="dxa"/>
            <w:vAlign w:val="bottom"/>
            <w:gridSpan w:val="16"/>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64"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pandemics, including the continued outbreak of the novel coronavirus (COVID-19) and actions to contain the spread of the virus by governmental or other actors;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declines in our comparable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 including as may be related to the continued outbreak of COVID-19;</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disruptions in our supply chain;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that could lead to increased product costs and lower profit margins; and</w:t>
      </w:r>
    </w:p>
    <w:p>
      <w:pPr>
        <w:spacing w:after="0" w:line="103"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integration strategies related to the Pura Vida business and possible inability to derive expected benefits from or to successfully integrate any future business acquisition.</w:t>
      </w:r>
    </w:p>
    <w:p>
      <w:pPr>
        <w:spacing w:after="0" w:line="11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30, 2021, as well as in Item 1A herein.</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1,</w:t>
            </w:r>
          </w:p>
        </w:tc>
        <w:tc>
          <w:tcPr>
            <w:tcW w:w="220" w:type="dxa"/>
            <w:vAlign w:val="bottom"/>
          </w:tcPr>
          <w:p>
            <w:pPr>
              <w:spacing w:after="0"/>
              <w:rPr>
                <w:sz w:val="14"/>
                <w:szCs w:val="14"/>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64,175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141,416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receivable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17,882</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259,683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right-of-use assets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88,730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46,527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47,296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3,530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501,243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513,787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Redeemable Noncontrolling Interest, and Shareholders’ Equity</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Accrued employment costs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13,648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22,321</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14,043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70,228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77,426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169,071</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5,000 shares authorized, no shares issued or outstanding</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240" w:type="dxa"/>
            <w:vAlign w:val="bottom"/>
          </w:tcPr>
          <w:p>
            <w:pPr>
              <w:ind w:left="220"/>
              <w:spacing w:after="0" w:line="166" w:lineRule="exact"/>
              <w:rPr>
                <w:sz w:val="20"/>
                <w:szCs w:val="20"/>
                <w:color w:val="auto"/>
              </w:rPr>
            </w:pPr>
            <w:r>
              <w:rPr>
                <w:rFonts w:ascii="Arial" w:cs="Arial" w:eastAsia="Arial" w:hAnsi="Arial"/>
                <w:sz w:val="16"/>
                <w:szCs w:val="16"/>
                <w:color w:val="auto"/>
                <w:w w:val="94"/>
              </w:rPr>
              <w:t>Common stock, without par value; 200,000 shares authorized, 42,378 and 41,808 shares issued and 33,985 and 33,414</w:t>
            </w:r>
          </w:p>
        </w:tc>
        <w:tc>
          <w:tcPr>
            <w:tcW w:w="30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40" w:type="dxa"/>
            <w:vAlign w:val="bottom"/>
          </w:tcPr>
          <w:p>
            <w:pPr>
              <w:ind w:left="220"/>
              <w:spacing w:after="0"/>
              <w:rPr>
                <w:sz w:val="20"/>
                <w:szCs w:val="20"/>
                <w:color w:val="auto"/>
              </w:rPr>
            </w:pPr>
            <w:r>
              <w:rPr>
                <w:rFonts w:ascii="Arial" w:cs="Arial" w:eastAsia="Arial" w:hAnsi="Arial"/>
                <w:sz w:val="16"/>
                <w:szCs w:val="16"/>
                <w:color w:val="auto"/>
              </w:rPr>
              <w:t>shares outstanding, respectively</w:t>
            </w: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105,433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314,381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316,526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(107,060)</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shareholders’ equity of Vera Bradley, Inc.</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312,397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314,907</w:t>
            </w:r>
          </w:p>
        </w:tc>
        <w:tc>
          <w:tcPr>
            <w:tcW w:w="0" w:type="dxa"/>
            <w:vAlign w:val="bottom"/>
          </w:tcPr>
          <w:p>
            <w:pPr>
              <w:spacing w:after="0"/>
              <w:rPr>
                <w:sz w:val="1"/>
                <w:szCs w:val="1"/>
                <w:color w:val="auto"/>
              </w:rPr>
            </w:pPr>
          </w:p>
        </w:tc>
      </w:tr>
      <w:tr>
        <w:trPr>
          <w:trHeight w:val="206"/>
        </w:trPr>
        <w:tc>
          <w:tcPr>
            <w:tcW w:w="8240" w:type="dxa"/>
            <w:vAlign w:val="bottom"/>
          </w:tcPr>
          <w:p>
            <w:pPr>
              <w:ind w:left="480"/>
              <w:spacing w:after="0"/>
              <w:rPr>
                <w:sz w:val="20"/>
                <w:szCs w:val="20"/>
                <w:color w:val="auto"/>
              </w:rPr>
            </w:pPr>
            <w:r>
              <w:rPr>
                <w:rFonts w:ascii="Arial" w:cs="Arial" w:eastAsia="Arial" w:hAnsi="Arial"/>
                <w:sz w:val="16"/>
                <w:szCs w:val="16"/>
                <w:color w:val="auto"/>
              </w:rPr>
              <w:t>Total liabilities, redeemable noncontrolling interest,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501,243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513,787</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Thirteen Weeks Ended</w:t>
            </w:r>
          </w:p>
        </w:tc>
      </w:tr>
      <w:tr>
        <w:trPr>
          <w:trHeight w:val="134"/>
        </w:trPr>
        <w:tc>
          <w:tcPr>
            <w:tcW w:w="8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May 1,</w:t>
            </w:r>
          </w:p>
        </w:tc>
        <w:tc>
          <w:tcPr>
            <w:tcW w:w="320" w:type="dxa"/>
            <w:vAlign w:val="bottom"/>
          </w:tcPr>
          <w:p>
            <w:pPr>
              <w:spacing w:after="0"/>
              <w:rPr>
                <w:sz w:val="11"/>
                <w:szCs w:val="11"/>
                <w:color w:val="auto"/>
              </w:rPr>
            </w:pPr>
          </w:p>
        </w:tc>
        <w:tc>
          <w:tcPr>
            <w:tcW w:w="1120" w:type="dxa"/>
            <w:vAlign w:val="bottom"/>
          </w:tcPr>
          <w:p>
            <w:pPr>
              <w:jc w:val="right"/>
              <w:ind w:right="412"/>
              <w:spacing w:after="0" w:line="135" w:lineRule="exact"/>
              <w:rPr>
                <w:sz w:val="20"/>
                <w:szCs w:val="20"/>
                <w:color w:val="auto"/>
              </w:rPr>
            </w:pPr>
            <w:r>
              <w:rPr>
                <w:rFonts w:ascii="Arial" w:cs="Arial" w:eastAsia="Arial" w:hAnsi="Arial"/>
                <w:sz w:val="14"/>
                <w:szCs w:val="14"/>
                <w:b w:val="1"/>
                <w:bCs w:val="1"/>
                <w:color w:val="auto"/>
              </w:rPr>
              <w:t>May 2,</w:t>
            </w:r>
          </w:p>
        </w:tc>
      </w:tr>
      <w:tr>
        <w:trPr>
          <w:trHeight w:val="188"/>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69,284</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35,096</w:t>
            </w:r>
          </w:p>
        </w:tc>
      </w:tr>
      <w:tr>
        <w:trPr>
          <w:trHeight w:val="223"/>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59,782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(25,574)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(25,646)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(15,537)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redeemable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Net loss attributable to Vera Bradley,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33,330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33,330</w:t>
            </w:r>
          </w:p>
        </w:tc>
      </w:tr>
      <w:tr>
        <w:trPr>
          <w:trHeight w:val="270"/>
        </w:trPr>
        <w:tc>
          <w:tcPr>
            <w:tcW w:w="8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available to Vera Bradley, Inc. common shareholders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Diluted net loss per share available to Vera Bradley, Inc. common shareholders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70"/>
        </w:trPr>
        <w:tc>
          <w:tcPr>
            <w:tcW w:w="8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Reconciliation of net loss available to Vera Bradley, Inc. common shareholders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Vera Bradley,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Excess portion of redeemable noncontrolling interest redemption value adjustment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(6,800)</w:t>
            </w:r>
          </w:p>
        </w:tc>
      </w:tr>
      <w:tr>
        <w:trPr>
          <w:trHeight w:val="248"/>
        </w:trPr>
        <w:tc>
          <w:tcPr>
            <w:tcW w:w="8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available to Vera Bradley, Inc. common shareholders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Thirteen Weeks Ended</w:t>
            </w:r>
          </w:p>
        </w:tc>
      </w:tr>
      <w:tr>
        <w:trPr>
          <w:trHeight w:val="135"/>
        </w:trPr>
        <w:tc>
          <w:tcPr>
            <w:tcW w:w="8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May 1,</w:t>
            </w:r>
          </w:p>
        </w:tc>
        <w:tc>
          <w:tcPr>
            <w:tcW w:w="320" w:type="dxa"/>
            <w:vAlign w:val="bottom"/>
          </w:tcPr>
          <w:p>
            <w:pPr>
              <w:spacing w:after="0"/>
              <w:rPr>
                <w:sz w:val="11"/>
                <w:szCs w:val="11"/>
                <w:color w:val="auto"/>
              </w:rPr>
            </w:pPr>
          </w:p>
        </w:tc>
        <w:tc>
          <w:tcPr>
            <w:tcW w:w="1120" w:type="dxa"/>
            <w:vAlign w:val="bottom"/>
          </w:tcPr>
          <w:p>
            <w:pPr>
              <w:jc w:val="right"/>
              <w:ind w:right="415"/>
              <w:spacing w:after="0" w:line="135" w:lineRule="exact"/>
              <w:rPr>
                <w:sz w:val="20"/>
                <w:szCs w:val="20"/>
                <w:color w:val="auto"/>
              </w:rPr>
            </w:pPr>
            <w:r>
              <w:rPr>
                <w:rFonts w:ascii="Arial" w:cs="Arial" w:eastAsia="Arial" w:hAnsi="Arial"/>
                <w:sz w:val="14"/>
                <w:szCs w:val="14"/>
                <w:b w:val="1"/>
                <w:bCs w:val="1"/>
                <w:color w:val="auto"/>
              </w:rPr>
              <w:t>May 2,</w:t>
            </w:r>
          </w:p>
        </w:tc>
      </w:tr>
      <w:tr>
        <w:trPr>
          <w:trHeight w:val="188"/>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Unrealized loss on available-for-sale debt investments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Comprehensive loss, net of tax</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(15,712)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(loss) attributable to redeemable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Comprehensive loss attributable to Vera Bradley,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(15,512)</w:t>
            </w:r>
          </w:p>
        </w:tc>
      </w:tr>
      <w:tr>
        <w:trPr>
          <w:trHeight w:val="21"/>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6"/>
          </w:tcPr>
          <w:p>
            <w:pPr>
              <w:ind w:left="380"/>
              <w:spacing w:after="0"/>
              <w:rPr>
                <w:sz w:val="20"/>
                <w:szCs w:val="20"/>
                <w:color w:val="auto"/>
              </w:rPr>
            </w:pPr>
            <w:r>
              <w:rPr>
                <w:rFonts w:ascii="Arial" w:cs="Arial" w:eastAsia="Arial" w:hAnsi="Arial"/>
                <w:sz w:val="14"/>
                <w:szCs w:val="14"/>
                <w:b w:val="1"/>
                <w:bCs w:val="1"/>
                <w:color w:val="auto"/>
              </w:rPr>
              <w:t>Number of 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3"/>
              <w:spacing w:after="0" w:line="12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1"/>
                <w:szCs w:val="11"/>
                <w:color w:val="auto"/>
              </w:rPr>
            </w:pPr>
          </w:p>
        </w:tc>
        <w:tc>
          <w:tcPr>
            <w:tcW w:w="9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1"/>
                <w:szCs w:val="11"/>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96"/>
              </w:rPr>
              <w:t>Equity of</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108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6"/>
              </w:rPr>
              <w:t>Vera Bradley,</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6"/>
                <w:szCs w:val="16"/>
                <w:color w:val="auto"/>
              </w:rPr>
            </w:pPr>
          </w:p>
        </w:tc>
        <w:tc>
          <w:tcPr>
            <w:tcW w:w="920" w:type="dxa"/>
            <w:vAlign w:val="bottom"/>
            <w:gridSpan w:val="3"/>
          </w:tcPr>
          <w:p>
            <w:pPr>
              <w:ind w:left="2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2021</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33,414,490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105,433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316,526</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(107,060)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314,907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loss attributable to Vera Bradley, Inc.</w:t>
            </w:r>
          </w:p>
        </w:tc>
        <w:tc>
          <w:tcPr>
            <w:tcW w:w="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91"/>
              <w:spacing w:after="0"/>
              <w:rPr>
                <w:sz w:val="20"/>
                <w:szCs w:val="20"/>
                <w:color w:val="auto"/>
              </w:rPr>
            </w:pPr>
            <w:r>
              <w:rPr>
                <w:rFonts w:ascii="Arial" w:cs="Arial" w:eastAsia="Arial" w:hAnsi="Arial"/>
                <w:sz w:val="18"/>
                <w:szCs w:val="18"/>
                <w:color w:val="auto"/>
                <w:w w:val="90"/>
              </w:rPr>
              <w:t>(6)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center"/>
              <w:ind w:left="391"/>
              <w:spacing w:after="0"/>
              <w:rPr>
                <w:sz w:val="20"/>
                <w:szCs w:val="20"/>
                <w:color w:val="auto"/>
              </w:rPr>
            </w:pPr>
            <w:r>
              <w:rPr>
                <w:rFonts w:ascii="Arial" w:cs="Arial" w:eastAsia="Arial" w:hAnsi="Arial"/>
                <w:sz w:val="18"/>
                <w:szCs w:val="18"/>
                <w:color w:val="auto"/>
                <w:w w:val="90"/>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570,562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1, 2021</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33,985,052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105,076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314,381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(107,060)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312,397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February 1, 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33,503,249</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8,011,372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100,357</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307,414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(104,159)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303,770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Net loss attributable to Vera Bradley, Inc.</w:t>
            </w:r>
          </w:p>
        </w:tc>
        <w:tc>
          <w:tcPr>
            <w:tcW w:w="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(15,337)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center"/>
              <w:ind w:left="29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(15,337)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w w:val="97"/>
              </w:rPr>
              <w:t>Unrealized loss on available-for-sale debt investments</w:t>
            </w:r>
          </w:p>
        </w:tc>
        <w:tc>
          <w:tcPr>
            <w:tcW w:w="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shares vested, net of repurchase for taxes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277,687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center"/>
              <w:ind w:left="29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purchased</w:t>
            </w: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3"/>
              </w:rPr>
              <w:t>(381,835)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381,835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center"/>
              <w:ind w:left="291"/>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175"/>
        </w:trPr>
        <w:tc>
          <w:tcPr>
            <w:tcW w:w="4240" w:type="dxa"/>
            <w:vAlign w:val="bottom"/>
          </w:tcPr>
          <w:p>
            <w:pPr>
              <w:spacing w:after="0" w:line="176" w:lineRule="exact"/>
              <w:rPr>
                <w:sz w:val="20"/>
                <w:szCs w:val="20"/>
                <w:color w:val="auto"/>
              </w:rPr>
            </w:pPr>
            <w:r>
              <w:rPr>
                <w:rFonts w:ascii="Arial" w:cs="Arial" w:eastAsia="Arial" w:hAnsi="Arial"/>
                <w:sz w:val="18"/>
                <w:szCs w:val="18"/>
                <w:color w:val="auto"/>
                <w:w w:val="99"/>
              </w:rPr>
              <w:t>Redeemable noncontrolling interest redemption value</w:t>
            </w:r>
          </w:p>
        </w:tc>
        <w:tc>
          <w:tcPr>
            <w:tcW w:w="60" w:type="dxa"/>
            <w:vAlign w:val="bottom"/>
          </w:tcPr>
          <w:p>
            <w:pPr>
              <w:spacing w:after="0"/>
              <w:rPr>
                <w:sz w:val="15"/>
                <w:szCs w:val="15"/>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(9,305)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vMerge w:val="restart"/>
          </w:tcPr>
          <w:p>
            <w:pPr>
              <w:jc w:val="center"/>
              <w:ind w:left="29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5"/>
                <w:szCs w:val="15"/>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adjustment</w:t>
            </w:r>
          </w:p>
        </w:tc>
        <w:tc>
          <w:tcPr>
            <w:tcW w:w="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2, 2020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33,399,101</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99,879</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282,772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 xml:space="preserve"> (107,060)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275,574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Thirteen Weeks Ended</w:t>
            </w:r>
          </w:p>
        </w:tc>
      </w:tr>
      <w:tr>
        <w:trPr>
          <w:trHeight w:val="135"/>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May 1,</w:t>
            </w:r>
          </w:p>
        </w:tc>
        <w:tc>
          <w:tcPr>
            <w:tcW w:w="300" w:type="dxa"/>
            <w:vAlign w:val="bottom"/>
          </w:tcPr>
          <w:p>
            <w:pPr>
              <w:spacing w:after="0"/>
              <w:rPr>
                <w:sz w:val="11"/>
                <w:szCs w:val="11"/>
                <w:color w:val="auto"/>
              </w:rPr>
            </w:pPr>
          </w:p>
        </w:tc>
        <w:tc>
          <w:tcPr>
            <w:tcW w:w="1140" w:type="dxa"/>
            <w:vAlign w:val="bottom"/>
          </w:tcPr>
          <w:p>
            <w:pPr>
              <w:jc w:val="right"/>
              <w:ind w:right="448"/>
              <w:spacing w:after="0" w:line="135" w:lineRule="exact"/>
              <w:rPr>
                <w:sz w:val="20"/>
                <w:szCs w:val="20"/>
                <w:color w:val="auto"/>
              </w:rPr>
            </w:pPr>
            <w:r>
              <w:rPr>
                <w:rFonts w:ascii="Arial" w:cs="Arial" w:eastAsia="Arial" w:hAnsi="Arial"/>
                <w:sz w:val="14"/>
                <w:szCs w:val="14"/>
                <w:b w:val="1"/>
                <w:bCs w:val="1"/>
                <w:color w:val="auto"/>
              </w:rPr>
              <w:t>May 2,</w:t>
            </w:r>
          </w:p>
        </w:tc>
      </w:tr>
      <w:tr>
        <w:trPr>
          <w:trHeight w:val="188"/>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(15,537)</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Depreciation of property, plant, and equipment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4,353</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operating right-of-use assets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Impairment charges</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3,806</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Provision for doubtful accounts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737</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investments</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Adjustment of earn-out liability</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gain, net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Changes in assets and 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(9,249)</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(4,593)</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3,780</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(11,893)</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Operating lease liabilities, net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and other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(6,792)</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(24,746)</w:t>
            </w: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(2,238)</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investments</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Proceeds from maturities and sales of investments</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21,788</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received for business acquisition</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r>
      <w:tr>
        <w:trPr>
          <w:trHeight w:val="186"/>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disposal of property, plant, and equipment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19,692</w:t>
            </w: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withholdings for equity compensation</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(3,077)</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to redeemable noncontrolling interest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Borrowings under asset-based revolving credit agreement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60,000</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contingent consideration for business acquisition</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(18,677)</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37,413</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824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(12,804)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32,369</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64,175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49,917</w:t>
            </w:r>
          </w:p>
        </w:tc>
      </w:tr>
      <w:tr>
        <w:trPr>
          <w:trHeight w:val="179"/>
        </w:trPr>
        <w:tc>
          <w:tcPr>
            <w:tcW w:w="82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51,371</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82,286</w:t>
            </w:r>
          </w:p>
        </w:tc>
      </w:tr>
      <w:tr>
        <w:trPr>
          <w:trHeight w:val="24"/>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4"/>
        </w:trPr>
        <w:tc>
          <w:tcPr>
            <w:tcW w:w="8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May 1,</w:t>
            </w:r>
          </w:p>
        </w:tc>
        <w:tc>
          <w:tcPr>
            <w:tcW w:w="300" w:type="dxa"/>
            <w:vAlign w:val="bottom"/>
          </w:tcPr>
          <w:p>
            <w:pPr>
              <w:spacing w:after="0"/>
              <w:rPr>
                <w:sz w:val="11"/>
                <w:szCs w:val="11"/>
                <w:color w:val="auto"/>
              </w:rPr>
            </w:pPr>
          </w:p>
        </w:tc>
        <w:tc>
          <w:tcPr>
            <w:tcW w:w="1140" w:type="dxa"/>
            <w:vAlign w:val="bottom"/>
          </w:tcPr>
          <w:p>
            <w:pPr>
              <w:jc w:val="right"/>
              <w:ind w:right="448"/>
              <w:spacing w:after="0" w:line="135" w:lineRule="exact"/>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88"/>
        </w:trPr>
        <w:tc>
          <w:tcPr>
            <w:tcW w:w="8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Cash paid for income taxes, net</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Supplemental disclosure of non-cash activity</w:t>
            </w: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Non-cash operating, investing, and financing activities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460"/>
              <w:spacing w:after="0"/>
              <w:rPr>
                <w:sz w:val="20"/>
                <w:szCs w:val="20"/>
                <w:color w:val="auto"/>
              </w:rPr>
            </w:pPr>
            <w:r>
              <w:rPr>
                <w:rFonts w:ascii="Arial" w:cs="Arial" w:eastAsia="Arial" w:hAnsi="Arial"/>
                <w:sz w:val="14"/>
                <w:szCs w:val="14"/>
                <w:color w:val="auto"/>
              </w:rPr>
              <w:t>Expenditures incurred but not yet paid as of May 1, 2021 and May 2, 2020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Expenditures incurred but not yet paid as of January 30, 2021 and February 1, 2020</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Expenditures incurred but not yet paid as of May 1, 2021 and May 2, 2020</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4"/>
                <w:szCs w:val="14"/>
                <w:color w:val="auto"/>
              </w:rPr>
              <w:t>Expenditures incurred but not yet paid as of January 30, 2021 and February 1, 2020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0" w:type="dxa"/>
            <w:vAlign w:val="bottom"/>
            <w:vMerge w:val="continue"/>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107"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“Company” refers to Vera Bradley, Inc. and its wholly and majority owned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6" w:lineRule="exact"/>
        <w:rPr>
          <w:rFonts w:ascii="Arial" w:cs="Arial" w:eastAsia="Arial" w:hAnsi="Arial"/>
          <w:sz w:val="18"/>
          <w:szCs w:val="18"/>
          <w:b w:val="1"/>
          <w:bCs w:val="1"/>
          <w:color w:val="auto"/>
        </w:rPr>
      </w:pPr>
    </w:p>
    <w:p>
      <w:pPr>
        <w:ind w:left="66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62" w:lineRule="exact"/>
        <w:rPr>
          <w:rFonts w:ascii="Arial" w:cs="Arial" w:eastAsia="Arial" w:hAnsi="Arial"/>
          <w:sz w:val="18"/>
          <w:szCs w:val="18"/>
          <w:b w:val="1"/>
          <w:bCs w:val="1"/>
          <w:color w:val="auto"/>
        </w:rPr>
      </w:pPr>
    </w:p>
    <w:p>
      <w:pPr>
        <w:ind w:left="6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In July 2019, Vera Bradley, Inc. acquired a 75% interest in Creative Genius, Inc., which also operates under the name Pura Vida Bracelets (“Pura Vida”). Pura Vida, based in La Jolla, California, is a rapidly growing, digitally native lifestyle brand that we believe deeply resonates with its loyal consumer following. The Pura Vida brand has a differentiated and expanding offering of bracelets, jewelry, and other lifestyle accessories.</w:t>
      </w:r>
    </w:p>
    <w:p>
      <w:pPr>
        <w:spacing w:after="0" w:line="1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has three reportable segments: Vera Bradley Direct (“VB Direct”), Vera Bradley Indirect (“VB Indirect”), and Pura Vida.</w:t>
      </w:r>
    </w:p>
    <w:p>
      <w:pPr>
        <w:spacing w:after="0" w:line="115" w:lineRule="exact"/>
        <w:rPr>
          <w:rFonts w:ascii="Arial" w:cs="Arial" w:eastAsia="Arial" w:hAnsi="Arial"/>
          <w:sz w:val="18"/>
          <w:szCs w:val="18"/>
          <w:b w:val="1"/>
          <w:bCs w:val="1"/>
          <w:color w:val="auto"/>
        </w:rPr>
      </w:pPr>
    </w:p>
    <w:p>
      <w:pPr>
        <w:ind w:left="980" w:right="200" w:hanging="324"/>
        <w:spacing w:after="0" w:line="259"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VB Direct business consists of sales of Vera Bradley products through Vera Bradley full-line and factory outlet stores in the United States; verabradley.com; the Vera Bradley online outlet site; and typically the Vera Bradley annual outlet sale in Fort Wayne, Indiana. As of May 1, 2021, the Company operated 73 full-line stores and 70 factory outlet stores. In light of the COVID-19 pandemic, the Company cancelled its calendar year 2021 and 2020 annual outlet sales.</w:t>
      </w:r>
    </w:p>
    <w:p>
      <w:pPr>
        <w:spacing w:after="0" w:line="65" w:lineRule="exact"/>
        <w:rPr>
          <w:rFonts w:ascii="Arial" w:cs="Arial" w:eastAsia="Arial" w:hAnsi="Arial"/>
          <w:sz w:val="18"/>
          <w:szCs w:val="18"/>
          <w:color w:val="auto"/>
        </w:rPr>
      </w:pPr>
    </w:p>
    <w:p>
      <w:pPr>
        <w:ind w:left="980" w:right="300" w:hanging="324"/>
        <w:spacing w:after="0" w:line="286" w:lineRule="auto"/>
        <w:tabs>
          <w:tab w:leader="none" w:pos="97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VB Indirect business consists of sales of Vera Bradley products to approximately 2,000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30" w:lineRule="exact"/>
        <w:rPr>
          <w:rFonts w:ascii="Arial" w:cs="Arial" w:eastAsia="Arial" w:hAnsi="Arial"/>
          <w:sz w:val="17"/>
          <w:szCs w:val="17"/>
          <w:color w:val="auto"/>
        </w:rPr>
      </w:pPr>
    </w:p>
    <w:p>
      <w:pPr>
        <w:ind w:left="980" w:right="80" w:hanging="324"/>
        <w:spacing w:after="0" w:line="263"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6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30, 2021, filed with the SEC.</w:t>
      </w:r>
    </w:p>
    <w:p>
      <w:pPr>
        <w:spacing w:after="0" w:line="71" w:lineRule="exact"/>
        <w:rPr>
          <w:sz w:val="20"/>
          <w:szCs w:val="20"/>
          <w:color w:val="auto"/>
        </w:rPr>
      </w:pPr>
    </w:p>
    <w:p>
      <w:pPr>
        <w:ind w:left="660" w:right="200"/>
        <w:spacing w:after="0" w:line="257"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1, 2021, are not necessarily indicative of the results to be expected for the full fiscal year. Further, the Company cannot predict the future impacts that the COVID-19 pandemic could have on its future liquidity, operating results, and financial condition, but it could have a significant adverse affect on these metrics.</w:t>
      </w:r>
    </w:p>
    <w:p>
      <w:pPr>
        <w:spacing w:after="0" w:line="53" w:lineRule="exact"/>
        <w:rPr>
          <w:sz w:val="20"/>
          <w:szCs w:val="20"/>
          <w:color w:val="auto"/>
        </w:rPr>
      </w:pPr>
    </w:p>
    <w:p>
      <w:pPr>
        <w:jc w:val="both"/>
        <w:ind w:left="660" w:right="200"/>
        <w:spacing w:after="0" w:line="263" w:lineRule="auto"/>
        <w:rPr>
          <w:sz w:val="20"/>
          <w:szCs w:val="20"/>
          <w:color w:val="auto"/>
        </w:rPr>
      </w:pPr>
      <w:r>
        <w:rPr>
          <w:rFonts w:ascii="Arial" w:cs="Arial" w:eastAsia="Arial" w:hAnsi="Arial"/>
          <w:sz w:val="18"/>
          <w:szCs w:val="18"/>
          <w:color w:val="auto"/>
        </w:rPr>
        <w:t>The Company believes that during the first quarter of the current-year, consumer confidence, traffic and spending grew as COVID-19 vaccines became more widely available; with the distribution of government stimulus funds; and as customers began to return to work, social events, and travel.</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During the first quarter of the prior-year, the COVID-19 pandemic resulted in global travel restrictions, quarantines, and certain factory closures or reduced operations, as well as mall closures and reduced mall operating hours. Although the Vera Bradley and Pura Vida e-commerce operations remained open during this time, the aforementioned items had a material adverse impact on overall consumer demand, traffic, and sales during the period. The Company took various actions to navigate the pandemic which included, but was not limited to, temporarily closing all Vera Bradley store locations on March 19, 2020; temporarily furloughing 80% of our workforce mid-quarter; temporarily reducing base compensation for certain associates; preserving cash by drawing on our Credit Agreement, which was repaid during the fourth quarter of the prior-year; and managing inventory, rent, and other expenses.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its wholly owned subsidiaries, and its majority owned subsidiary, Pura Vida. The Company has eliminated intercompany balances and transactions in consolidation.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May 1, 2021 and May 2, 2020 refer to the thirteen-week periods ended on those dates.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08" w:lineRule="exact"/>
        <w:rPr>
          <w:sz w:val="20"/>
          <w:szCs w:val="20"/>
          <w:color w:val="auto"/>
        </w:rPr>
      </w:pPr>
    </w:p>
    <w:p>
      <w:pPr>
        <w:ind w:left="660" w:right="100"/>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this update remove certain exceptions to the general principals in Topic 740, as well as simplify GAAP for certain areas and improve consistency within the topic. This guidance is effective for interim and annual periods beginning on or after December 15, 2020 (fiscal 2022). Early adoption is permitted, with all amendments required to be adopted in the same period. The adoption of this standard in the first quarter of fiscal 2022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Disaggregation of Revenue</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presents the Company's net revenues disaggregated by product category for the thirteen weeks ended May 1, 2021 and May 2, 2020 (in thousands):</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May 1, 2021</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26,438</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8,050</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34,488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2,227</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25,511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39,599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27,098</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freight, stationery,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and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$14.5 million of net revenues related to product sales recognized at a point in time and $0.8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May 2, 2020</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Pura Vida Segment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16,491</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4,600</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1,322</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20,539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29,108</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(5)</w:t>
            </w: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and merchandising.</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$10.6 million of net revenues related to product sales recognized at a point in time and $0.6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108"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Contract liabilities as of May 1, 2021 and January 30, 2021, were $3.4 million and $4.1 million, respectively. The balance as of May 1, 2021 and January 30, 2021 consisted of unearned revenue related to the monthly bracelet and jewelry clubs of the Pura Vida segment, unredeemed gift cards, Pura Vida loyalty club points, Pura Vida customer deposits and payments collected before shipment, and an immaterial amount of unearned revenue for pre-payments of royalties in certain of the Company’s licensing arrangements. These contract liabilities are recognized within other accrued liabilities on the Company’s Condensed Consolidated Balance Sheets. Substantially all contract liabilities are recognized within one year. The Company did not have contract assets as of May 1, 2021 and January 30, 2021.</w:t>
      </w:r>
    </w:p>
    <w:p>
      <w:pPr>
        <w:spacing w:after="0" w:line="43"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The balance for accounts receivable from contracts with customers, net of allowances, as of May 1, 2021 and January 30, 2021, was $21.1 million and $26.0 million, respectively, which is recognized within accounts receivable, net, on the Company’s Condensed Consolidated Balance Sheets. The provision for doubtful accounts was $1.0 million and $1.1 million as of May 1, 2021 and January 30, 2021, respectively. The provision for doubtful accounts is based upon the likelihood of default expected during the life of the receivable.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10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May 1, 2021.</w:t>
      </w:r>
    </w:p>
    <w:p>
      <w:pPr>
        <w:spacing w:after="0" w:line="19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7" w:lineRule="exact"/>
        <w:rPr>
          <w:rFonts w:ascii="Arial" w:cs="Arial" w:eastAsia="Arial" w:hAnsi="Arial"/>
          <w:sz w:val="18"/>
          <w:szCs w:val="18"/>
          <w:b w:val="1"/>
          <w:bCs w:val="1"/>
          <w:color w:val="auto"/>
        </w:rPr>
      </w:pPr>
    </w:p>
    <w:p>
      <w:pPr>
        <w:ind w:left="6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prior-year, the Company temporarily closed its full-line and factory outlet stores beginning on March 19, 2020, due to the COVID-19 pandemic, for various lengths of time (from several weeks to several months). All of the Company's stores were open during the first quarter of the current-year. As a result of the temporary closures in the prior-year, certain rent payments were deferred. An immaterial amount of rent abatements were received during the thirteen weeks ended May 1, 2021.</w:t>
      </w:r>
    </w:p>
    <w:p>
      <w:pPr>
        <w:spacing w:after="0" w:line="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Discount Rate</w:t>
      </w:r>
    </w:p>
    <w:p>
      <w:pPr>
        <w:spacing w:after="0" w:line="90"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weighted-average discount rate as of May 1, 2021, and May 2, 2020 was 4.8% and 4.9%,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20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 Not Yet Commenced</w:t>
      </w:r>
    </w:p>
    <w:p>
      <w:pPr>
        <w:spacing w:after="0" w:line="107"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May 1, 2021, the Company had two retail store leases which were executed, but did not have control of the underlying assets; therefore, the lease liability and right-of-use asset are not recorded on the Condensed Consolidated Balance Sheet. These leases contain undiscounted lease payments, which will be included in the determination of the lease liability, totaling approximately $3.6 million and have terms of approximately 10 years commencing in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Amounts Recognized in the Condensed Consolidated Financial Statements</w:t>
      </w:r>
    </w:p>
    <w:p>
      <w:pPr>
        <w:spacing w:after="0" w:line="108" w:lineRule="exact"/>
        <w:rPr>
          <w:sz w:val="20"/>
          <w:szCs w:val="20"/>
          <w:color w:val="auto"/>
        </w:rPr>
      </w:pPr>
    </w:p>
    <w:p>
      <w:pPr>
        <w:jc w:val="both"/>
        <w:ind w:left="660" w:right="40"/>
        <w:spacing w:after="0" w:line="263" w:lineRule="auto"/>
        <w:rPr>
          <w:sz w:val="20"/>
          <w:szCs w:val="20"/>
          <w:color w:val="auto"/>
        </w:rPr>
      </w:pPr>
      <w:r>
        <w:rPr>
          <w:rFonts w:ascii="Arial" w:cs="Arial" w:eastAsia="Arial" w:hAnsi="Arial"/>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weeks ended May 1, 2021 and May 2, 2020 (in thousands):</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Variable lease cost</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Short-term lease cost</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Thirteen Weeks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May 1, 2021</w:t>
            </w:r>
          </w:p>
        </w:tc>
        <w:tc>
          <w:tcPr>
            <w:tcW w:w="3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May 2, 2020</w:t>
            </w:r>
          </w:p>
        </w:tc>
      </w:tr>
      <w:tr>
        <w:trPr>
          <w:trHeight w:val="224"/>
        </w:trPr>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7,234</w:t>
            </w:r>
          </w:p>
        </w:tc>
      </w:tr>
      <w:tr>
        <w:trPr>
          <w:trHeight w:val="229"/>
        </w:trPr>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-633730</wp:posOffset>
            </wp:positionV>
            <wp:extent cx="622363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23635" cy="15430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-334010</wp:posOffset>
            </wp:positionV>
            <wp:extent cx="622363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440"/>
          </w:cols>
          <w:pgMar w:left="320" w:top="121" w:right="419" w:bottom="1440" w:gutter="0" w:footer="0" w:header="0"/>
          <w:type w:val="continuous"/>
        </w:sectPr>
      </w:pP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remaining lease term as of May 1, 2021 and May 2, 2020 was 5.4 years and 5.8 years, respectively.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operating cash flow information was as follows (in thousands):</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Thirteen Weeks Ended</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1, 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2"/>
              </w:rPr>
              <w:t>May 2, 2020</w:t>
            </w:r>
          </w:p>
        </w:tc>
        <w:tc>
          <w:tcPr>
            <w:tcW w:w="0" w:type="dxa"/>
            <w:vAlign w:val="bottom"/>
          </w:tcPr>
          <w:p>
            <w:pPr>
              <w:spacing w:after="0"/>
              <w:rPr>
                <w:sz w:val="1"/>
                <w:szCs w:val="1"/>
                <w:color w:val="auto"/>
              </w:rPr>
            </w:pPr>
          </w:p>
        </w:tc>
      </w:tr>
      <w:tr>
        <w:trPr>
          <w:trHeight w:val="157"/>
        </w:trPr>
        <w:tc>
          <w:tcPr>
            <w:tcW w:w="56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9"/>
              </w:rPr>
              <w:t>Cash paid for amounts included in the measurement of operating lease</w:t>
            </w:r>
          </w:p>
        </w:tc>
        <w:tc>
          <w:tcPr>
            <w:tcW w:w="1400" w:type="dxa"/>
            <w:vAlign w:val="bottom"/>
            <w:vMerge w:val="restart"/>
            <w:shd w:val="clear" w:color="auto" w:fill="CCEEFF"/>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liabilities </w:t>
            </w:r>
            <w:r>
              <w:rPr>
                <w:rFonts w:ascii="Arial" w:cs="Arial" w:eastAsia="Arial" w:hAnsi="Arial"/>
                <w:sz w:val="23"/>
                <w:szCs w:val="23"/>
                <w:color w:val="auto"/>
                <w:vertAlign w:val="superscript"/>
              </w:rPr>
              <w:t>(1)</w:t>
            </w:r>
          </w:p>
        </w:tc>
        <w:tc>
          <w:tcPr>
            <w:tcW w:w="14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w w:val="92"/>
              </w:rPr>
              <w:t>Right-of-use assets increase as a result of new and modified operating lease</w:t>
            </w:r>
          </w:p>
        </w:tc>
        <w:tc>
          <w:tcPr>
            <w:tcW w:w="1400" w:type="dxa"/>
            <w:vAlign w:val="bottom"/>
            <w:vMerge w:val="restart"/>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5"/>
                <w:szCs w:val="15"/>
                <w:color w:val="auto"/>
              </w:rPr>
            </w:pPr>
          </w:p>
        </w:tc>
        <w:tc>
          <w:tcPr>
            <w:tcW w:w="660" w:type="dxa"/>
            <w:vAlign w:val="bottom"/>
            <w:vMerge w:val="restart"/>
          </w:tcPr>
          <w:p>
            <w:pPr>
              <w:jc w:val="right"/>
              <w:ind w:right="47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liabilities, net</w:t>
            </w:r>
          </w:p>
        </w:tc>
        <w:tc>
          <w:tcPr>
            <w:tcW w:w="140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680" w:right="800" w:hanging="6"/>
        <w:spacing w:after="0" w:line="234" w:lineRule="auto"/>
        <w:tabs>
          <w:tab w:leader="none" w:pos="935" w:val="left"/>
        </w:tabs>
        <w:numPr>
          <w:ilvl w:val="1"/>
          <w:numId w:val="9"/>
        </w:numPr>
        <w:rPr>
          <w:rFonts w:ascii="Arial" w:cs="Arial" w:eastAsia="Arial" w:hAnsi="Arial"/>
          <w:sz w:val="18"/>
          <w:szCs w:val="18"/>
          <w:color w:val="auto"/>
        </w:rPr>
      </w:pPr>
      <w:r>
        <w:rPr>
          <w:rFonts w:ascii="Arial" w:cs="Arial" w:eastAsia="Arial" w:hAnsi="Arial"/>
          <w:sz w:val="18"/>
          <w:szCs w:val="18"/>
          <w:color w:val="auto"/>
        </w:rPr>
        <w:t>2.5 million of lease liabilities were recorded within accounts payable on the Company's Consolidated Balance Sheets as of January 30, 2021, and were paid in the first quarter of fiscal 2022.</w:t>
      </w:r>
    </w:p>
    <w:p>
      <w:pPr>
        <w:spacing w:after="0" w:line="31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660" w:right="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27" w:lineRule="exact"/>
        <w:rPr>
          <w:rFonts w:ascii="Arial" w:cs="Arial" w:eastAsia="Arial" w:hAnsi="Arial"/>
          <w:sz w:val="18"/>
          <w:szCs w:val="18"/>
          <w:b w:val="1"/>
          <w:bCs w:val="1"/>
          <w:color w:val="auto"/>
        </w:rPr>
      </w:pPr>
    </w:p>
    <w:p>
      <w:pPr>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(loss) or net income (loss) attributable to Vera Bradley, Inc. When calculating earnings per share attributable to Vera Bradley, Inc., the Company adjusts the net income (loss) attributable to Vera Bradley, Inc. for the measurement period adjustment to the extent the redemption value exceeds the fair value of the noncontrolling interest on a cumulative basis.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basic and diluted earnings per share were as follows (in thousands, except per share data):</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Thirteen Weeks Ended</w:t>
            </w:r>
          </w:p>
        </w:tc>
      </w:tr>
      <w:tr>
        <w:trPr>
          <w:trHeight w:val="135"/>
        </w:trPr>
        <w:tc>
          <w:tcPr>
            <w:tcW w:w="7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May 1,</w:t>
            </w:r>
          </w:p>
        </w:tc>
        <w:tc>
          <w:tcPr>
            <w:tcW w:w="220" w:type="dxa"/>
            <w:vAlign w:val="bottom"/>
          </w:tcPr>
          <w:p>
            <w:pPr>
              <w:spacing w:after="0"/>
              <w:rPr>
                <w:sz w:val="11"/>
                <w:szCs w:val="11"/>
                <w:color w:val="auto"/>
              </w:rPr>
            </w:pPr>
          </w:p>
        </w:tc>
        <w:tc>
          <w:tcPr>
            <w:tcW w:w="900" w:type="dxa"/>
            <w:vAlign w:val="bottom"/>
          </w:tcPr>
          <w:p>
            <w:pPr>
              <w:jc w:val="right"/>
              <w:ind w:right="273"/>
              <w:spacing w:after="0" w:line="135" w:lineRule="exact"/>
              <w:rPr>
                <w:sz w:val="20"/>
                <w:szCs w:val="20"/>
                <w:color w:val="auto"/>
              </w:rPr>
            </w:pPr>
            <w:r>
              <w:rPr>
                <w:rFonts w:ascii="Arial" w:cs="Arial" w:eastAsia="Arial" w:hAnsi="Arial"/>
                <w:sz w:val="14"/>
                <w:szCs w:val="14"/>
                <w:b w:val="1"/>
                <w:bCs w:val="1"/>
                <w:color w:val="auto"/>
              </w:rPr>
              <w:t>May 2,</w:t>
            </w:r>
          </w:p>
        </w:tc>
      </w:tr>
      <w:tr>
        <w:trPr>
          <w:trHeight w:val="188"/>
        </w:trPr>
        <w:tc>
          <w:tcPr>
            <w:tcW w:w="7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r>
      <w:tr>
        <w:trPr>
          <w:trHeight w:val="211"/>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(15,537)</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redeemable noncontrolling interest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7660" w:type="dxa"/>
            <w:vAlign w:val="bottom"/>
          </w:tcPr>
          <w:p>
            <w:pPr>
              <w:ind w:left="140"/>
              <w:spacing w:after="0"/>
              <w:rPr>
                <w:sz w:val="20"/>
                <w:szCs w:val="20"/>
                <w:color w:val="auto"/>
              </w:rPr>
            </w:pPr>
            <w:r>
              <w:rPr>
                <w:rFonts w:ascii="Arial" w:cs="Arial" w:eastAsia="Arial" w:hAnsi="Arial"/>
                <w:sz w:val="18"/>
                <w:szCs w:val="18"/>
                <w:color w:val="auto"/>
              </w:rPr>
              <w:t>Net loss attributable to Vera Bradley, Inc.</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(15,337)</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Excess portion of redeemable noncontrolling interest redemption value adjustment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r>
      <w:tr>
        <w:trPr>
          <w:trHeight w:val="223"/>
        </w:trPr>
        <w:tc>
          <w:tcPr>
            <w:tcW w:w="7660" w:type="dxa"/>
            <w:vAlign w:val="bottom"/>
          </w:tcPr>
          <w:p>
            <w:pPr>
              <w:ind w:left="120"/>
              <w:spacing w:after="0"/>
              <w:rPr>
                <w:sz w:val="20"/>
                <w:szCs w:val="20"/>
                <w:color w:val="auto"/>
              </w:rPr>
            </w:pPr>
            <w:r>
              <w:rPr>
                <w:rFonts w:ascii="Arial" w:cs="Arial" w:eastAsia="Arial" w:hAnsi="Arial"/>
                <w:sz w:val="18"/>
                <w:szCs w:val="18"/>
                <w:color w:val="auto"/>
              </w:rPr>
              <w:t>Net loss available to Vera Bradley, Inc. common shareholders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(22,137)</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7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i w:val="1"/>
                <w:iCs w:val="1"/>
                <w:color w:val="auto"/>
              </w:rPr>
              <w:t>Denominator:</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33,330</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loss per share available to Vera Bradley, Inc. common shareholders: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bl>
    <w:p>
      <w:pPr>
        <w:spacing w:after="0" w:line="16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For the thirteen weeks ended May 1, 2021 and May 2, 2020, there were an immaterial number of additional shares issuable upon the vesting of restricted stock units that were excluded from the diluted share calculations because they were anti-dilutive.</w:t>
      </w:r>
    </w:p>
    <w:p>
      <w:pPr>
        <w:spacing w:after="0" w:line="19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7" w:lineRule="exact"/>
        <w:rPr>
          <w:rFonts w:ascii="Arial" w:cs="Arial" w:eastAsia="Arial" w:hAnsi="Arial"/>
          <w:sz w:val="18"/>
          <w:szCs w:val="18"/>
          <w:b w:val="1"/>
          <w:bCs w:val="1"/>
          <w:color w:val="auto"/>
        </w:rPr>
      </w:pPr>
    </w:p>
    <w:p>
      <w:pPr>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62" w:lineRule="exact"/>
        <w:rPr>
          <w:rFonts w:ascii="Arial" w:cs="Arial" w:eastAsia="Arial" w:hAnsi="Arial"/>
          <w:sz w:val="18"/>
          <w:szCs w:val="18"/>
          <w:b w:val="1"/>
          <w:bCs w:val="1"/>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carrying amounts reflected on the Condensed Consolidated Balance Sheets for cash and cash equivalents, accounts receivable, other current assets, and accounts payable as of May 1, 2021 and January 30, 2021, approximated their fair values.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the fair value measurements of the Company's investments as of May 1, 2021 and January 30, 2021 (in thousands):</w:t>
      </w:r>
    </w:p>
    <w:p>
      <w:pPr>
        <w:spacing w:after="0" w:line="6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tcPr>
          <w:p>
            <w:pPr>
              <w:ind w:left="7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2200" w:type="dxa"/>
            <w:vAlign w:val="bottom"/>
            <w:gridSpan w:val="6"/>
          </w:tcPr>
          <w:p>
            <w:pPr>
              <w:jc w:val="right"/>
              <w:ind w:right="950"/>
              <w:spacing w:after="0"/>
              <w:rPr>
                <w:sz w:val="20"/>
                <w:szCs w:val="20"/>
                <w:color w:val="auto"/>
              </w:rPr>
            </w:pPr>
            <w:r>
              <w:rPr>
                <w:rFonts w:ascii="Arial" w:cs="Arial" w:eastAsia="Arial" w:hAnsi="Arial"/>
                <w:sz w:val="14"/>
                <w:szCs w:val="14"/>
                <w:b w:val="1"/>
                <w:bCs w:val="1"/>
                <w:color w:val="auto"/>
              </w:rPr>
              <w:t>Level 2</w:t>
            </w:r>
          </w:p>
        </w:tc>
        <w:tc>
          <w:tcPr>
            <w:tcW w:w="1980" w:type="dxa"/>
            <w:vAlign w:val="bottom"/>
            <w:gridSpan w:val="4"/>
          </w:tcPr>
          <w:p>
            <w:pPr>
              <w:ind w:left="7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May 1, 2021</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vMerge w:val="restart"/>
          </w:tcPr>
          <w:p>
            <w:pPr>
              <w:jc w:val="right"/>
              <w:ind w:right="250"/>
              <w:spacing w:after="0"/>
              <w:rPr>
                <w:sz w:val="20"/>
                <w:szCs w:val="20"/>
                <w:color w:val="auto"/>
              </w:rPr>
            </w:pPr>
            <w:r>
              <w:rPr>
                <w:rFonts w:ascii="Arial" w:cs="Arial" w:eastAsia="Arial" w:hAnsi="Arial"/>
                <w:sz w:val="14"/>
                <w:szCs w:val="14"/>
                <w:b w:val="1"/>
                <w:bCs w:val="1"/>
                <w:color w:val="auto"/>
                <w:w w:val="95"/>
              </w:rPr>
              <w:t>May 1, 2021</w:t>
            </w:r>
          </w:p>
        </w:tc>
        <w:tc>
          <w:tcPr>
            <w:tcW w:w="880" w:type="dxa"/>
            <w:vAlign w:val="bottom"/>
            <w:tcBorders>
              <w:top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May 1, 2021</w:t>
            </w:r>
          </w:p>
        </w:tc>
        <w:tc>
          <w:tcPr>
            <w:tcW w:w="880" w:type="dxa"/>
            <w:vAlign w:val="bottom"/>
            <w:tcBorders>
              <w:top w:val="single" w:sz="8" w:color="auto"/>
            </w:tcBorders>
          </w:tcPr>
          <w:p>
            <w:pPr>
              <w:jc w:val="center"/>
              <w:ind w:right="37"/>
              <w:spacing w:after="0" w:line="135" w:lineRule="exact"/>
              <w:rPr>
                <w:sz w:val="20"/>
                <w:szCs w:val="20"/>
                <w:color w:val="auto"/>
              </w:rPr>
            </w:pPr>
            <w:r>
              <w:rPr>
                <w:rFonts w:ascii="Arial" w:cs="Arial" w:eastAsia="Arial" w:hAnsi="Arial"/>
                <w:sz w:val="14"/>
                <w:szCs w:val="14"/>
                <w:b w:val="1"/>
                <w:bCs w:val="1"/>
                <w:color w:val="auto"/>
                <w:w w:val="93"/>
              </w:rPr>
              <w:t>January 30,</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3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corporate debt securities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12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80" w:right="840" w:hanging="6"/>
        <w:spacing w:after="0" w:line="235" w:lineRule="auto"/>
        <w:tabs>
          <w:tab w:leader="none" w:pos="9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equivalents represent a money market fund that has a maturity of three months or less at the date of purchase. Due to the short maturity, the Company believes the carrying value approximates fair value.</w:t>
      </w:r>
    </w:p>
    <w:p>
      <w:pPr>
        <w:spacing w:after="0" w:line="162"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$3.8 million in impairment charges related to store assets including property, plant, and equipment and lease right-of-use assets during the thirteen weeks ended May 2, 2020. There were no impairment charges for the thirteen weeks ended May 1, 2021.</w:t>
      </w:r>
    </w:p>
    <w:p>
      <w:pPr>
        <w:spacing w:after="0" w:line="47"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w:t>
      </w:r>
    </w:p>
    <w:p>
      <w:pPr>
        <w:spacing w:after="0" w:line="30"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9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7" w:lineRule="exact"/>
        <w:rPr>
          <w:rFonts w:ascii="Arial" w:cs="Arial" w:eastAsia="Arial" w:hAnsi="Arial"/>
          <w:sz w:val="18"/>
          <w:szCs w:val="18"/>
          <w:b w:val="1"/>
          <w:bCs w:val="1"/>
          <w:color w:val="auto"/>
        </w:rPr>
      </w:pPr>
    </w:p>
    <w:p>
      <w:pPr>
        <w:ind w:left="6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42" w:lineRule="exact"/>
        <w:rPr>
          <w:rFonts w:ascii="Arial" w:cs="Arial" w:eastAsia="Arial" w:hAnsi="Arial"/>
          <w:sz w:val="18"/>
          <w:szCs w:val="18"/>
          <w:b w:val="1"/>
          <w:bCs w:val="1"/>
          <w:color w:val="auto"/>
        </w:rPr>
      </w:pPr>
    </w:p>
    <w:p>
      <w:pPr>
        <w:ind w:left="6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Amounts outstanding under the Credit Agreement bear interest at a per annum rate equal to either (i) for CBFR borrowings (including swingline loans), the CB Floating Rate, where the CB Floating Rate is the prime rate which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7" w:lineRule="exact"/>
        <w:rPr>
          <w:sz w:val="20"/>
          <w:szCs w:val="20"/>
          <w:color w:val="auto"/>
        </w:rPr>
      </w:pPr>
    </w:p>
    <w:p>
      <w:pPr>
        <w:ind w:left="660" w:right="240"/>
        <w:spacing w:after="0" w:line="263"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62" w:lineRule="exact"/>
        <w:rPr>
          <w:sz w:val="20"/>
          <w:szCs w:val="20"/>
          <w:color w:val="auto"/>
        </w:rPr>
      </w:pPr>
    </w:p>
    <w:p>
      <w:pPr>
        <w:ind w:left="660" w:right="60"/>
        <w:spacing w:after="0" w:line="275" w:lineRule="auto"/>
        <w:rPr>
          <w:sz w:val="20"/>
          <w:szCs w:val="20"/>
          <w:color w:val="auto"/>
        </w:rPr>
      </w:pPr>
      <w:r>
        <w:rPr>
          <w:rFonts w:ascii="Arial" w:cs="Arial" w:eastAsia="Arial" w:hAnsi="Arial"/>
          <w:sz w:val="17"/>
          <w:szCs w:val="17"/>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5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Credit Agreement also requires the Loan Parties to maintain a minimum fixed charge coverage ratio of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2" w:lineRule="exact"/>
        <w:rPr>
          <w:sz w:val="20"/>
          <w:szCs w:val="20"/>
          <w:color w:val="auto"/>
        </w:rPr>
      </w:pPr>
    </w:p>
    <w:p>
      <w:pPr>
        <w:ind w:left="660" w:right="120"/>
        <w:spacing w:after="0" w:line="287" w:lineRule="auto"/>
        <w:rPr>
          <w:sz w:val="20"/>
          <w:szCs w:val="20"/>
          <w:color w:val="auto"/>
        </w:rPr>
      </w:pPr>
      <w:r>
        <w:rPr>
          <w:rFonts w:ascii="Arial" w:cs="Arial" w:eastAsia="Arial" w:hAnsi="Arial"/>
          <w:sz w:val="16"/>
          <w:szCs w:val="16"/>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sz w:val="20"/>
          <w:szCs w:val="20"/>
          <w:color w:val="auto"/>
        </w:rPr>
      </w:pPr>
    </w:p>
    <w:p>
      <w:pPr>
        <w:ind w:left="660" w:right="460" w:hanging="4"/>
        <w:spacing w:after="0" w:line="255" w:lineRule="auto"/>
        <w:tabs>
          <w:tab w:leader="none" w:pos="9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104"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As of May 1, 2021 and January 30, 2021, the Company had no borrowings outstanding and availability of $75.0 million under the Credit Agreement.</w:t>
      </w:r>
    </w:p>
    <w:p>
      <w:pPr>
        <w:spacing w:after="0" w:line="19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6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4" w:lineRule="exact"/>
        <w:rPr>
          <w:rFonts w:ascii="Arial" w:cs="Arial" w:eastAsia="Arial" w:hAnsi="Arial"/>
          <w:sz w:val="18"/>
          <w:szCs w:val="18"/>
          <w:b w:val="1"/>
          <w:bCs w:val="1"/>
          <w:color w:val="auto"/>
        </w:rPr>
      </w:pPr>
    </w:p>
    <w:p>
      <w:pPr>
        <w:ind w:left="660" w:right="8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May 1, 2021, was 25.9%, compared to 39.4% for the thirteen weeks ended May 2, 2020. The year-over-year effective tax rate decrease was primarily due to the net operating loss carryback recorded in the prior-year period that did not recur in the current-year as a result of the Coronavirus Aid, Relief, and Economic Security Act (“CARES Act”) that was enacted on March 27, 2020 in response to the COVID-19 pandemic.</w:t>
      </w:r>
    </w:p>
    <w:p>
      <w:pPr>
        <w:spacing w:after="0" w:line="305"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8" w:lineRule="exact"/>
        <w:rPr>
          <w:rFonts w:ascii="Arial" w:cs="Arial" w:eastAsia="Arial" w:hAnsi="Arial"/>
          <w:sz w:val="18"/>
          <w:szCs w:val="18"/>
          <w:b w:val="1"/>
          <w:bCs w:val="1"/>
          <w:color w:val="auto"/>
        </w:rPr>
      </w:pPr>
    </w:p>
    <w:p>
      <w:pPr>
        <w:jc w:val="both"/>
        <w:ind w:left="66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Awards of Restricted Stock Units</w:t>
      </w:r>
    </w:p>
    <w:p>
      <w:pPr>
        <w:spacing w:after="0" w:line="252" w:lineRule="exact"/>
        <w:rPr>
          <w:sz w:val="20"/>
          <w:szCs w:val="20"/>
          <w:color w:val="auto"/>
        </w:rPr>
      </w:pPr>
    </w:p>
    <w:p>
      <w:pPr>
        <w:ind w:left="660" w:right="340"/>
        <w:spacing w:after="0" w:line="291" w:lineRule="auto"/>
        <w:rPr>
          <w:sz w:val="20"/>
          <w:szCs w:val="20"/>
          <w:color w:val="auto"/>
        </w:rPr>
      </w:pPr>
      <w:r>
        <w:rPr>
          <w:rFonts w:ascii="Arial" w:cs="Arial" w:eastAsia="Arial" w:hAnsi="Arial"/>
          <w:sz w:val="16"/>
          <w:szCs w:val="16"/>
          <w:color w:val="auto"/>
        </w:rPr>
        <w:t>During the thirteen weeks ended May 1, 2021, the Company granted 640,007 time-based and performance-based restricted stock units with an aggregate fair value of $6.6 million to certain employees and non-employee directors under the 2020 Equity and Incentive Plan compared</w:t>
      </w:r>
    </w:p>
    <w:p>
      <w:pPr>
        <w:ind w:left="660" w:right="120"/>
        <w:spacing w:after="0" w:line="260" w:lineRule="auto"/>
        <w:rPr>
          <w:sz w:val="20"/>
          <w:szCs w:val="20"/>
          <w:color w:val="auto"/>
        </w:rPr>
      </w:pPr>
      <w:r>
        <w:rPr>
          <w:rFonts w:ascii="Arial" w:cs="Arial" w:eastAsia="Arial" w:hAnsi="Arial"/>
          <w:sz w:val="18"/>
          <w:szCs w:val="18"/>
          <w:color w:val="auto"/>
        </w:rPr>
        <w:t>to 1,412,024 time-based and performance-based restricted stock units with an aggregate fair value of $5.8 million in the same period of the prior-year under the 2010 Equity and Incentive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restricted stock units granted under the 2020 Equity and Incentive Plan during the thirteen weeks ended May 2, 2020.</w:t>
      </w:r>
    </w:p>
    <w:p>
      <w:pPr>
        <w:spacing w:after="0" w:line="171"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right="1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restricted stock unit activity for the thirteen weeks ended May 1, 2021 (units in thousands):</w:t>
      </w:r>
    </w:p>
    <w:p>
      <w:pPr>
        <w:spacing w:after="0" w:line="3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2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Time-based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Restricted Stock Units</w:t>
            </w:r>
          </w:p>
        </w:tc>
        <w:tc>
          <w:tcPr>
            <w:tcW w:w="2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30"/>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0"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0"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Grant</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1260" w:type="dxa"/>
            <w:vAlign w:val="bottom"/>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(per unit)</w:t>
            </w:r>
          </w:p>
        </w:tc>
        <w:tc>
          <w:tcPr>
            <w:tcW w:w="1280" w:type="dxa"/>
            <w:vAlign w:val="bottom"/>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24"/>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30,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May 1,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200"/>
        <w:spacing w:after="0" w:line="342" w:lineRule="auto"/>
        <w:rPr>
          <w:sz w:val="20"/>
          <w:szCs w:val="20"/>
          <w:color w:val="auto"/>
        </w:rPr>
      </w:pPr>
      <w:r>
        <w:rPr>
          <w:rFonts w:ascii="Arial" w:cs="Arial" w:eastAsia="Arial" w:hAnsi="Arial"/>
          <w:sz w:val="16"/>
          <w:szCs w:val="16"/>
          <w:color w:val="auto"/>
        </w:rPr>
        <w:t>As of May 1, 2021, there was $10.1 million of total unrecognized compensation cost, net of estimated forfeitures, related to nonvested restricted stock units. That cost is expected to be recognized over a weighted-average period of 2.0 years, subject to meeting performance conditions.</w:t>
      </w:r>
    </w:p>
    <w:p>
      <w:pPr>
        <w:spacing w:after="0" w:line="24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4"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70" w:lineRule="exact"/>
        <w:rPr>
          <w:rFonts w:ascii="Arial" w:cs="Arial" w:eastAsia="Arial" w:hAnsi="Arial"/>
          <w:sz w:val="18"/>
          <w:szCs w:val="18"/>
          <w:b w:val="1"/>
          <w:bCs w:val="1"/>
          <w:color w:val="auto"/>
        </w:rPr>
      </w:pPr>
    </w:p>
    <w:p>
      <w:pPr>
        <w:jc w:val="both"/>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43" w:lineRule="exact"/>
        <w:rPr>
          <w:sz w:val="20"/>
          <w:szCs w:val="20"/>
          <w:color w:val="auto"/>
        </w:rPr>
      </w:pPr>
    </w:p>
    <w:p>
      <w:pPr>
        <w:ind w:left="660" w:right="60"/>
        <w:spacing w:after="0" w:line="275" w:lineRule="auto"/>
        <w:rPr>
          <w:sz w:val="20"/>
          <w:szCs w:val="20"/>
          <w:color w:val="auto"/>
        </w:rPr>
      </w:pPr>
      <w:r>
        <w:rPr>
          <w:rFonts w:ascii="Arial" w:cs="Arial" w:eastAsia="Arial" w:hAnsi="Arial"/>
          <w:sz w:val="17"/>
          <w:szCs w:val="17"/>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alleged various violations of the California Labor Code related to wages, overtime, meal and rest breaks, non-compliant wage statements and records and other similar allegations related to employment. The Plaintiff also filed a Private Attorney General Act claim with the state of California regarding the same allegations. This case was settled in the first quarter of fiscal 2022 for an immaterial amount.</w:t>
      </w:r>
    </w:p>
    <w:p>
      <w:pPr>
        <w:spacing w:after="0" w:line="17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7" w:lineRule="exact"/>
        <w:rPr>
          <w:rFonts w:ascii="Arial" w:cs="Arial" w:eastAsia="Arial" w:hAnsi="Arial"/>
          <w:sz w:val="18"/>
          <w:szCs w:val="18"/>
          <w:b w:val="1"/>
          <w:bCs w:val="1"/>
          <w:color w:val="auto"/>
        </w:rPr>
      </w:pPr>
    </w:p>
    <w:p>
      <w:pPr>
        <w:ind w:left="6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66" w:lineRule="exact"/>
        <w:rPr>
          <w:rFonts w:ascii="Arial" w:cs="Arial" w:eastAsia="Arial" w:hAnsi="Arial"/>
          <w:sz w:val="18"/>
          <w:szCs w:val="18"/>
          <w:b w:val="1"/>
          <w:bCs w:val="1"/>
          <w:color w:val="auto"/>
        </w:rPr>
      </w:pPr>
    </w:p>
    <w:p>
      <w:pPr>
        <w:ind w:left="6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purchased no shares during the thirteen weeks ended May 1, 2021. There was $32.9 million remaining available to repurchase shares of the Company's common stock under the 2018 Share Repurchase Program as of May 1, 2021.</w:t>
      </w:r>
    </w:p>
    <w:p>
      <w:pPr>
        <w:spacing w:after="0" w:line="35" w:lineRule="exact"/>
        <w:rPr>
          <w:rFonts w:ascii="Arial" w:cs="Arial" w:eastAsia="Arial" w:hAnsi="Arial"/>
          <w:sz w:val="18"/>
          <w:szCs w:val="18"/>
          <w:b w:val="1"/>
          <w:bCs w:val="1"/>
          <w:color w:val="auto"/>
        </w:rPr>
      </w:pPr>
    </w:p>
    <w:p>
      <w:pPr>
        <w:ind w:left="660" w:right="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May 1, 2021, the Company held as treasury shares 8,393,207 shares of its common stock at an average price of $12.76 per share, excluding commissions, for an aggregate carrying amount of $107.1 million. The Company’s treasury shares may be issued under the 2010 Equity and Incentive Plan (with respect to outstanding awards under that plan), under the 2020 Equity and Incentive Plan, or for other corporate purposes.</w:t>
      </w:r>
    </w:p>
    <w:p>
      <w:pPr>
        <w:spacing w:after="0" w:line="266" w:lineRule="exact"/>
        <w:rPr>
          <w:rFonts w:ascii="Arial" w:cs="Arial" w:eastAsia="Arial" w:hAnsi="Arial"/>
          <w:sz w:val="18"/>
          <w:szCs w:val="18"/>
          <w:b w:val="1"/>
          <w:bCs w:val="1"/>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Cloud Computing Arrangements</w:t>
      </w:r>
    </w:p>
    <w:p>
      <w:pPr>
        <w:spacing w:after="0" w:line="107" w:lineRule="exact"/>
        <w:rPr>
          <w:rFonts w:ascii="Arial" w:cs="Arial" w:eastAsia="Arial" w:hAnsi="Arial"/>
          <w:sz w:val="18"/>
          <w:szCs w:val="18"/>
          <w:b w:val="1"/>
          <w:bCs w:val="1"/>
          <w:color w:val="auto"/>
        </w:rPr>
      </w:pPr>
    </w:p>
    <w:p>
      <w:pPr>
        <w:ind w:left="6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$8.4 million and $8.1 million as of May 1, 2021 and January 30, 2021, respectively. Of this total, $2.5 million and $2.4 million was recorded within prepaid expenses and other current assets and $5.9 million and $5.7 million was recorded within other assets on the Company's Condensed Consolidated Balance Sheets as of May 1, 2021 and January 30, 2021, respectively. The CCA implementation costs are recorded within operating activities in the Company's Condensed Consolidated Statements of Cash Flows.</w:t>
      </w:r>
    </w:p>
    <w:p>
      <w:pPr>
        <w:spacing w:after="0" w:line="203"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Pura Vida</w:t>
      </w:r>
    </w:p>
    <w:p>
      <w:pPr>
        <w:spacing w:after="0" w:line="94" w:lineRule="exact"/>
        <w:rPr>
          <w:rFonts w:ascii="Arial" w:cs="Arial" w:eastAsia="Arial" w:hAnsi="Arial"/>
          <w:sz w:val="18"/>
          <w:szCs w:val="18"/>
          <w:b w:val="1"/>
          <w:bCs w:val="1"/>
          <w:color w:val="auto"/>
        </w:rPr>
      </w:pPr>
    </w:p>
    <w:p>
      <w:pPr>
        <w:ind w:left="66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July 16, 2019, the Company completed its acquisition of a seventy-five percent (75%) ownership interest in Creative Genius, Inc. or “Pura Vida” (the “Transaction”) in exchange for total cash consideration of approximately $75.0 million. The Company received a working capital reimbursement of $1.0 million during the first quarter of fiscal 2021.</w:t>
      </w:r>
    </w:p>
    <w:p>
      <w:pPr>
        <w:spacing w:after="0" w:line="62"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Interest Purchase Agreement, the Company also agreed to a contingent payment of up to $22.5 million payable during the first quarter of calendar year 2020 based on calendar year 2019 adjusted EBITDA of Pura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840"/>
        <w:spacing w:after="0" w:line="277" w:lineRule="auto"/>
        <w:rPr>
          <w:sz w:val="20"/>
          <w:szCs w:val="20"/>
          <w:color w:val="auto"/>
        </w:rPr>
      </w:pPr>
      <w:r>
        <w:rPr>
          <w:rFonts w:ascii="Arial" w:cs="Arial" w:eastAsia="Arial" w:hAnsi="Arial"/>
          <w:sz w:val="18"/>
          <w:szCs w:val="18"/>
          <w:color w:val="auto"/>
        </w:rPr>
        <w:t>Vida, as defined in the Interest Purchase Agreement. This contingent payment was made during the first quarter of fiscal 2021 totaling $18.7 million.</w:t>
      </w:r>
    </w:p>
    <w:p>
      <w:pPr>
        <w:spacing w:after="0" w:line="27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Redeemable noncontrolling interest represents the remaining twenty-five percent (25%) interest in Pura Vida not acquired by the Company. Refer to Notes 1 and 4 herein for additional information.</w:t>
      </w:r>
    </w:p>
    <w:p>
      <w:pPr>
        <w:spacing w:after="0" w:line="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redeemable noncontrolling interest for the thirteen weeks ended May 1, 2021, were as follows (in thousands):</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30, 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29,809</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May 1, 2021</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30,307</w:t>
            </w:r>
          </w:p>
        </w:tc>
      </w:tr>
      <w:tr>
        <w:trPr>
          <w:trHeight w:val="21"/>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redeemable noncontrolling interest for the thirteen weeks ended May 2, 2020, were as follows (in thousands):</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1, 2020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30,049</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redemption value</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2, 2020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38,858</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94" w:lineRule="exact"/>
        <w:rPr>
          <w:rFonts w:ascii="Arial" w:cs="Arial" w:eastAsia="Arial" w:hAnsi="Arial"/>
          <w:sz w:val="18"/>
          <w:szCs w:val="18"/>
          <w:b w:val="1"/>
          <w:bCs w:val="1"/>
          <w:color w:val="auto"/>
        </w:rPr>
      </w:pPr>
    </w:p>
    <w:p>
      <w:pPr>
        <w:ind w:left="660" w:right="440"/>
        <w:spacing w:after="0" w:line="269" w:lineRule="auto"/>
        <w:rPr>
          <w:rFonts w:ascii="Arial" w:cs="Arial" w:eastAsia="Arial" w:hAnsi="Arial"/>
          <w:sz w:val="18"/>
          <w:szCs w:val="18"/>
          <w:b w:val="1"/>
          <w:bCs w:val="1"/>
          <w:color w:val="auto"/>
        </w:rPr>
      </w:pPr>
      <w:r>
        <w:rPr>
          <w:rFonts w:ascii="Arial" w:cs="Arial" w:eastAsia="Arial" w:hAnsi="Arial"/>
          <w:sz w:val="18"/>
          <w:szCs w:val="18"/>
          <w:color w:val="auto"/>
        </w:rPr>
        <w:t>The following tables detail the carrying value of the Company's intangible assets other than goodwill related to the acquisition of a majority interest in Pura Vida.</w:t>
      </w: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May 1, 2021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220" w:type="dxa"/>
            <w:vAlign w:val="bottom"/>
          </w:tcPr>
          <w:p>
            <w:pPr>
              <w:spacing w:after="0"/>
              <w:rPr>
                <w:sz w:val="11"/>
                <w:szCs w:val="11"/>
                <w:color w:val="auto"/>
              </w:rPr>
            </w:pPr>
          </w:p>
        </w:tc>
        <w:tc>
          <w:tcPr>
            <w:tcW w:w="14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Amortization</w:t>
            </w:r>
            <w:r>
              <w:rPr>
                <w:rFonts w:ascii="Arial" w:cs="Arial" w:eastAsia="Arial" w:hAnsi="Arial"/>
                <w:sz w:val="9"/>
                <w:szCs w:val="9"/>
                <w:b w:val="1"/>
                <w:bCs w:val="1"/>
                <w:color w:val="auto"/>
                <w:w w:val="97"/>
              </w:rPr>
              <w:t>(1)</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(14,855)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9,353</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expense is recorded within the Pura Vida segment.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4"/>
              </w:rPr>
              <w:t>January 30, 2021</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3"/>
          </w:tcPr>
          <w:p>
            <w:pPr>
              <w:jc w:val="center"/>
              <w:ind w:right="280"/>
              <w:spacing w:after="0" w:line="189" w:lineRule="exact"/>
              <w:rPr>
                <w:sz w:val="20"/>
                <w:szCs w:val="20"/>
                <w:color w:val="auto"/>
              </w:rPr>
            </w:pPr>
            <w:r>
              <w:rPr>
                <w:rFonts w:ascii="Arial" w:cs="Arial" w:eastAsia="Arial" w:hAnsi="Arial"/>
                <w:sz w:val="14"/>
                <w:szCs w:val="14"/>
                <w:b w:val="1"/>
                <w:bCs w:val="1"/>
                <w:color w:val="auto"/>
                <w:w w:val="93"/>
              </w:rPr>
              <w:t>Amortization</w:t>
            </w:r>
            <w:r>
              <w:rPr>
                <w:rFonts w:ascii="Arial" w:cs="Arial" w:eastAsia="Arial" w:hAnsi="Arial"/>
                <w:sz w:val="18"/>
                <w:szCs w:val="18"/>
                <w:b w:val="1"/>
                <w:bCs w:val="1"/>
                <w:color w:val="auto"/>
                <w:w w:val="93"/>
                <w:vertAlign w:val="superscript"/>
              </w:rPr>
              <w:t>(1)</w:t>
            </w: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(1) Amortization expense is recorded within the Pura Vida segment.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620" w:type="dxa"/>
            <w:vAlign w:val="bottom"/>
            <w:gridSpan w:val="4"/>
          </w:tcPr>
          <w:p>
            <w:pPr>
              <w:spacing w:after="0"/>
              <w:rPr>
                <w:sz w:val="20"/>
                <w:szCs w:val="20"/>
                <w:color w:val="auto"/>
              </w:rPr>
            </w:pPr>
            <w:r>
              <w:rPr>
                <w:rFonts w:ascii="Arial" w:cs="Arial" w:eastAsia="Arial" w:hAnsi="Arial"/>
                <w:sz w:val="18"/>
                <w:szCs w:val="18"/>
                <w:color w:val="auto"/>
              </w:rPr>
              <w:t>The amortization expense for intangible assets is as follows (in thousands):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2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 (remaining nine months)</w:t>
            </w:r>
          </w:p>
        </w:tc>
        <w:tc>
          <w:tcPr>
            <w:tcW w:w="2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2025</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400"/>
        <w:spacing w:after="0" w:line="263" w:lineRule="auto"/>
        <w:rPr>
          <w:sz w:val="20"/>
          <w:szCs w:val="20"/>
          <w:color w:val="auto"/>
        </w:rPr>
      </w:pPr>
      <w:r>
        <w:rPr>
          <w:rFonts w:ascii="Arial" w:cs="Arial" w:eastAsia="Arial" w:hAnsi="Arial"/>
          <w:sz w:val="18"/>
          <w:szCs w:val="18"/>
          <w:color w:val="auto"/>
        </w:rPr>
        <w:t>The total amount of the goodwill as of May 1, 2021 and January 30, 2021, of $44.3 million was recorded within the Pura Vida segment upon acquisition. Goodwill is deductible for tax purposes, limited to the Company's 75% majority ownership interest. There were no changes to goodwill for the thirteen weeks ended May 1, 2021 and May 2, 2020.</w:t>
      </w:r>
    </w:p>
    <w:p>
      <w:pPr>
        <w:spacing w:after="0" w:line="143"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Future impacts of COVID-19, including but not limited to the duration and magnitude of the pandemic, may have an impact on the triggering event assessment or future fair value estimate of goodwill, brand intangible asset, and definite-lived intangible assets, which could lead to material impairment charges. Refer to Note 5 herein for additional information regarding the fair value measurement.</w:t>
      </w:r>
    </w:p>
    <w:p>
      <w:pPr>
        <w:spacing w:after="0" w:line="200" w:lineRule="exact"/>
        <w:rPr>
          <w:sz w:val="20"/>
          <w:szCs w:val="20"/>
          <w:color w:val="auto"/>
        </w:rPr>
      </w:pPr>
    </w:p>
    <w:p>
      <w:pPr>
        <w:spacing w:after="0" w:line="25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07" w:lineRule="exact"/>
        <w:rPr>
          <w:rFonts w:ascii="Arial" w:cs="Arial" w:eastAsia="Arial" w:hAnsi="Arial"/>
          <w:sz w:val="18"/>
          <w:szCs w:val="18"/>
          <w:b w:val="1"/>
          <w:bCs w:val="1"/>
          <w:color w:val="auto"/>
        </w:rPr>
      </w:pPr>
    </w:p>
    <w:p>
      <w:pPr>
        <w:ind w:left="6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1" w:lineRule="exact"/>
        <w:rPr>
          <w:rFonts w:ascii="Arial" w:cs="Arial" w:eastAsia="Arial" w:hAnsi="Arial"/>
          <w:sz w:val="18"/>
          <w:szCs w:val="18"/>
          <w:b w:val="1"/>
          <w:bCs w:val="1"/>
          <w:color w:val="auto"/>
        </w:rPr>
      </w:pPr>
    </w:p>
    <w:p>
      <w:pPr>
        <w:jc w:val="both"/>
        <w:ind w:left="660" w:right="3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VB Direct segment includes Vera Bradley full-line and factory outlet stores; the Vera Bradley website, verabradley.com; the Vera Bradley online outlet site; and typically the Vera Bradley annual outlet sale. Revenues generated from this segment are driven through the sale of Vera Bradley-branded products from Vera Bradley to end consumers.</w:t>
      </w:r>
    </w:p>
    <w:p>
      <w:pPr>
        <w:spacing w:after="0" w:line="62" w:lineRule="exact"/>
        <w:rPr>
          <w:rFonts w:ascii="Arial" w:cs="Arial" w:eastAsia="Arial" w:hAnsi="Arial"/>
          <w:sz w:val="18"/>
          <w:szCs w:val="18"/>
          <w:b w:val="1"/>
          <w:bCs w:val="1"/>
          <w:color w:val="auto"/>
        </w:rPr>
      </w:pPr>
    </w:p>
    <w:p>
      <w:pPr>
        <w:ind w:left="6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VB Indirect segment represents revenues generated through the distribution of Vera Bradley-branded products to specialty retailers representing approximately 2,000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jc w:val="both"/>
        <w:ind w:left="660" w:right="160"/>
        <w:spacing w:after="0" w:line="263" w:lineRule="auto"/>
        <w:rPr>
          <w:sz w:val="20"/>
          <w:szCs w:val="20"/>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4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65" w:lineRule="exact"/>
        <w:rPr>
          <w:sz w:val="20"/>
          <w:szCs w:val="20"/>
          <w:color w:val="auto"/>
        </w:rPr>
      </w:pPr>
    </w:p>
    <w:p>
      <w:pPr>
        <w:ind w:left="660" w:right="180"/>
        <w:spacing w:after="0" w:line="278"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weeks ended May 1, 2021 and May 2, 2020, respectively, consisted of the following (in thousands):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May 1,</w:t>
            </w:r>
          </w:p>
        </w:tc>
        <w:tc>
          <w:tcPr>
            <w:tcW w:w="340" w:type="dxa"/>
            <w:vAlign w:val="bottom"/>
          </w:tcPr>
          <w:p>
            <w:pPr>
              <w:spacing w:after="0"/>
              <w:rPr>
                <w:sz w:val="11"/>
                <w:szCs w:val="11"/>
                <w:color w:val="auto"/>
              </w:rPr>
            </w:pPr>
          </w:p>
        </w:tc>
        <w:tc>
          <w:tcPr>
            <w:tcW w:w="1220" w:type="dxa"/>
            <w:vAlign w:val="bottom"/>
          </w:tcPr>
          <w:p>
            <w:pPr>
              <w:jc w:val="right"/>
              <w:ind w:right="493"/>
              <w:spacing w:after="0" w:line="135" w:lineRule="exact"/>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88"/>
        </w:trPr>
        <w:tc>
          <w:tcPr>
            <w:tcW w:w="6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20"/>
              <w:spacing w:after="0"/>
              <w:rPr>
                <w:sz w:val="20"/>
                <w:szCs w:val="20"/>
                <w:color w:val="auto"/>
              </w:rPr>
            </w:pPr>
            <w:r>
              <w:rPr>
                <w:rFonts w:ascii="Arial" w:cs="Arial" w:eastAsia="Arial" w:hAnsi="Arial"/>
                <w:sz w:val="18"/>
                <w:szCs w:val="18"/>
                <w:color w:val="auto"/>
              </w:rPr>
              <w:t>VB Direct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66,732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36,837</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Indirect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11,229</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Pura Vida</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21,218</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operating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Direct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30"/>
        </w:trPr>
        <w:tc>
          <w:tcPr>
            <w:tcW w:w="6320" w:type="dxa"/>
            <w:vAlign w:val="bottom"/>
          </w:tcPr>
          <w:p>
            <w:pPr>
              <w:ind w:left="220"/>
              <w:spacing w:after="0"/>
              <w:rPr>
                <w:sz w:val="20"/>
                <w:szCs w:val="20"/>
                <w:color w:val="auto"/>
              </w:rPr>
            </w:pPr>
            <w:r>
              <w:rPr>
                <w:rFonts w:ascii="Arial" w:cs="Arial" w:eastAsia="Arial" w:hAnsi="Arial"/>
                <w:sz w:val="18"/>
                <w:szCs w:val="18"/>
                <w:color w:val="auto"/>
              </w:rPr>
              <w:t>VB Indirect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Pura Vida</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6320" w:type="dxa"/>
            <w:vAlign w:val="bottom"/>
          </w:tcPr>
          <w:p>
            <w:pPr>
              <w:ind w:left="4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20"/>
              <w:spacing w:after="0"/>
              <w:rPr>
                <w:sz w:val="20"/>
                <w:szCs w:val="20"/>
                <w:color w:val="auto"/>
              </w:rPr>
            </w:pPr>
            <w:r>
              <w:rPr>
                <w:rFonts w:ascii="Arial" w:cs="Arial" w:eastAsia="Arial" w:hAnsi="Arial"/>
                <w:sz w:val="18"/>
                <w:szCs w:val="18"/>
                <w:color w:val="auto"/>
              </w:rPr>
              <w:t>Segment operating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17,829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Unallocated corporate expenses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(16,564)</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the Company as of and for the thirteen weeks ended May 1, 2021 and May 2, 2020. The following discussion should be read in conjunction with our Annual Report on Form 10-K for the fiscal year ended January 30, 2021, and our unaudited condensed consolidated financial statements and the related notes included in Item 1 of this Quarterly Report. The results of operations for the thirteen weeks ended May 1, 2021, are not necessarily indicative of the results to be expected for the full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w:t>
      </w:r>
    </w:p>
    <w:p>
      <w:pPr>
        <w:spacing w:after="0" w:line="10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During the first quarter of the current-year, we believe consumer confidence, traffic and spending grew as COVID-19 vaccines became more widely available; with the distribution of government stimulus funds; and as customers began to return to work, social events, and travel.</w:t>
      </w:r>
    </w:p>
    <w:p>
      <w:pPr>
        <w:spacing w:after="0" w:line="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first quarter of the prior-year, the COVID-19 pandemic resulted in global travel restrictions, quarantines, and certain factory closures or reduced operations, as well as mall closures and reduced mall operating hours. Although the Vera Bradley and Pura Vida e-commerce operations remained open during this time, the aforementioned items had a material adverse impact on overall consumer demand, traffic, and sales during the period. We took various actions to navigate the pandemic which included, but was not limited to, temporarily closing all Vera Bradley store locations on March 19, 2020; temporarily furloughing 80% of our workforce mid-quarter; temporarily reducing base compensation for certain associates; preserving cash by drawing on our Credit Agreement, which was repaid during the fourth quarter of the prior-year; and managing inventory, rent, and other expenses.</w:t>
      </w: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cannot predict the future impacts that the COVID-19 pandemic could have on our future liquidity, operating results, and financial condition, but it could have a significant adverse affect on these metrics.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first quarter of fiscal 2022: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Vera Bradley, we:</w:t>
      </w:r>
    </w:p>
    <w:p>
      <w:pPr>
        <w:spacing w:after="0" w:line="90" w:lineRule="exact"/>
        <w:rPr>
          <w:sz w:val="20"/>
          <w:szCs w:val="20"/>
          <w:color w:val="auto"/>
        </w:rPr>
      </w:pPr>
    </w:p>
    <w:p>
      <w:pPr>
        <w:ind w:left="980" w:right="70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our focus on innovation and sustainability by preparing for the official May launch of our new Recycled Cotton collection, consciously crafted from 50% recycled and 50% conventional cotton;</w:t>
      </w:r>
    </w:p>
    <w:p>
      <w:pPr>
        <w:spacing w:after="0" w:line="35"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Drove brand awareness with quality media placements, with year-over-year media impressions up over 200%, and launched our new brand ambassador program; and</w:t>
      </w:r>
    </w:p>
    <w:p>
      <w:pPr>
        <w:spacing w:after="0" w:line="48"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our high-profile product collaborations with new launches of Harry Potter, Crocs, and Disney.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Pura Vida, we:</w:t>
      </w:r>
    </w:p>
    <w:p>
      <w:pPr>
        <w:spacing w:after="0" w:line="90"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our Project Novus ERP integration which is scheduled for completion this fall for Pura Vida;</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Launched our apparel collection of shirts and hoodies;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introduced our Vera Bradley + Pura Vida charity bracelet program in all Vera Bradley full-line stores.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first quarter of fiscal 2021)</w:t>
      </w:r>
    </w:p>
    <w:p>
      <w:pPr>
        <w:spacing w:after="0" w:line="10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revenues increased 57.5% to $109.1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Vera Bradley Direct (“VB Direct”) segment sales increased 81.2% to $66.7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Vera Bradley Indirect segment (“VB Indirect”) sales increased 35.9% to $15.3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Pura Vida segment sales increased 27.7% to $27.1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 was $59.2 million, or 54.2% of net revenue.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loss was $(2.0) million and net loss attributable to Vera Bradley, Inc. was $(2.1)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$0.5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and cash equivalents and investments were $52.7 million at May 1,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typically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www.puravidabracelets.eu, and www.puravidabracelets.ca and through the distribution of Pura Vida-branded products to wholesale retailers.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Typically, comparable sales are calculated based upon our stores that have been open for at least 12 full fiscal months and net revenues from our Vera Bradley e-commerce operations. Pura Vida e-commerce operations are included within the Company's comparable sales beginning with the fiscal 2021 third quarter. Pura Vida e-commerce operations include sales from the subscription club.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6" w:lineRule="exact"/>
        <w:rPr>
          <w:sz w:val="20"/>
          <w:szCs w:val="20"/>
          <w:color w:val="auto"/>
        </w:rPr>
      </w:pPr>
    </w:p>
    <w:p>
      <w:pPr>
        <w:ind w:right="440"/>
        <w:spacing w:after="0" w:line="307" w:lineRule="auto"/>
        <w:rPr>
          <w:sz w:val="20"/>
          <w:szCs w:val="20"/>
          <w:color w:val="auto"/>
        </w:rPr>
      </w:pPr>
      <w:r>
        <w:rPr>
          <w:rFonts w:ascii="Arial" w:cs="Arial" w:eastAsia="Arial" w:hAnsi="Arial"/>
          <w:sz w:val="16"/>
          <w:szCs w:val="16"/>
          <w:color w:val="auto"/>
        </w:rPr>
        <w:t>As a result of the temporary closure of all Vera Bradley stores due to COVID-19 during portions of the first and second quarters of the prior-year, the Company's first quarter comparable store sales and comparable sales calculations are not meaningful and therefore are not provided.</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4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VB Direct business expenses, such as store expenses, employee compensation, and store occupancy and supply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VB Indirect business expenses consisting primarily of employee compensation and other expenses associated with sales to Indirect retailers; and</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Pura Vida business expenses primarily related to employee compensation.</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 Income,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(loss) income, net primarily includes certain legal settlements and sales tax credits received for timely filings.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loss is equal to gross profit less SG&amp;A expenses plus other (loss) income, net. Operating loss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loss is equal to operating loss plus interest income less interest expense and income taxes.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Redeemable Noncontrolling Interest</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income (loss) attributable to redeemable noncontrolling interest represents the operating results of Pura Vida that are not attributable to Vera Bradley,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Vera Bradley,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Vera Bradley, Inc. is equal to net loss less net income (loss) attributable to redeemable noncontrolling interest.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Pura Vida Acquisition</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July 16, 2019, the Company completed its acquisition of a seventy-five percent (75%) ownership interest in Creative Genius, Inc. or “Pura Vida” (the “Transaction”) in exchange for total cash consideration of approximately $75.0 million. The Company received a working capital reimbursement of $1.0 million during the first quarter of fiscal 2021.</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Impairment charges of $3.8 million were recognized during the thirteen weeks ended May 2, 2020 for property, plant, and equipment assets and lease right-of-use assets related to underperforming stores and are included in SG&amp;A expenses in the Condensed Consolidated Statements of Operations and in impairment charges in the Condensed Consolidated Statements of Cash Flows. The impairment charges are included in the VB Direct segment. There were no impairment charges recorded during the thirteen weeks ended May 1, 2021. We are unable to predict the extent of the impact that the COVID-19 pandemic</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will have on our operations, the economy, or other factors; therefore, it is possible additional impairments could be identified in future periods, and such amounts could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Thirteen Weeks Ended</w:t>
            </w:r>
          </w:p>
        </w:tc>
      </w:tr>
      <w:tr>
        <w:trPr>
          <w:trHeight w:val="135"/>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4"/>
                <w:szCs w:val="14"/>
                <w:b w:val="1"/>
                <w:bCs w:val="1"/>
                <w:color w:val="auto"/>
              </w:rPr>
              <w:t>May 1,</w:t>
            </w:r>
          </w:p>
        </w:tc>
        <w:tc>
          <w:tcPr>
            <w:tcW w:w="340" w:type="dxa"/>
            <w:vAlign w:val="bottom"/>
          </w:tcPr>
          <w:p>
            <w:pPr>
              <w:spacing w:after="0"/>
              <w:rPr>
                <w:sz w:val="11"/>
                <w:szCs w:val="11"/>
                <w:color w:val="auto"/>
              </w:rPr>
            </w:pPr>
          </w:p>
        </w:tc>
        <w:tc>
          <w:tcPr>
            <w:tcW w:w="1220" w:type="dxa"/>
            <w:vAlign w:val="bottom"/>
          </w:tcPr>
          <w:p>
            <w:pPr>
              <w:jc w:val="right"/>
              <w:ind w:right="471"/>
              <w:spacing w:after="0" w:line="135" w:lineRule="exact"/>
              <w:rPr>
                <w:sz w:val="20"/>
                <w:szCs w:val="20"/>
                <w:color w:val="auto"/>
              </w:rPr>
            </w:pPr>
            <w:r>
              <w:rPr>
                <w:rFonts w:ascii="Arial" w:cs="Arial" w:eastAsia="Arial" w:hAnsi="Arial"/>
                <w:sz w:val="14"/>
                <w:szCs w:val="14"/>
                <w:b w:val="1"/>
                <w:bCs w:val="1"/>
                <w:color w:val="auto"/>
              </w:rPr>
              <w:t>May 2,</w:t>
            </w:r>
          </w:p>
        </w:tc>
      </w:tr>
      <w:tr>
        <w:trPr>
          <w:trHeight w:val="186"/>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109,094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69,284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49,930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35,096</w:t>
            </w:r>
          </w:p>
        </w:tc>
      </w:tr>
      <w:tr>
        <w:trPr>
          <w:trHeight w:val="223"/>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34,188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60,896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59,782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(25,574)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w:t>
            </w: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(25,646)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(10,109)</w:t>
            </w: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(15,537)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redeemable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(200)</w:t>
            </w: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Net loss attributable to Vera Bradley, Inc.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(15,337)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50.7 %</w:t>
            </w:r>
          </w:p>
        </w:tc>
      </w:tr>
      <w:tr>
        <w:trPr>
          <w:trHeight w:val="223"/>
        </w:trPr>
        <w:tc>
          <w:tcPr>
            <w:tcW w:w="80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49.3 %</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86.3 %</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(loss) income,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(loss) attributable to redeemable noncontrolling interest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attributable to Vera Bradley, Inc.</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8"/>
              </w:rPr>
              <w:t>May 1,</w:t>
            </w:r>
          </w:p>
        </w:tc>
        <w:tc>
          <w:tcPr>
            <w:tcW w:w="340" w:type="dxa"/>
            <w:vAlign w:val="bottom"/>
          </w:tcPr>
          <w:p>
            <w:pPr>
              <w:spacing w:after="0"/>
              <w:rPr>
                <w:sz w:val="11"/>
                <w:szCs w:val="11"/>
                <w:color w:val="auto"/>
              </w:rPr>
            </w:pPr>
          </w:p>
        </w:tc>
        <w:tc>
          <w:tcPr>
            <w:tcW w:w="1220" w:type="dxa"/>
            <w:vAlign w:val="bottom"/>
          </w:tcPr>
          <w:p>
            <w:pPr>
              <w:jc w:val="center"/>
              <w:ind w:right="233"/>
              <w:spacing w:after="0" w:line="135" w:lineRule="exact"/>
              <w:rPr>
                <w:sz w:val="20"/>
                <w:szCs w:val="20"/>
                <w:color w:val="auto"/>
              </w:rPr>
            </w:pPr>
            <w:r>
              <w:rPr>
                <w:rFonts w:ascii="Arial" w:cs="Arial" w:eastAsia="Arial" w:hAnsi="Arial"/>
                <w:sz w:val="14"/>
                <w:szCs w:val="14"/>
                <w:b w:val="1"/>
                <w:bCs w:val="1"/>
                <w:color w:val="auto"/>
                <w:w w:val="98"/>
              </w:rPr>
              <w:t>May 2,</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Net Revenues by Segment: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36,837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4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15,264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11,229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27,098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21,218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109,094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69,284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Percentage of Net Revenues by Segment: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VB Direct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53.2 %</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Indirect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Pura Vida</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4"/>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8"/>
              </w:rPr>
              <w:t>May 1,</w:t>
            </w:r>
          </w:p>
        </w:tc>
        <w:tc>
          <w:tcPr>
            <w:tcW w:w="340" w:type="dxa"/>
            <w:vAlign w:val="bottom"/>
          </w:tcPr>
          <w:p>
            <w:pPr>
              <w:spacing w:after="0"/>
              <w:rPr>
                <w:sz w:val="11"/>
                <w:szCs w:val="11"/>
                <w:color w:val="auto"/>
              </w:rPr>
            </w:pPr>
          </w:p>
        </w:tc>
        <w:tc>
          <w:tcPr>
            <w:tcW w:w="1220" w:type="dxa"/>
            <w:vAlign w:val="bottom"/>
          </w:tcPr>
          <w:p>
            <w:pPr>
              <w:jc w:val="center"/>
              <w:ind w:right="233"/>
              <w:spacing w:after="0" w:line="135" w:lineRule="exact"/>
              <w:rPr>
                <w:sz w:val="20"/>
                <w:szCs w:val="20"/>
                <w:color w:val="auto"/>
              </w:rPr>
            </w:pPr>
            <w:r>
              <w:rPr>
                <w:rFonts w:ascii="Arial" w:cs="Arial" w:eastAsia="Arial" w:hAnsi="Arial"/>
                <w:sz w:val="14"/>
                <w:szCs w:val="14"/>
                <w:b w:val="1"/>
                <w:bCs w:val="1"/>
                <w:color w:val="auto"/>
                <w:w w:val="98"/>
              </w:rPr>
              <w:t>May 2,</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 by Segment: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4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Corporate unallocated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(19,788)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(16,564)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(25,574)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 (Loss) as a Percentage of Net Revenues by Segment: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Vera Bradley Store Data </w:t>
            </w:r>
            <w:r>
              <w:rPr>
                <w:rFonts w:ascii="Arial" w:cs="Arial" w:eastAsia="Arial" w:hAnsi="Arial"/>
                <w:sz w:val="23"/>
                <w:szCs w:val="23"/>
                <w:b w:val="1"/>
                <w:bCs w:val="1"/>
                <w:color w:val="auto"/>
                <w:vertAlign w:val="superscript"/>
              </w:rPr>
              <w:t>(1)(2)</w:t>
            </w: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opened during period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Total stores closed during period</w:t>
            </w:r>
          </w:p>
        </w:tc>
        <w:tc>
          <w:tcPr>
            <w:tcW w:w="34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 at end of period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Total gross square footage at end of period (all stores)</w:t>
            </w:r>
          </w:p>
        </w:tc>
        <w:tc>
          <w:tcPr>
            <w:tcW w:w="34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379,712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376,205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3"/>
                <w:szCs w:val="23"/>
                <w:color w:val="auto"/>
                <w:vertAlign w:val="superscript"/>
              </w:rPr>
              <w:t>(3)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Vera Bradley full-line and factory outlet stores.</w:t>
      </w:r>
    </w:p>
    <w:p>
      <w:pPr>
        <w:spacing w:after="0" w:line="23" w:lineRule="exact"/>
        <w:rPr>
          <w:rFonts w:ascii="Arial" w:cs="Arial" w:eastAsia="Arial" w:hAnsi="Arial"/>
          <w:sz w:val="18"/>
          <w:szCs w:val="18"/>
          <w:color w:val="auto"/>
        </w:rPr>
      </w:pPr>
    </w:p>
    <w:p>
      <w:pPr>
        <w:ind w:left="580" w:right="640" w:hanging="572"/>
        <w:spacing w:after="0" w:line="265" w:lineRule="auto"/>
        <w:tabs>
          <w:tab w:leader="none" w:pos="574"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a result of the temporary closure of Vera Bradley stores due to COVID-19 during a portion of the prior-year first quarter, the Company's comparable store sales and comparable sales calculations were not meaningful and therefore were not provided.</w:t>
      </w:r>
    </w:p>
    <w:p>
      <w:pPr>
        <w:ind w:left="580" w:right="20" w:hanging="572"/>
        <w:spacing w:after="0" w:line="253" w:lineRule="auto"/>
        <w:tabs>
          <w:tab w:leader="none" w:pos="5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As a result of the temporary closure of Vera Bradley stores due to COVID-19 during a portion of the prior-year first quarter, the Company's prior-year average net revenues per square foot were not meaningful and therefore were not provided.</w:t>
      </w:r>
    </w:p>
    <w:p>
      <w:pPr>
        <w:spacing w:after="0" w:line="227" w:lineRule="exact"/>
        <w:rPr>
          <w:sz w:val="20"/>
          <w:szCs w:val="20"/>
          <w:color w:val="auto"/>
        </w:rPr>
      </w:pPr>
    </w:p>
    <w:p>
      <w:pPr>
        <w:ind w:right="4600"/>
        <w:spacing w:after="0" w:line="354" w:lineRule="auto"/>
        <w:rPr>
          <w:sz w:val="20"/>
          <w:szCs w:val="20"/>
          <w:color w:val="auto"/>
        </w:rPr>
      </w:pPr>
      <w:r>
        <w:rPr>
          <w:rFonts w:ascii="Arial" w:cs="Arial" w:eastAsia="Arial" w:hAnsi="Arial"/>
          <w:sz w:val="18"/>
          <w:szCs w:val="18"/>
          <w:b w:val="1"/>
          <w:bCs w:val="1"/>
          <w:color w:val="auto"/>
        </w:rPr>
        <w:t xml:space="preserve">Thirteen Weeks Ended May 1, 2021, Compared to Thirteen Weeks Ended May 2, 2020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thirteen weeks ended May 1, 2021, net revenues increased $39.8 million, or 57.5%, to $109.1 million, from $69.3 million in the comparable prior-year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i w:val="1"/>
          <w:iCs w:val="1"/>
          <w:color w:val="auto"/>
        </w:rPr>
        <w:t>VB Direct</w:t>
      </w:r>
      <w:r>
        <w:rPr>
          <w:rFonts w:ascii="Arial" w:cs="Arial" w:eastAsia="Arial" w:hAnsi="Arial"/>
          <w:sz w:val="16"/>
          <w:szCs w:val="16"/>
          <w:color w:val="auto"/>
        </w:rPr>
        <w:t>. For the thirteen weeks ended May 1, 2021, net revenues in the VB Direct segment increased $29.9 million, or 81.2%, to $66.7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$36.8 million in the comparable prior-year period. The increase primarily resulted from: i) higher store sales in the current-year since in the prior-year the Company’s stores temporarily closed, as a result of COVID-19, beginning on March 19, 2020 and ii) a 33.8% increase in e-commerce sales over the comparable prior-year period. Store and e-commerce sales benefited from increased sales of cotton masks compared to the prior-year period, since a majority of mask sales in the prior-year began in the second quarter. We also opened seven Vera Bradley factory outlet stores over the past 12 months.</w:t>
      </w:r>
    </w:p>
    <w:p>
      <w:pPr>
        <w:spacing w:after="0" w:line="105"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i w:val="1"/>
          <w:iCs w:val="1"/>
          <w:color w:val="auto"/>
        </w:rPr>
        <w:t>VB Indirect</w:t>
      </w:r>
      <w:r>
        <w:rPr>
          <w:rFonts w:ascii="Arial" w:cs="Arial" w:eastAsia="Arial" w:hAnsi="Arial"/>
          <w:sz w:val="17"/>
          <w:szCs w:val="17"/>
          <w:color w:val="auto"/>
        </w:rPr>
        <w:t>. For the thirteen weeks ended May 1, 2021, net revenues in the VB Indirect segment increased $4.1 million, or 35.9%, to $15.3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$11.2 million in the comparable prior-year period. The increase was primarily due to an increase in orders from specialty and certain key accounts, largely related to the impacts of COVID-19 in the prior-year period which included the delay of certain product launches.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Pura Vida. </w:t>
      </w:r>
      <w:r>
        <w:rPr>
          <w:rFonts w:ascii="Arial" w:cs="Arial" w:eastAsia="Arial" w:hAnsi="Arial"/>
          <w:sz w:val="17"/>
          <w:szCs w:val="17"/>
          <w:color w:val="auto"/>
        </w:rPr>
        <w:t>For the thirteen weeks ended May 1, 2021, net revenues in the Pura Vida segment increased $5.9 million, or 27.7%, to $27.1 million, from</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$21.2 million in the comparable prior-year period. Pura Vida wholesale and e-commerce sales increased over the prior-year period. Wholesale sales were impacted by the COVID-19 pandemic in the prior-year period.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thirteen weeks ended May 1, 2021, gross profit increased $25.0 million, or 73.1%, to $59.2 million, from $34.2 million in the comparable prior-year period. As a percentage of net revenues, gross profit increased to 54.2% for the thirteen weeks ended May 1, 2021, from 49.3% in the comparable prior-year period. The prior-year period included charges for the cancellation of certain purchase orders due to COVID-19 which totaled $1.3 million and negatively impacted gross margin as a percentage of net revenues by 1.9%. The remaining increase as a percentage of net revenues was primarily due to channel mix changes and more full price selling, partially as a result of the impacts of COVID-19 in the prior-year period, which were partially offset by an increase in shipping and duty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For the thirteen weeks ended May 1, 2021, SG&amp;A expenses increased $1.1 million, or 1.9%, to $60.9 million, from $59.8 million in the comparable prior-year period. As a percentage of net revenues, SG&amp;A expenses decreased to 55.8% for the thirteen weeks ended May 1, 2021, from 86.3% in the comparable prior-year period. SG&amp;A expenses related to Vera Bradley and corporate unallocated were $48.1 million compared to $47.2 million in the comparable prior-year period. SG&amp;A expenses related to Pura Vida were $12.8 million compared to $12.6 million in the prior-year. The increase in consolidated SG&amp;A expenses for the thirteen weeks ended May 1, 2021 was primarily due to:</w:t>
      </w:r>
    </w:p>
    <w:p>
      <w:pPr>
        <w:spacing w:after="0" w:line="40" w:lineRule="exact"/>
        <w:rPr>
          <w:sz w:val="20"/>
          <w:szCs w:val="20"/>
          <w:color w:val="auto"/>
        </w:rPr>
      </w:pPr>
    </w:p>
    <w:p>
      <w:pPr>
        <w:jc w:val="both"/>
        <w:ind w:left="660" w:hanging="328"/>
        <w:spacing w:after="0" w:line="276"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Vera Bradley initiatives to reduce expenses in light of COVID-19 including the temporary furlough of certain associates; temporarily reducing the base compensation for all other salaried associates; certain expense reductions associated with the CARES Act retention credit; and reducing other non-payroll expenses including marketing that occurred in the prior-year period but did not recur in the current-year period and</w:t>
      </w:r>
    </w:p>
    <w:p>
      <w:pPr>
        <w:spacing w:after="0" w:line="26"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incentive compensation expense due to Company performance estimates compared to the prior-year period.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increases in SG&amp;A expenses were partially offset by:</w:t>
      </w:r>
    </w:p>
    <w:p>
      <w:pPr>
        <w:spacing w:after="0" w:line="6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$3.8 million of Vera Bradley store impairment charges in the prior-year period that did not recur in the current-year period;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reduction in depreciation expense primarily as a result of legacy software depreciation from the prior-year;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$1.7 million reduction of intangible asset amortization associated with the Pura Vida acquisition; and</w:t>
      </w:r>
    </w:p>
    <w:p>
      <w:pPr>
        <w:spacing w:after="0" w:line="63" w:lineRule="exact"/>
        <w:rPr>
          <w:rFonts w:ascii="Arial" w:cs="Arial" w:eastAsia="Arial" w:hAnsi="Arial"/>
          <w:sz w:val="18"/>
          <w:szCs w:val="18"/>
          <w:color w:val="auto"/>
        </w:rPr>
      </w:pPr>
    </w:p>
    <w:p>
      <w:pPr>
        <w:ind w:left="660" w:right="200" w:hanging="328"/>
        <w:spacing w:after="0" w:line="23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reduction in lease expense primarily due to ten full-line store closures during the last 12 months, the effect of lease right-of-use asset impairments recorded in the prior-year, and rent abatements received for certain retail stores during the quarter, partially offset by an increase in contingent rent expense due to increased store sales.</w:t>
      </w:r>
    </w:p>
    <w:p>
      <w:pPr>
        <w:spacing w:after="0" w:line="5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SG&amp;A expenses as a percentage of net revenues decreased primarily due to the aforementioned items, as well as SG&amp;A expense leverage associated with increased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 Income, Net</w:t>
      </w:r>
    </w:p>
    <w:p>
      <w:pPr>
        <w:spacing w:after="0" w:line="9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For the thirteen weeks ended May 1, 2021, net other loss increased $0.2 million to $0.2 million compared to net other income of $20.0 thousand in the comparable prior-year period. The increase in net other loss was primarily due to a legal settlement expense in the current-year period.</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For the thirteen weeks ended May 1, 2021, operating loss decreased $23.6 million to $(2.0) million in the current-year period, from $(25.6) million in the comparable prior-year period. As a percentage of net revenues, operating loss was (1.8)% and (36.9)% for the thirteen weeks ended May 1, 2021 and May 2, 2020, respectively. Operating loss decreased due to the factors described above.</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For the thirteen weeks ended May 1, 2021, operating income in the VB Direct segment increased $21.9 million, to $10.9 million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 of $(11.0) million in the comparable prior-year period. As a percentage of VB Direct segment net revenues, operating income in the VB Direct segment was 16.3% and operating loss of (29.8)% for the thirteen weeks ended May 1, 2021 and May 2, 2020, respectively. The increase in operating income as a percentage of VB Direct segment net revenues was primarily due to an increase in gross margin as a percentage of net revenues as described above, SG&amp;A expense leverage associated with increased sales, and a decrease in SG&amp;A expense primarily as a result of store impairment charges in the prior-year period and reductions in depreciation and lease expense in the current-year, partially offset by COVID-19-related expense savings from the prior-year period that did not recur.</w:t>
      </w:r>
    </w:p>
    <w:p>
      <w:pPr>
        <w:spacing w:after="0" w:line="1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thirteen weeks ended May 1, 2021, operating income in the VB Indirect segment increased $1.7 million, or 61.9%, to $4.5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$2.8 million in the comparable prior-year period. As a percentage of VB Indirect segment net revenues, operating income in the VB Indirect segment was 29.2% and 24.5% for the thirteen weeks ended May 1, 2021 and May 2, 2020, respectively. The increase in operating income as a percentage of VB Indirect segment net revenues was primarily due to SG&amp;A expense leverage associated with increased sales and a decrease in the bad debt provision compared to the prior-year period.</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thirteen weeks ended May 1, 2021, operating income in the Pura Vida segment increased $3.3 million to $2.5 million from 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$(0.8) million in the comparable prior-year period. As a percentage of Pura Vida segment net revenues, operating income in the Pura Vida segment was 9.3% and the operating loss was (3.8)% for the thirteen weeks ended May 1, 2021 and May 2, 2020, respectively. The increase in operating income as a percentage of Pura Vida net revenues was primarily due to SG&amp;A leverage associated with increased sales and a decrease in the intangible asset amortization expense compared to the prior-year period.</w:t>
      </w:r>
    </w:p>
    <w:p>
      <w:pPr>
        <w:spacing w:after="0" w:line="13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May 1, 2021, unallocated expenses increased $3.2 million, or 19.5%, to $19.8 million from $16.6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The increase in unallocated expenses was primarily due to prior-year period initiatives to reduce expenses in light of COVID-19 that did not recur in the current-year including the temporary furlough of certain associates; temporarily reducing the base compensation for all other salaried associates; and reducing other non-payroll expenses including marketing, as well as an increase in incentive compensation expense due to Company performance estimates. These increases in SG&amp;A expense were partially offset by a decrease in depreciation expense, as described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04" w:lineRule="exact"/>
        <w:rPr>
          <w:sz w:val="20"/>
          <w:szCs w:val="20"/>
          <w:color w:val="auto"/>
        </w:rPr>
      </w:pPr>
    </w:p>
    <w:p>
      <w:pPr>
        <w:jc w:val="both"/>
        <w:ind w:right="80"/>
        <w:spacing w:after="0" w:line="243" w:lineRule="auto"/>
        <w:rPr>
          <w:sz w:val="20"/>
          <w:szCs w:val="20"/>
          <w:color w:val="auto"/>
        </w:rPr>
      </w:pPr>
      <w:r>
        <w:rPr>
          <w:rFonts w:ascii="Arial" w:cs="Arial" w:eastAsia="Arial" w:hAnsi="Arial"/>
          <w:sz w:val="18"/>
          <w:szCs w:val="18"/>
          <w:color w:val="auto"/>
        </w:rPr>
        <w:t>The effective tax rate for the thirteen weeks ended May 1, 2021, was 25.9%, compared to 39.4% for the thirteen weeks ended May 2, 2020. The year-over year effective tax rate decrease was primarily due to the net operating loss carryback recorded in the prior-year period that did not recur in the current-year as a result of the Coronavirus Aid, Relief, and Economic Security Act (“CARES Act”) that was enacted on March 27, 2020 in response to the COVID-19 pandemic.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thirteen weeks ended May 1, 2021, net loss decreased $14.0 million to $(1.5) million from $(15.5) million in the comparable prior-year period due to the factors described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Redeemable Noncontrolling Interest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For the thirteen weeks ended May 1, 2021, net income attributable to redeemable noncontrolling interest was $0.6 million compared to net loss of</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$(0.2) million in the prior-year period. This represents the allocation of the Pura Vida net income (loss) to the noncontrolling interest. The net income (loss) was due to the factors described above in the Pura Vida operating segment.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Vera Bradley, Inc.</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thirteen weeks ended May 1, 2021, net loss attributable to Vera Bradley, Inc. decreased $13.2 million to $(2.1) million from $(15.3) million in the comparable prior-year period due to the factors described above.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04"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Our primary sources of liquidity are cash on hand and cash equivalents, investments, and cash flow from operations. We also have access to additional liquidity, if needed, through borrowings under our $75.0 million asset-based revolving credit agreement (the “Credit Agreement”). There was no debt outstanding as of May 1, 2021.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believe that cash on hand and cash equivalents, investments,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Thirteen Weeks Ended</w:t>
            </w:r>
          </w:p>
        </w:tc>
      </w:tr>
      <w:tr>
        <w:trPr>
          <w:trHeight w:val="135"/>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May 1,</w:t>
            </w:r>
          </w:p>
        </w:tc>
        <w:tc>
          <w:tcPr>
            <w:tcW w:w="300" w:type="dxa"/>
            <w:vAlign w:val="bottom"/>
          </w:tcPr>
          <w:p>
            <w:pPr>
              <w:spacing w:after="0"/>
              <w:rPr>
                <w:sz w:val="11"/>
                <w:szCs w:val="11"/>
                <w:color w:val="auto"/>
              </w:rPr>
            </w:pPr>
          </w:p>
        </w:tc>
        <w:tc>
          <w:tcPr>
            <w:tcW w:w="1140" w:type="dxa"/>
            <w:vAlign w:val="bottom"/>
          </w:tcPr>
          <w:p>
            <w:pPr>
              <w:jc w:val="center"/>
              <w:ind w:right="237"/>
              <w:spacing w:after="0" w:line="135" w:lineRule="exact"/>
              <w:rPr>
                <w:sz w:val="20"/>
                <w:szCs w:val="20"/>
                <w:color w:val="auto"/>
              </w:rPr>
            </w:pPr>
            <w:r>
              <w:rPr>
                <w:rFonts w:ascii="Arial" w:cs="Arial" w:eastAsia="Arial" w:hAnsi="Arial"/>
                <w:sz w:val="14"/>
                <w:szCs w:val="14"/>
                <w:b w:val="1"/>
                <w:bCs w:val="1"/>
                <w:color w:val="auto"/>
                <w:w w:val="98"/>
              </w:rPr>
              <w:t>May 2,</w:t>
            </w:r>
          </w:p>
        </w:tc>
      </w:tr>
      <w:tr>
        <w:trPr>
          <w:trHeight w:val="188"/>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9"/>
              </w:rPr>
              <w:t>(24,746)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ind w:left="397"/>
              <w:spacing w:after="0"/>
              <w:rPr>
                <w:sz w:val="20"/>
                <w:szCs w:val="20"/>
                <w:color w:val="auto"/>
              </w:rPr>
            </w:pPr>
            <w:r>
              <w:rPr>
                <w:rFonts w:ascii="Arial" w:cs="Arial" w:eastAsia="Arial" w:hAnsi="Arial"/>
                <w:sz w:val="18"/>
                <w:szCs w:val="18"/>
                <w:color w:val="auto"/>
                <w:w w:val="90"/>
              </w:rPr>
              <w:t>19,692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90"/>
              </w:rPr>
              <w:t>37,413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cash used in operating activities consists primarily of net income adjusted for non-cash items, including depreciation, amortization, impairment charges, deferred taxes, and stock-based compensation; and the effect of changes in assets and liabilities.</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cash used in operating activities for the thirteen weeks ended May 1, 2021 was $10.0 million compared to $24.7 million for the thirteen weeks ended May 2, 2020. The decrease in cash used in operating activities was primarily related to the change in assets and liabilities and a decrease in the net loss adjusted for non-cash items. Changes in assets and liabilities resulting in a source of cash were primarily related to an increase in trade accounts receivable collections, mostly due to the impact of COVID-19 on the prior-year period. Changes in assets and liabilities resulting in a use of cash were primarily related to the timing of payments, including rent payments which were impacted by payment deferrals in the prior-year. There was also a change in the income tax receivable due to an increased loss in the prior-year period. In addition, accrued employment costs were lower in the prior-year due to COVID-19-related salary reductions and furloughs.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10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Investing activities consist primarily of investments and capital expenditures related to new store openings, buildings, operational equipment, and information technology investments.</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used in investing activities was $0.5 million for the thirteen weeks ended May 1, 2021 compared to cash provided by investing activities of $19.7 million for the thirteen weeks ended May 2, 2020. The increase in cash used in investing activities was primarily a result of proceeds from investment activity in the prior-year period that did not recur in the current-year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2022 are expected to be approximately $8.0 million to $10.0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financing activities was $2.3 million for the thirteen weeks ended May 1, 2021 compared to cash provided by financing activities of $37.4 million for the thirteen weeks ended May 2, 2020. The increase in cash used in financing activities was primarily due to financing activities that occurred in the prior-year period but did not recur in the current-year period including borrowings of $60.0 million under our Credit Agreement, partially offset by $18.7 million for a contingent consideration payment associated with the July 2019 acquisition of Pura Vida and $3.1 million in common stock repurchases.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May 1, 2021.</w:t>
      </w:r>
    </w:p>
    <w:p>
      <w:pPr>
        <w:spacing w:after="0" w:line="26"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2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As of May 1, 2021 and January 30, 2021, the Company had no borrowings outstanding and availability of $75.0 million under the Credit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30, 2021.</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fiscal year ended January 30, 2021. There were no significant changes to any of the critical accounting policies and estimates described in the Annual Report as of May 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May 1, 2021, there was no material change in the market risks described in “Quantitative and Qualitative Disclosures About Market Risks” in the Company’s Annual Report on Form 10-K for the fiscal year ended January 30, 2021.</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May 1, 2021.</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0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alleged various violations of the California Labor Code related to wages, overtime, meal and rest breaks, non-compliant wage statements and records and other similar allegations related to employment. The Plaintiff also filed a Private Attorney General Act claim with the state of California regarding the same allegations. This case was settled in the first quarter of fiscal 2022 for an immaterial amount.</w:t>
      </w:r>
    </w:p>
    <w:p>
      <w:pPr>
        <w:spacing w:after="0" w:line="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follows, there have been no material changes to the risk factors previously set forth in the Company’s Annual Report on Form 10-K for the fiscal year ended January 30,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Losses or disruptions associated with our distribution systems could have a material adverse effect on our business and operations.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operating results depend on the orderly operation of our receiving and distribution functions, which also depends on our vendors' adherence to our shipping and receiving schedules. We may not anticipate all of the changing demands that our operating activities may impose on our receiving and distribution functions. There may also be events that are beyond our control that could cause delays in these functions, including but not limited to, public health pandemics such as COVID-19 and other catastrophic events, changing macroeconomic trends, and general disruptions or delays in shipping and receiving.</w:t>
      </w:r>
    </w:p>
    <w:p>
      <w:pPr>
        <w:spacing w:after="0" w:line="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we rely on the flow of our goods through worldwide ports on a consistent basis. Disruption at the ports could create significant risks to our business, particularly if the occurrence is during a peak import time. For example, COVID-19 has resulted in a shortage of shipping containers, the lack of available shipping vessels, capacity constraints, and a general shipping backlog. If we experience significant delays in our receipt of product, we may experience an increase in freight costs, unanticipated inventory shortages, and missed sales opportunities which could adversely affect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On November 29, 2018, the Company's board of directors approved a share repurchase plan (the “2018 Share Repurchase Program”) authorizing up to</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$50.0 million of repurchases of shares of the Company's common stock. On December 3, 2020, the 2018 Share Repurchase Program was extended through December 11, 2021. On March 20, 2020, the Company temporarily suspended the share repurchase program to conserve cash as a result of the COVID-19 pandemic. The board of directors authorized the resumption of the share repurchase program beginning on March 11,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under the program during the thirteen weeks ended May 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1"/>
                <w:szCs w:val="11"/>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1"/>
                <w:szCs w:val="11"/>
                <w:color w:val="auto"/>
              </w:rPr>
            </w:pP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35"/>
        </w:trPr>
        <w:tc>
          <w:tcPr>
            <w:tcW w:w="354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Publicly Announced Plans 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88"/>
        </w:trPr>
        <w:tc>
          <w:tcPr>
            <w:tcW w:w="3540" w:type="dxa"/>
            <w:vAlign w:val="bottom"/>
            <w:vMerge w:val="continue"/>
          </w:tcPr>
          <w:p>
            <w:pPr>
              <w:spacing w:after="0"/>
              <w:rPr>
                <w:sz w:val="16"/>
                <w:szCs w:val="16"/>
                <w:color w:val="auto"/>
              </w:rPr>
            </w:pPr>
          </w:p>
        </w:tc>
        <w:tc>
          <w:tcPr>
            <w:tcW w:w="1940" w:type="dxa"/>
            <w:vAlign w:val="bottom"/>
            <w:gridSpan w:val="2"/>
          </w:tcPr>
          <w:p>
            <w:pPr>
              <w:ind w:left="580"/>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6"/>
                <w:szCs w:val="16"/>
                <w:color w:val="auto"/>
              </w:rPr>
            </w:pPr>
          </w:p>
        </w:tc>
        <w:tc>
          <w:tcPr>
            <w:tcW w:w="178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Under the Plans or Program</w:t>
            </w:r>
          </w:p>
        </w:tc>
        <w:tc>
          <w:tcPr>
            <w:tcW w:w="0" w:type="dxa"/>
            <w:vAlign w:val="bottom"/>
          </w:tcPr>
          <w:p>
            <w:pPr>
              <w:spacing w:after="0"/>
              <w:rPr>
                <w:sz w:val="1"/>
                <w:szCs w:val="1"/>
                <w:color w:val="auto"/>
              </w:rPr>
            </w:pPr>
          </w:p>
        </w:tc>
      </w:tr>
      <w:tr>
        <w:trPr>
          <w:trHeight w:val="224"/>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31, 2021 - February 27, 2021</w:t>
            </w:r>
          </w:p>
        </w:tc>
        <w:tc>
          <w:tcPr>
            <w:tcW w:w="182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February 28, 2021 - April 3, 2021</w:t>
            </w:r>
          </w:p>
        </w:tc>
        <w:tc>
          <w:tcPr>
            <w:tcW w:w="19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40" w:type="dxa"/>
            <w:vAlign w:val="bottom"/>
          </w:tcPr>
          <w:p>
            <w:pPr>
              <w:ind w:left="1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4, 2021 - May 1, 2021</w:t>
            </w:r>
          </w:p>
        </w:tc>
        <w:tc>
          <w:tcPr>
            <w:tcW w:w="19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2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7920" w:type="dxa"/>
            <w:vAlign w:val="bottom"/>
            <w:gridSpan w:val="13"/>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380" w:type="dxa"/>
            <w:vAlign w:val="bottom"/>
            <w:gridSpan w:val="14"/>
          </w:tcPr>
          <w:p>
            <w:pPr>
              <w:ind w:left="12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7"/>
              </w:rPr>
              <w:t>No.</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gridSpan w:val="2"/>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0" w:type="dxa"/>
            <w:vAlign w:val="bottom"/>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Fiscal 2022 Annual Incentive Compensation Plan (Executives)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gridSpan w:val="2"/>
          </w:tcPr>
          <w:p>
            <w:pPr>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gridSpan w:val="1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 xml:space="preserve">Form of Performance-Based Award Agreement under the </w:t>
              </w:r>
            </w:hyperlink>
            <w:r>
              <w:rPr>
                <w:rFonts w:ascii="Arial" w:cs="Arial" w:eastAsia="Arial" w:hAnsi="Arial"/>
                <w:sz w:val="18"/>
                <w:szCs w:val="18"/>
                <w:color w:val="0000FF"/>
              </w:rPr>
              <w:t xml:space="preserve">2020 </w:t>
            </w:r>
            <w:hyperlink w:anchor="page45">
              <w:r>
                <w:rPr>
                  <w:rFonts w:ascii="Arial" w:cs="Arial" w:eastAsia="Arial" w:hAnsi="Arial"/>
                  <w:sz w:val="18"/>
                  <w:szCs w:val="18"/>
                  <w:color w:val="0000FF"/>
                </w:rPr>
                <w:t>Equity and Incentive Plan</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Borders>
              <w:top w:val="single" w:sz="8" w:color="0000FF"/>
            </w:tcBorders>
            <w:gridSpan w:val="2"/>
          </w:tcPr>
          <w:p>
            <w:pPr>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40" w:type="dxa"/>
            <w:vAlign w:val="bottom"/>
            <w:tcBorders>
              <w:top w:val="single" w:sz="8" w:color="0000FF"/>
            </w:tcBorders>
            <w:gridSpan w:val="8"/>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Form of Restricted Stock Unit/Performance Unit Terms and Conditions</w:t>
              </w:r>
            </w:hyperlink>
          </w:p>
        </w:tc>
        <w:tc>
          <w:tcPr>
            <w:tcW w:w="11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5"/>
              </w:rPr>
            </w:pPr>
            <w:hyperlink w:anchor="page5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Form of Outside Director Restricted Stock Unit Terms and Conditions</w:t>
              </w:r>
            </w:hyperlink>
          </w:p>
        </w:tc>
        <w:tc>
          <w:tcPr>
            <w:tcW w:w="80" w:type="dxa"/>
            <w:vAlign w:val="bottom"/>
            <w:tcBorders>
              <w:top w:val="single" w:sz="8" w:color="0000FF"/>
            </w:tcBorders>
          </w:tcPr>
          <w:p>
            <w:pPr>
              <w:spacing w:after="0"/>
              <w:rPr>
                <w:sz w:val="24"/>
                <w:szCs w:val="24"/>
                <w:color w:val="auto"/>
              </w:rPr>
            </w:pPr>
          </w:p>
        </w:tc>
        <w:tc>
          <w:tcPr>
            <w:tcW w:w="2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0" w:type="dxa"/>
            <w:vAlign w:val="bottom"/>
            <w:gridSpan w:val="3"/>
          </w:tcPr>
          <w:p>
            <w:pPr>
              <w:ind w:left="20"/>
              <w:spacing w:after="0"/>
              <w:rPr>
                <w:rFonts w:ascii="Arial" w:cs="Arial" w:eastAsia="Arial" w:hAnsi="Arial"/>
                <w:sz w:val="18"/>
                <w:szCs w:val="18"/>
                <w:color w:val="0000FF"/>
              </w:rPr>
            </w:pPr>
            <w:hyperlink r:id="rId5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gridSpan w:val="10"/>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Amended and Restated Articles of Incorporation (Incorporated by reference to Exhibit 3.1 to the Current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1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Report on Form 8-K filed on June 8, 2021)</w:t>
              </w:r>
            </w:hyperlink>
          </w:p>
        </w:tc>
        <w:tc>
          <w:tcPr>
            <w:tcW w:w="444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5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CEO Section 302 Certification</w:t>
              </w:r>
            </w:hyperlink>
          </w:p>
        </w:tc>
        <w:tc>
          <w:tcPr>
            <w:tcW w:w="53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gridSpan w:val="2"/>
          </w:tcPr>
          <w:p>
            <w:pPr>
              <w:spacing w:after="0"/>
              <w:rPr>
                <w:rFonts w:ascii="Arial" w:cs="Arial" w:eastAsia="Arial" w:hAnsi="Arial"/>
                <w:sz w:val="18"/>
                <w:szCs w:val="18"/>
                <w:color w:val="0000FF"/>
                <w:w w:val="85"/>
              </w:rPr>
            </w:pPr>
            <w:hyperlink w:anchor="page5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gridSpan w:val="10"/>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CFO Section 302 Certification</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top w:val="single" w:sz="8" w:color="0000FF"/>
            </w:tcBorders>
            <w:gridSpan w:val="2"/>
          </w:tcPr>
          <w:p>
            <w:pPr>
              <w:spacing w:after="0"/>
              <w:rPr>
                <w:rFonts w:ascii="Arial" w:cs="Arial" w:eastAsia="Arial" w:hAnsi="Arial"/>
                <w:sz w:val="18"/>
                <w:szCs w:val="18"/>
                <w:color w:val="0000FF"/>
                <w:w w:val="85"/>
              </w:rPr>
            </w:pPr>
            <w:hyperlink w:anchor="page5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Borders>
              <w:top w:val="single" w:sz="8" w:color="0000FF"/>
            </w:tcBorders>
            <w:gridSpan w:val="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Section 906 Certifications*</w:t>
              </w:r>
            </w:hyperlink>
          </w:p>
        </w:tc>
        <w:tc>
          <w:tcPr>
            <w:tcW w:w="54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w w:val="95"/>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3"/>
          </w:tcPr>
          <w:p>
            <w:pPr>
              <w:ind w:left="20"/>
              <w:spacing w:after="0"/>
              <w:rPr>
                <w:sz w:val="20"/>
                <w:szCs w:val="20"/>
                <w:color w:val="auto"/>
              </w:rPr>
            </w:pPr>
            <w:r>
              <w:rPr>
                <w:rFonts w:ascii="Arial" w:cs="Arial" w:eastAsia="Arial" w:hAnsi="Arial"/>
                <w:sz w:val="18"/>
                <w:szCs w:val="18"/>
                <w:color w:val="auto"/>
                <w:w w:val="99"/>
              </w:rPr>
              <w:t>104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20" w:hanging="694"/>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Vera Bradley, Inc.</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99"/>
        </w:trPr>
        <w:tc>
          <w:tcPr>
            <w:tcW w:w="5640" w:type="dxa"/>
            <w:vAlign w:val="bottom"/>
          </w:tcPr>
          <w:p>
            <w:pPr>
              <w:spacing w:after="0"/>
              <w:rPr>
                <w:sz w:val="20"/>
                <w:szCs w:val="20"/>
                <w:color w:val="auto"/>
              </w:rPr>
            </w:pPr>
            <w:r>
              <w:rPr>
                <w:rFonts w:ascii="Arial" w:cs="Arial" w:eastAsia="Arial" w:hAnsi="Arial"/>
                <w:sz w:val="18"/>
                <w:szCs w:val="18"/>
                <w:color w:val="auto"/>
              </w:rPr>
              <w:t>Date: June 9, 2021</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Enwright</w:t>
            </w:r>
          </w:p>
        </w:tc>
      </w:tr>
      <w:tr>
        <w:trPr>
          <w:trHeight w:val="222"/>
        </w:trPr>
        <w:tc>
          <w:tcPr>
            <w:tcW w:w="56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John Enwright</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Officer Annual Incentive Compensation Plan</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2022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 Overview</w:t>
      </w:r>
    </w:p>
    <w:p>
      <w:pPr>
        <w:spacing w:after="0" w:line="22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Awards under this Annual Incentive Compensation Plan (“Annual Plan”) are granted under and governed by the terms and conditions of the Vera Bradley, Inc. 2020 Equity and Incentive Plan (the “2020 Plan”), as amended. Any term capitalized herein but not defined will have the meaning set forth in the 2020 Plan.</w:t>
      </w:r>
    </w:p>
    <w:p>
      <w:pPr>
        <w:spacing w:after="0" w:line="202"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This Annual Plan is designed to give each eligible Participant (as defined in the attached Administrative Guidelines) an opportunity to share in the Company's success for the fiscal year ending January 29, 2022 (the “Performance Period”). The incentive is intended to be an inducement for future faithful service as well as a reward for performance. The incentive opportunity for the Performance Period is based on a percentage of each Participant's Base Salary (as defined herein) and will be earned based on three independent performance measures: (1) Brand/Enterprise Performance (made up of net revenue and operating income), (2) Brand/ Enterprise Strategic Objectives, and (3) Individual Financial Goals. Collectively, these are referred to as the “FY22 Performance Measures.”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Incentive Opportunity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incentive opportunity for each Participant is determined based on a percentage of each Participant's Base Salary (as defined below) based upon the</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Participant’s</w:t>
            </w:r>
          </w:p>
        </w:tc>
        <w:tc>
          <w:tcPr>
            <w:tcW w:w="1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60" w:type="dxa"/>
            <w:vAlign w:val="bottom"/>
          </w:tcPr>
          <w:p>
            <w:pPr>
              <w:ind w:left="1340"/>
              <w:spacing w:after="0"/>
              <w:rPr>
                <w:sz w:val="20"/>
                <w:szCs w:val="20"/>
                <w:color w:val="auto"/>
              </w:rPr>
            </w:pPr>
            <w:r>
              <w:rPr>
                <w:rFonts w:ascii="Arial" w:cs="Arial" w:eastAsia="Arial" w:hAnsi="Arial"/>
                <w:sz w:val="18"/>
                <w:szCs w:val="18"/>
                <w:color w:val="auto"/>
                <w:w w:val="90"/>
              </w:rPr>
              <w:t>level:</w:t>
            </w:r>
          </w:p>
        </w:tc>
      </w:tr>
      <w:tr>
        <w:trPr>
          <w:trHeight w:val="268"/>
        </w:trPr>
        <w:tc>
          <w:tcPr>
            <w:tcW w:w="6540" w:type="dxa"/>
            <w:vAlign w:val="bottom"/>
            <w:tcBorders>
              <w:bottom w:val="single" w:sz="8" w:color="auto"/>
            </w:tcBorders>
          </w:tcPr>
          <w:p>
            <w:pPr>
              <w:spacing w:after="0"/>
              <w:rPr>
                <w:sz w:val="23"/>
                <w:szCs w:val="23"/>
                <w:color w:val="auto"/>
              </w:rPr>
            </w:pPr>
          </w:p>
        </w:tc>
        <w:tc>
          <w:tcPr>
            <w:tcW w:w="4720" w:type="dxa"/>
            <w:vAlign w:val="bottom"/>
            <w:tcBorders>
              <w:bottom w:val="single" w:sz="8" w:color="auto"/>
            </w:tcBorders>
            <w:gridSpan w:val="3"/>
          </w:tcPr>
          <w:p>
            <w:pPr>
              <w:spacing w:after="0"/>
              <w:rPr>
                <w:sz w:val="23"/>
                <w:szCs w:val="23"/>
                <w:color w:val="auto"/>
              </w:rPr>
            </w:pPr>
          </w:p>
        </w:tc>
      </w:tr>
      <w:tr>
        <w:trPr>
          <w:trHeight w:val="232"/>
        </w:trPr>
        <w:tc>
          <w:tcPr>
            <w:tcW w:w="6540" w:type="dxa"/>
            <w:vAlign w:val="bottom"/>
            <w:tcBorders>
              <w:left w:val="single" w:sz="8" w:color="auto"/>
              <w:bottom w:val="single" w:sz="8" w:color="auto"/>
              <w:right w:val="single" w:sz="8" w:color="auto"/>
            </w:tcBorders>
          </w:tcPr>
          <w:p>
            <w:pPr>
              <w:spacing w:after="0"/>
              <w:rPr>
                <w:sz w:val="20"/>
                <w:szCs w:val="20"/>
                <w:color w:val="auto"/>
              </w:rPr>
            </w:pPr>
          </w:p>
        </w:tc>
        <w:tc>
          <w:tcPr>
            <w:tcW w:w="47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Incentive Opportunity as a Percentage of Base Salary</w:t>
            </w:r>
          </w:p>
        </w:tc>
      </w:tr>
      <w:tr>
        <w:trPr>
          <w:trHeight w:val="236"/>
        </w:trPr>
        <w:tc>
          <w:tcPr>
            <w:tcW w:w="6540" w:type="dxa"/>
            <w:vAlign w:val="bottom"/>
            <w:tcBorders>
              <w:left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8"/>
                <w:szCs w:val="18"/>
                <w:b w:val="1"/>
                <w:bCs w:val="1"/>
                <w:color w:val="auto"/>
              </w:rPr>
              <w:t>Participant Level</w:t>
            </w:r>
          </w:p>
        </w:tc>
        <w:tc>
          <w:tcPr>
            <w:tcW w:w="174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Threshold</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76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Excellence</w:t>
            </w:r>
          </w:p>
        </w:tc>
      </w:tr>
      <w:tr>
        <w:trPr>
          <w:trHeight w:val="234"/>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37.5%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37"/>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Brand President</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26.25%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140%</w:t>
            </w:r>
          </w:p>
        </w:tc>
      </w:tr>
      <w:tr>
        <w:trPr>
          <w:trHeight w:val="236"/>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Officer II</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18.75%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7"/>
        </w:trPr>
        <w:tc>
          <w:tcPr>
            <w:tcW w:w="6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Officer I</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80%</w:t>
            </w:r>
          </w:p>
        </w:tc>
      </w:tr>
    </w:tbl>
    <w:p>
      <w:pPr>
        <w:spacing w:after="0" w:line="31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pacing w:after="0" w:line="19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Each Participant will have the opportunity to earn the incentive set forth above based on the level of achievement against the FY22 Performance Measures. The applicability and weighting of the FY22 Performance Measures relative to the total incentive opportunity is also based upon the Participant’s level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 Bradley/Pura Vida Brand - 80% Brand; 20% Enterprise</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900" w:type="dxa"/>
            <w:vAlign w:val="bottom"/>
            <w:tcBorders>
              <w:top w:val="single" w:sz="8" w:color="auto"/>
              <w:left w:val="single" w:sz="8" w:color="auto"/>
              <w:right w:val="single" w:sz="8" w:color="auto"/>
            </w:tcBorders>
          </w:tcPr>
          <w:p>
            <w:pPr>
              <w:spacing w:after="0"/>
              <w:rPr>
                <w:sz w:val="24"/>
                <w:szCs w:val="24"/>
                <w:color w:val="auto"/>
              </w:rPr>
            </w:pPr>
          </w:p>
        </w:tc>
        <w:tc>
          <w:tcPr>
            <w:tcW w:w="836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22"/>
                <w:szCs w:val="22"/>
                <w:color w:val="auto"/>
                <w:w w:val="89"/>
              </w:rPr>
              <w:t>As a Percentage of Total Target Incentive Opportunity Shown Above</w:t>
            </w:r>
          </w:p>
        </w:tc>
      </w:tr>
      <w:tr>
        <w:trPr>
          <w:trHeight w:val="44"/>
        </w:trPr>
        <w:tc>
          <w:tcPr>
            <w:tcW w:w="2900" w:type="dxa"/>
            <w:vAlign w:val="bottom"/>
            <w:tcBorders>
              <w:left w:val="single" w:sz="8" w:color="auto"/>
              <w:right w:val="single" w:sz="8" w:color="auto"/>
            </w:tcBorders>
          </w:tcPr>
          <w:p>
            <w:pPr>
              <w:spacing w:after="0"/>
              <w:rPr>
                <w:sz w:val="3"/>
                <w:szCs w:val="3"/>
                <w:color w:val="auto"/>
              </w:rPr>
            </w:pPr>
          </w:p>
        </w:tc>
        <w:tc>
          <w:tcPr>
            <w:tcW w:w="3340" w:type="dxa"/>
            <w:vAlign w:val="bottom"/>
            <w:tcBorders>
              <w:bottom w:val="single" w:sz="8" w:color="auto"/>
            </w:tcBorders>
            <w:gridSpan w:val="2"/>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78"/>
        </w:trPr>
        <w:tc>
          <w:tcPr>
            <w:tcW w:w="2900" w:type="dxa"/>
            <w:vAlign w:val="bottom"/>
            <w:tcBorders>
              <w:left w:val="single" w:sz="8" w:color="auto"/>
              <w:right w:val="single" w:sz="8" w:color="auto"/>
            </w:tcBorders>
          </w:tcPr>
          <w:p>
            <w:pPr>
              <w:spacing w:after="0"/>
              <w:rPr>
                <w:sz w:val="15"/>
                <w:szCs w:val="15"/>
                <w:color w:val="auto"/>
              </w:rPr>
            </w:pPr>
          </w:p>
        </w:tc>
        <w:tc>
          <w:tcPr>
            <w:tcW w:w="3340" w:type="dxa"/>
            <w:vAlign w:val="bottom"/>
            <w:tcBorders>
              <w:right w:val="single" w:sz="8" w:color="auto"/>
            </w:tcBorders>
            <w:gridSpan w:val="2"/>
          </w:tcPr>
          <w:p>
            <w:pPr>
              <w:ind w:left="940"/>
              <w:spacing w:after="0" w:line="177" w:lineRule="exact"/>
              <w:rPr>
                <w:sz w:val="20"/>
                <w:szCs w:val="20"/>
                <w:color w:val="auto"/>
              </w:rPr>
            </w:pPr>
            <w:r>
              <w:rPr>
                <w:rFonts w:ascii="Arial" w:cs="Arial" w:eastAsia="Arial" w:hAnsi="Arial"/>
                <w:sz w:val="18"/>
                <w:szCs w:val="18"/>
                <w:b w:val="1"/>
                <w:bCs w:val="1"/>
                <w:color w:val="auto"/>
              </w:rPr>
              <w:t>Brand Performance</w:t>
            </w:r>
          </w:p>
        </w:tc>
        <w:tc>
          <w:tcPr>
            <w:tcW w:w="16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2"/>
              </w:rPr>
              <w:t>Enterprise</w:t>
            </w:r>
          </w:p>
        </w:tc>
        <w:tc>
          <w:tcPr>
            <w:tcW w:w="16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0"/>
              </w:rPr>
              <w:t>Brand Strategic</w:t>
            </w:r>
          </w:p>
        </w:tc>
        <w:tc>
          <w:tcPr>
            <w:tcW w:w="16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5"/>
              </w:rPr>
              <w:t>Individual</w:t>
            </w:r>
          </w:p>
        </w:tc>
      </w:tr>
      <w:tr>
        <w:trPr>
          <w:trHeight w:val="241"/>
        </w:trPr>
        <w:tc>
          <w:tcPr>
            <w:tcW w:w="290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Performance</w:t>
            </w:r>
          </w:p>
        </w:tc>
        <w:tc>
          <w:tcPr>
            <w:tcW w:w="166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Objectives</w:t>
            </w:r>
          </w:p>
        </w:tc>
        <w:tc>
          <w:tcPr>
            <w:tcW w:w="168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Financial Goals</w:t>
            </w:r>
          </w:p>
        </w:tc>
      </w:tr>
      <w:tr>
        <w:trPr>
          <w:trHeight w:val="234"/>
        </w:trPr>
        <w:tc>
          <w:tcPr>
            <w:tcW w:w="29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Participant Level</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Net Revenue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Operating Income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Operating Income</w:t>
            </w:r>
          </w:p>
        </w:tc>
        <w:tc>
          <w:tcPr>
            <w:tcW w:w="166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r>
      <w:tr>
        <w:trPr>
          <w:trHeight w:val="184"/>
        </w:trPr>
        <w:tc>
          <w:tcPr>
            <w:tcW w:w="2900" w:type="dxa"/>
            <w:vAlign w:val="bottom"/>
            <w:tcBorders>
              <w:left w:val="single" w:sz="8" w:color="auto"/>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r>
      <w:tr>
        <w:trPr>
          <w:trHeight w:val="230"/>
        </w:trPr>
        <w:tc>
          <w:tcPr>
            <w:tcW w:w="290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9"/>
              </w:rPr>
              <w:t>Brand President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37"/>
        </w:trPr>
        <w:tc>
          <w:tcPr>
            <w:tcW w:w="290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5"/>
              </w:rPr>
              <w:t>Executive Officer II</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36"/>
        </w:trPr>
        <w:tc>
          <w:tcPr>
            <w:tcW w:w="290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5"/>
              </w:rPr>
              <w:t>Executive Officer I</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bl>
    <w:p>
      <w:pPr>
        <w:sectPr>
          <w:pgSz w:w="11900" w:h="16838" w:orient="portrait"/>
          <w:cols w:equalWidth="0" w:num="1">
            <w:col w:w="11260"/>
          </w:cols>
          <w:pgMar w:left="320" w:top="1404"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Enterprise - 100% Enterprise Performance; 0% Brand Performance</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840" w:type="dxa"/>
            <w:vAlign w:val="bottom"/>
            <w:tcBorders>
              <w:top w:val="single" w:sz="8" w:color="auto"/>
              <w:left w:val="single" w:sz="8" w:color="auto"/>
              <w:right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7220" w:type="dxa"/>
            <w:vAlign w:val="bottom"/>
            <w:tcBorders>
              <w:top w:val="single" w:sz="8" w:color="auto"/>
              <w:bottom w:val="single" w:sz="8" w:color="auto"/>
              <w:right w:val="single" w:sz="8" w:color="auto"/>
            </w:tcBorders>
            <w:gridSpan w:val="6"/>
          </w:tcPr>
          <w:p>
            <w:pPr>
              <w:jc w:val="center"/>
              <w:ind w:right="1150"/>
              <w:spacing w:after="0"/>
              <w:rPr>
                <w:sz w:val="20"/>
                <w:szCs w:val="20"/>
                <w:color w:val="auto"/>
              </w:rPr>
            </w:pPr>
            <w:r>
              <w:rPr>
                <w:rFonts w:ascii="Arial" w:cs="Arial" w:eastAsia="Arial" w:hAnsi="Arial"/>
                <w:sz w:val="22"/>
                <w:szCs w:val="22"/>
                <w:color w:val="auto"/>
                <w:w w:val="89"/>
              </w:rPr>
              <w:t>As a Percentage of Total Target Incentive Opportunity Shown Above</w:t>
            </w:r>
          </w:p>
        </w:tc>
        <w:tc>
          <w:tcPr>
            <w:tcW w:w="0" w:type="dxa"/>
            <w:vAlign w:val="bottom"/>
          </w:tcPr>
          <w:p>
            <w:pPr>
              <w:spacing w:after="0"/>
              <w:rPr>
                <w:sz w:val="1"/>
                <w:szCs w:val="1"/>
                <w:color w:val="auto"/>
              </w:rPr>
            </w:pPr>
          </w:p>
        </w:tc>
      </w:tr>
      <w:tr>
        <w:trPr>
          <w:trHeight w:val="184"/>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gridSpan w:val="3"/>
          </w:tcPr>
          <w:p>
            <w:pPr>
              <w:jc w:val="center"/>
              <w:spacing w:after="0" w:line="184" w:lineRule="exact"/>
              <w:rPr>
                <w:sz w:val="20"/>
                <w:szCs w:val="20"/>
                <w:color w:val="auto"/>
              </w:rPr>
            </w:pPr>
            <w:r>
              <w:rPr>
                <w:rFonts w:ascii="Arial" w:cs="Arial" w:eastAsia="Arial" w:hAnsi="Arial"/>
                <w:sz w:val="18"/>
                <w:szCs w:val="18"/>
                <w:b w:val="1"/>
                <w:bCs w:val="1"/>
                <w:color w:val="auto"/>
                <w:w w:val="96"/>
              </w:rPr>
              <w:t>Brand</w:t>
            </w:r>
          </w:p>
        </w:tc>
        <w:tc>
          <w:tcPr>
            <w:tcW w:w="2820" w:type="dxa"/>
            <w:vAlign w:val="bottom"/>
            <w:tcBorders>
              <w:right w:val="single" w:sz="8" w:color="auto"/>
            </w:tcBorders>
            <w:gridSpan w:val="2"/>
          </w:tcPr>
          <w:p>
            <w:pPr>
              <w:jc w:val="center"/>
              <w:spacing w:after="0" w:line="184" w:lineRule="exact"/>
              <w:rPr>
                <w:sz w:val="20"/>
                <w:szCs w:val="20"/>
                <w:color w:val="auto"/>
              </w:rPr>
            </w:pPr>
            <w:r>
              <w:rPr>
                <w:rFonts w:ascii="Arial" w:cs="Arial" w:eastAsia="Arial" w:hAnsi="Arial"/>
                <w:sz w:val="18"/>
                <w:szCs w:val="18"/>
                <w:b w:val="1"/>
                <w:bCs w:val="1"/>
                <w:color w:val="auto"/>
                <w:w w:val="91"/>
              </w:rPr>
              <w:t>Enterprise Performance</w:t>
            </w:r>
          </w:p>
        </w:tc>
        <w:tc>
          <w:tcPr>
            <w:tcW w:w="14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2"/>
              </w:rPr>
              <w:t>Enterprise</w:t>
            </w:r>
          </w:p>
        </w:tc>
        <w:tc>
          <w:tcPr>
            <w:tcW w:w="14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5"/>
              </w:rPr>
              <w:t>Individual</w:t>
            </w:r>
          </w:p>
        </w:tc>
        <w:tc>
          <w:tcPr>
            <w:tcW w:w="0" w:type="dxa"/>
            <w:vAlign w:val="bottom"/>
          </w:tcPr>
          <w:p>
            <w:pPr>
              <w:spacing w:after="0"/>
              <w:rPr>
                <w:sz w:val="1"/>
                <w:szCs w:val="1"/>
                <w:color w:val="auto"/>
              </w:rPr>
            </w:pPr>
          </w:p>
        </w:tc>
      </w:tr>
      <w:tr>
        <w:trPr>
          <w:trHeight w:val="189"/>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90"/>
              </w:rPr>
              <w:t>Performance</w:t>
            </w:r>
          </w:p>
        </w:tc>
        <w:tc>
          <w:tcPr>
            <w:tcW w:w="140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8"/>
              </w:rPr>
              <w:t>Strategic</w:t>
            </w:r>
          </w:p>
        </w:tc>
        <w:tc>
          <w:tcPr>
            <w:tcW w:w="14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Financial Goals</w:t>
            </w:r>
          </w:p>
        </w:tc>
        <w:tc>
          <w:tcPr>
            <w:tcW w:w="0" w:type="dxa"/>
            <w:vAlign w:val="bottom"/>
          </w:tcPr>
          <w:p>
            <w:pPr>
              <w:spacing w:after="0"/>
              <w:rPr>
                <w:sz w:val="1"/>
                <w:szCs w:val="1"/>
                <w:color w:val="auto"/>
              </w:rPr>
            </w:pPr>
          </w:p>
        </w:tc>
      </w:tr>
      <w:tr>
        <w:trPr>
          <w:trHeight w:val="59"/>
        </w:trPr>
        <w:tc>
          <w:tcPr>
            <w:tcW w:w="2840" w:type="dxa"/>
            <w:vAlign w:val="bottom"/>
            <w:tcBorders>
              <w:left w:val="single" w:sz="8" w:color="auto"/>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Objectives</w:t>
            </w: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840" w:type="dxa"/>
            <w:vAlign w:val="bottom"/>
            <w:tcBorders>
              <w:left w:val="single" w:sz="8" w:color="auto"/>
              <w:right w:val="single" w:sz="8" w:color="auto"/>
            </w:tcBorders>
          </w:tcPr>
          <w:p>
            <w:pPr>
              <w:ind w:left="760"/>
              <w:spacing w:after="0" w:line="177" w:lineRule="exact"/>
              <w:rPr>
                <w:sz w:val="20"/>
                <w:szCs w:val="20"/>
                <w:color w:val="auto"/>
              </w:rPr>
            </w:pPr>
            <w:r>
              <w:rPr>
                <w:rFonts w:ascii="Arial" w:cs="Arial" w:eastAsia="Arial" w:hAnsi="Arial"/>
                <w:sz w:val="18"/>
                <w:szCs w:val="18"/>
                <w:b w:val="1"/>
                <w:bCs w:val="1"/>
                <w:color w:val="auto"/>
              </w:rPr>
              <w:t>Participant Level</w:t>
            </w:r>
          </w:p>
        </w:tc>
        <w:tc>
          <w:tcPr>
            <w:tcW w:w="1200" w:type="dxa"/>
            <w:vAlign w:val="bottom"/>
          </w:tcPr>
          <w:p>
            <w:pPr>
              <w:jc w:val="center"/>
              <w:ind w:left="90"/>
              <w:spacing w:after="0" w:line="177" w:lineRule="exact"/>
              <w:rPr>
                <w:sz w:val="20"/>
                <w:szCs w:val="20"/>
                <w:color w:val="auto"/>
              </w:rPr>
            </w:pPr>
            <w:r>
              <w:rPr>
                <w:rFonts w:ascii="Arial" w:cs="Arial" w:eastAsia="Arial" w:hAnsi="Arial"/>
                <w:sz w:val="18"/>
                <w:szCs w:val="18"/>
                <w:b w:val="1"/>
                <w:bCs w:val="1"/>
                <w:color w:val="auto"/>
                <w:w w:val="89"/>
              </w:rPr>
              <w:t>Net Revenue</w:t>
            </w:r>
          </w:p>
        </w:tc>
        <w:tc>
          <w:tcPr>
            <w:tcW w:w="2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1"/>
              </w:rPr>
              <w:t>Operating</w:t>
            </w:r>
          </w:p>
        </w:tc>
        <w:tc>
          <w:tcPr>
            <w:tcW w:w="14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9"/>
              </w:rPr>
              <w:t>Net Revenue</w:t>
            </w:r>
          </w:p>
        </w:tc>
        <w:tc>
          <w:tcPr>
            <w:tcW w:w="14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4"/>
              </w:rPr>
              <w:t>Operating</w:t>
            </w:r>
          </w:p>
        </w:tc>
        <w:tc>
          <w:tcPr>
            <w:tcW w:w="1400" w:type="dxa"/>
            <w:vAlign w:val="bottom"/>
            <w:tcBorders>
              <w:right w:val="single" w:sz="8" w:color="auto"/>
            </w:tcBorders>
            <w:vMerge w:val="continue"/>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w:t>
            </w:r>
          </w:p>
        </w:tc>
        <w:tc>
          <w:tcPr>
            <w:tcW w:w="14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Chief Executive Officer</w:t>
            </w: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0%</w:t>
            </w: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36"/>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Officer II</w:t>
            </w: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0%</w:t>
            </w: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37"/>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Executive Officer I</w:t>
            </w: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0%</w:t>
            </w: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Enterprise Financial Performance</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Payouts for Financial Performance are based on meeting two independent financial metrics, which are net revenue and operating income. Assuming at least threshold levels of performance against the Performance goals are met during the Performance Period, the actual payout levels will range from 25%-200% of target. The actual amount of Financial Performance goals is considered to be confidential information and is not included in this document, but can be obtained from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40575" cy="1551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40575" cy="1551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84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Net Revenue Performance Level</w:t>
            </w:r>
          </w:p>
        </w:tc>
        <w:tc>
          <w:tcPr>
            <w:tcW w:w="642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Payout as a Percentage of the Portion of Incentive Tied to Corporate</w:t>
            </w:r>
          </w:p>
        </w:tc>
      </w:tr>
      <w:tr>
        <w:trPr>
          <w:trHeight w:val="241"/>
        </w:trPr>
        <w:tc>
          <w:tcPr>
            <w:tcW w:w="4840" w:type="dxa"/>
            <w:vAlign w:val="bottom"/>
            <w:tcBorders>
              <w:bottom w:val="single" w:sz="8" w:color="auto"/>
            </w:tcBorders>
          </w:tcPr>
          <w:p>
            <w:pPr>
              <w:spacing w:after="0"/>
              <w:rPr>
                <w:sz w:val="20"/>
                <w:szCs w:val="20"/>
                <w:color w:val="auto"/>
              </w:rPr>
            </w:pPr>
          </w:p>
        </w:tc>
        <w:tc>
          <w:tcPr>
            <w:tcW w:w="64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3"/>
              </w:rPr>
              <w:t>Performance*</w:t>
            </w:r>
          </w:p>
        </w:tc>
      </w:tr>
      <w:tr>
        <w:trPr>
          <w:trHeight w:val="237"/>
        </w:trPr>
        <w:tc>
          <w:tcPr>
            <w:tcW w:w="484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9"/>
              </w:rPr>
              <w:t>Threshold</w:t>
            </w:r>
          </w:p>
        </w:tc>
        <w:tc>
          <w:tcPr>
            <w:tcW w:w="64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4"/>
              </w:rPr>
              <w:t>25%</w:t>
            </w:r>
          </w:p>
        </w:tc>
      </w:tr>
      <w:tr>
        <w:trPr>
          <w:trHeight w:val="236"/>
        </w:trPr>
        <w:tc>
          <w:tcPr>
            <w:tcW w:w="48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8"/>
              </w:rPr>
              <w:t>Target</w:t>
            </w:r>
          </w:p>
        </w:tc>
        <w:tc>
          <w:tcPr>
            <w:tcW w:w="64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1"/>
              </w:rPr>
              <w:t>100%</w:t>
            </w:r>
          </w:p>
        </w:tc>
      </w:tr>
      <w:tr>
        <w:trPr>
          <w:trHeight w:val="230"/>
        </w:trPr>
        <w:tc>
          <w:tcPr>
            <w:tcW w:w="4840" w:type="dxa"/>
            <w:vAlign w:val="bottom"/>
          </w:tcPr>
          <w:p>
            <w:pPr>
              <w:jc w:val="center"/>
              <w:ind w:left="530"/>
              <w:spacing w:after="0"/>
              <w:rPr>
                <w:sz w:val="20"/>
                <w:szCs w:val="20"/>
                <w:color w:val="auto"/>
              </w:rPr>
            </w:pPr>
            <w:r>
              <w:rPr>
                <w:rFonts w:ascii="Arial" w:cs="Arial" w:eastAsia="Arial" w:hAnsi="Arial"/>
                <w:sz w:val="18"/>
                <w:szCs w:val="18"/>
                <w:color w:val="auto"/>
                <w:w w:val="89"/>
              </w:rPr>
              <w:t>Excellence</w:t>
            </w:r>
          </w:p>
        </w:tc>
        <w:tc>
          <w:tcPr>
            <w:tcW w:w="6420" w:type="dxa"/>
            <w:vAlign w:val="bottom"/>
          </w:tcPr>
          <w:p>
            <w:pPr>
              <w:jc w:val="center"/>
              <w:ind w:left="510"/>
              <w:spacing w:after="0"/>
              <w:rPr>
                <w:sz w:val="20"/>
                <w:szCs w:val="20"/>
                <w:color w:val="auto"/>
              </w:rPr>
            </w:pPr>
            <w:r>
              <w:rPr>
                <w:rFonts w:ascii="Arial" w:cs="Arial" w:eastAsia="Arial" w:hAnsi="Arial"/>
                <w:sz w:val="18"/>
                <w:szCs w:val="18"/>
                <w:color w:val="auto"/>
                <w:w w:val="91"/>
              </w:rPr>
              <w:t>200%</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Operating Income Performance Level</w:t>
            </w:r>
          </w:p>
        </w:tc>
        <w:tc>
          <w:tcPr>
            <w:tcW w:w="630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Payout as a Percentage of the Portion of Incentive Tied to Corporate</w:t>
            </w:r>
          </w:p>
        </w:tc>
      </w:tr>
      <w:tr>
        <w:trPr>
          <w:trHeight w:val="241"/>
        </w:trPr>
        <w:tc>
          <w:tcPr>
            <w:tcW w:w="496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3"/>
              </w:rPr>
              <w:t>Performance*</w:t>
            </w:r>
          </w:p>
        </w:tc>
      </w:tr>
      <w:tr>
        <w:trPr>
          <w:trHeight w:val="237"/>
        </w:trPr>
        <w:tc>
          <w:tcPr>
            <w:tcW w:w="49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9"/>
              </w:rPr>
              <w:t>Threshold</w:t>
            </w:r>
          </w:p>
        </w:tc>
        <w:tc>
          <w:tcPr>
            <w:tcW w:w="63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4"/>
              </w:rPr>
              <w:t>25%</w:t>
            </w:r>
          </w:p>
        </w:tc>
      </w:tr>
      <w:tr>
        <w:trPr>
          <w:trHeight w:val="237"/>
        </w:trPr>
        <w:tc>
          <w:tcPr>
            <w:tcW w:w="49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8"/>
              </w:rPr>
              <w:t>Target</w:t>
            </w:r>
          </w:p>
        </w:tc>
        <w:tc>
          <w:tcPr>
            <w:tcW w:w="63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1"/>
              </w:rPr>
              <w:t>100%</w:t>
            </w:r>
          </w:p>
        </w:tc>
      </w:tr>
      <w:tr>
        <w:trPr>
          <w:trHeight w:val="230"/>
        </w:trPr>
        <w:tc>
          <w:tcPr>
            <w:tcW w:w="4960" w:type="dxa"/>
            <w:vAlign w:val="bottom"/>
          </w:tcPr>
          <w:p>
            <w:pPr>
              <w:jc w:val="center"/>
              <w:ind w:left="410"/>
              <w:spacing w:after="0"/>
              <w:rPr>
                <w:sz w:val="20"/>
                <w:szCs w:val="20"/>
                <w:color w:val="auto"/>
              </w:rPr>
            </w:pPr>
            <w:r>
              <w:rPr>
                <w:rFonts w:ascii="Arial" w:cs="Arial" w:eastAsia="Arial" w:hAnsi="Arial"/>
                <w:sz w:val="18"/>
                <w:szCs w:val="18"/>
                <w:color w:val="auto"/>
                <w:w w:val="89"/>
              </w:rPr>
              <w:t>Excellence</w:t>
            </w:r>
          </w:p>
        </w:tc>
        <w:tc>
          <w:tcPr>
            <w:tcW w:w="6300" w:type="dxa"/>
            <w:vAlign w:val="bottom"/>
          </w:tcPr>
          <w:p>
            <w:pPr>
              <w:jc w:val="center"/>
              <w:ind w:left="390"/>
              <w:spacing w:after="0"/>
              <w:rPr>
                <w:sz w:val="20"/>
                <w:szCs w:val="20"/>
                <w:color w:val="auto"/>
              </w:rPr>
            </w:pPr>
            <w:r>
              <w:rPr>
                <w:rFonts w:ascii="Arial" w:cs="Arial" w:eastAsia="Arial" w:hAnsi="Arial"/>
                <w:sz w:val="18"/>
                <w:szCs w:val="18"/>
                <w:color w:val="auto"/>
                <w:w w:val="91"/>
              </w:rPr>
              <w:t>200%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*Payout levels are determined using linear interpolation for results falling between the three performance levels.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Enterprise Strategic Objectives</w:t>
      </w:r>
    </w:p>
    <w:p>
      <w:pPr>
        <w:spacing w:after="0" w:line="2"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Payouts for performance against the Brand and Enterprise Strategic Objectives will be based on performance against the following objectives, with underlying success measures to be provided by your manager. Each of these Strategic Goals are considered confidential and should not be shared outside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Vera Bradley Brand Strategic Objectives:</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Digital: Achieve plan revenue</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Community: Achieve customer count plan</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Maximization: Achieve plan revenue</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Innovation: Achieve plan revenue</w:t>
      </w:r>
    </w:p>
    <w:p>
      <w:pPr>
        <w:ind w:left="660" w:hanging="328"/>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 Platform: Achieve factory plan revenue</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Technology: Achieve key technology initiatives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Pura Vida Brand Strategic Objectives:</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Core Product: Achieve growth plan</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Licensing &amp; Collaborations: Achieve plan revenue</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Products: Achieve plan revenue</w:t>
      </w: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Retail &amp; International Expansion: Achieve key initiatives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ERP&amp; Integrations: Achieve key initiatives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Enterprise Strategic Objectives: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Build Corporate Platform Structure</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Pursue Acquisition</w:t>
      </w:r>
    </w:p>
    <w:p>
      <w:pPr>
        <w:sectPr>
          <w:pgSz w:w="11900" w:h="16838" w:orient="portrait"/>
          <w:cols w:equalWidth="0" w:num="1">
            <w:col w:w="11260"/>
          </w:cols>
          <w:pgMar w:left="320" w:top="1404" w:right="319" w:bottom="1440" w:gutter="0" w:footer="0" w:header="0"/>
        </w:sectPr>
      </w:pPr>
    </w:p>
    <w:bookmarkStart w:id="40" w:name="page41"/>
    <w:bookmarkEnd w:id="40"/>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Vera Cares: Achieve key initiatives</w:t>
      </w:r>
    </w:p>
    <w:p>
      <w:pPr>
        <w:ind w:left="660" w:hanging="328"/>
        <w:spacing w:after="0" w:line="21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Vera Bradley Growth</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Pura Vida Growth</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Assuming threshold levels of performance against the Brand and Enterprise Strategic Objectives are met during the Performance Period, the actual payout levels will range from 25%-200% of target. The Compensation Committee of the Board of Directors of the Company (the “Compensation Committee”) shall determine the level of performance achieved against the Brand and Enterprise Strategic Objectives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Financial Goals</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Payouts for performance against the Individual Financial Goals will be based on a Participant’s overall achievement of personal objectives, as determined by the Participant’s supervisor and approved by the Compensation Committee. Payout levels for achievement of the Individual Financial Goals range from 0%-200% of that portion of incentive tied to the Individual Financial Goals.</w:t>
      </w:r>
    </w:p>
    <w:p>
      <w:pPr>
        <w:sectPr>
          <w:pgSz w:w="11900" w:h="16838" w:orient="portrait"/>
          <w:cols w:equalWidth="0" w:num="1">
            <w:col w:w="11240"/>
          </w:cols>
          <w:pgMar w:left="320" w:top="1406" w:right="339" w:bottom="1440" w:gutter="0" w:footer="0" w:header="0"/>
        </w:sectPr>
      </w:pPr>
    </w:p>
    <w:bookmarkStart w:id="41" w:name="page42"/>
    <w:bookmarkEnd w:id="41"/>
    <w:p>
      <w:pPr>
        <w:spacing w:after="0" w:line="20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Administrative Guidelines</w:t>
      </w:r>
    </w:p>
    <w:p>
      <w:pPr>
        <w:spacing w:after="0" w:line="229" w:lineRule="exact"/>
        <w:rPr>
          <w:sz w:val="20"/>
          <w:szCs w:val="20"/>
          <w:color w:val="auto"/>
        </w:rPr>
      </w:pPr>
    </w:p>
    <w:p>
      <w:pPr>
        <w:jc w:val="both"/>
        <w:ind w:left="328" w:hanging="328"/>
        <w:spacing w:after="0" w:line="235"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CEO direct reports at an Executive Officer level and certain designated Executive Officers are eligible to participate in this Annual Plan. Any question regarding eligibility for participation in this Annual Plan shall be resolved by the Compensation Committee, in the Committee’s sole discretion.</w:t>
      </w:r>
    </w:p>
    <w:p>
      <w:pPr>
        <w:spacing w:after="0" w:line="201" w:lineRule="exact"/>
        <w:rPr>
          <w:rFonts w:ascii="Arial" w:cs="Arial" w:eastAsia="Arial" w:hAnsi="Arial"/>
          <w:sz w:val="18"/>
          <w:szCs w:val="18"/>
          <w:color w:val="auto"/>
        </w:rPr>
      </w:pPr>
    </w:p>
    <w:p>
      <w:pPr>
        <w:ind w:left="328" w:hanging="328"/>
        <w:spacing w:after="0" w:line="246"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Participation in this Annual Plan neither gives any employee the right to be retained as an employee nor limits the Company's right to discharge or discipline any employee.</w:t>
      </w:r>
    </w:p>
    <w:p>
      <w:pPr>
        <w:spacing w:after="0" w:line="196" w:lineRule="exact"/>
        <w:rPr>
          <w:rFonts w:ascii="Arial" w:cs="Arial" w:eastAsia="Arial" w:hAnsi="Arial"/>
          <w:sz w:val="18"/>
          <w:szCs w:val="18"/>
          <w:color w:val="auto"/>
        </w:rPr>
      </w:pPr>
    </w:p>
    <w:p>
      <w:pPr>
        <w:ind w:left="328" w:right="20" w:hanging="328"/>
        <w:spacing w:after="0" w:line="246"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Final payout of any bonus under this Plan is subject to the final approval of the Chief Financial Officer and Vice President, Human Resources and as necessary the Compensation Committee.</w:t>
      </w:r>
    </w:p>
    <w:p>
      <w:pPr>
        <w:spacing w:after="0" w:line="196" w:lineRule="exact"/>
        <w:rPr>
          <w:rFonts w:ascii="Arial" w:cs="Arial" w:eastAsia="Arial" w:hAnsi="Arial"/>
          <w:sz w:val="18"/>
          <w:szCs w:val="18"/>
          <w:color w:val="auto"/>
        </w:rPr>
      </w:pPr>
    </w:p>
    <w:p>
      <w:pPr>
        <w:ind w:left="328" w:right="20" w:hanging="328"/>
        <w:spacing w:after="0" w:line="246"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Participants placed on a Performance Improvement Plan or who are on Step 3 Probation within six months of when payment is made under this Plan will not be eligible for such payment.</w:t>
      </w:r>
    </w:p>
    <w:p>
      <w:pPr>
        <w:spacing w:after="0" w:line="196" w:lineRule="exact"/>
        <w:rPr>
          <w:rFonts w:ascii="Arial" w:cs="Arial" w:eastAsia="Arial" w:hAnsi="Arial"/>
          <w:sz w:val="18"/>
          <w:szCs w:val="18"/>
          <w:color w:val="auto"/>
        </w:rPr>
      </w:pPr>
    </w:p>
    <w:p>
      <w:pPr>
        <w:jc w:val="both"/>
        <w:ind w:left="328" w:hanging="328"/>
        <w:spacing w:after="0" w:line="253"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Certification of Results. Before any Awards under the Annual Plan are deemed earned with respect to a Performance Period, the Compensation Committee shall certify, in accordance with Section 9.5 of the 2020 Plan, in writing (i) that the performance goals have been met for the Performance Period, and (ii) the calculation of "Operating Income" and "Net Revenue" for the Performance Period.</w:t>
      </w:r>
    </w:p>
    <w:p>
      <w:pPr>
        <w:spacing w:after="0" w:line="191" w:lineRule="exact"/>
        <w:rPr>
          <w:rFonts w:ascii="Arial" w:cs="Arial" w:eastAsia="Arial" w:hAnsi="Arial"/>
          <w:sz w:val="17"/>
          <w:szCs w:val="17"/>
          <w:color w:val="auto"/>
        </w:rPr>
      </w:pPr>
    </w:p>
    <w:p>
      <w:pPr>
        <w:jc w:val="both"/>
        <w:ind w:left="968" w:hanging="320"/>
        <w:spacing w:after="0" w:line="225" w:lineRule="auto"/>
        <w:tabs>
          <w:tab w:leader="none" w:pos="9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Definition of "Operating Income". For purposes of this Annual Plan, the term "Operating Income" means, with respect to the Performance Period related to any Awards, the Company's consolidated operating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207" w:lineRule="exact"/>
        <w:rPr>
          <w:rFonts w:ascii="Arial" w:cs="Arial" w:eastAsia="Arial" w:hAnsi="Arial"/>
          <w:sz w:val="18"/>
          <w:szCs w:val="18"/>
          <w:color w:val="auto"/>
        </w:rPr>
      </w:pPr>
    </w:p>
    <w:p>
      <w:pPr>
        <w:ind w:left="968" w:hanging="320"/>
        <w:spacing w:after="0" w:line="274" w:lineRule="auto"/>
        <w:tabs>
          <w:tab w:leader="none" w:pos="968"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Definition of "Net Revenue". For purposes of this Annual Plan, the term "Net Revenue" means, with respect to the Performance Period related to any Awards, the Company's consolidated net revenue, as determined in accordance with U.S. GAAP.</w:t>
      </w:r>
    </w:p>
    <w:p>
      <w:pPr>
        <w:spacing w:after="0" w:line="174" w:lineRule="exact"/>
        <w:rPr>
          <w:rFonts w:ascii="Arial" w:cs="Arial" w:eastAsia="Arial" w:hAnsi="Arial"/>
          <w:sz w:val="17"/>
          <w:szCs w:val="17"/>
          <w:color w:val="auto"/>
        </w:rPr>
      </w:pPr>
    </w:p>
    <w:p>
      <w:pPr>
        <w:jc w:val="both"/>
        <w:ind w:left="328" w:hanging="328"/>
        <w:spacing w:after="0" w:line="239"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Except as provided herein, (a) no Participant will be entitled to an incentive payment under the Plan unless the Participant is employed by the Company or an Affiliate in an eligible position on the day the incentive payment is made, and (b) a Participant who separates from Service for any reason prior to the date of payment of such incentive will not be entitled to a prorated award, unless otherwise required by applicable state law. By way of clarification, should a Participant separate from Service and be rehired within the same Performance Period, the Participant shall not be given credit for prior periods Service.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203" w:lineRule="exact"/>
        <w:rPr>
          <w:rFonts w:ascii="Arial" w:cs="Arial" w:eastAsia="Arial" w:hAnsi="Arial"/>
          <w:sz w:val="17"/>
          <w:szCs w:val="17"/>
          <w:color w:val="auto"/>
        </w:rPr>
      </w:pPr>
    </w:p>
    <w:p>
      <w:pPr>
        <w:jc w:val="both"/>
        <w:ind w:left="968" w:hanging="320"/>
        <w:spacing w:after="0" w:line="231" w:lineRule="auto"/>
        <w:tabs>
          <w:tab w:leader="none" w:pos="95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Death or Disability: In the event a Participant's Service terminates as a result of death or Disability prior to the date on which the incentive payment is made, the outstanding Award shall be treated as earned at the actual level for both the Company performance and at the target level for individual performance with any such earned Awards becoming fully vested and paid out as provided in section 8, below.</w:t>
      </w:r>
    </w:p>
    <w:p>
      <w:pPr>
        <w:spacing w:after="0" w:line="202" w:lineRule="exact"/>
        <w:rPr>
          <w:sz w:val="20"/>
          <w:szCs w:val="20"/>
          <w:color w:val="auto"/>
        </w:rPr>
      </w:pPr>
    </w:p>
    <w:p>
      <w:pPr>
        <w:jc w:val="both"/>
        <w:ind w:left="968" w:hanging="320"/>
        <w:spacing w:after="0" w:line="231" w:lineRule="auto"/>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Retirement: In the event a Participant's Service with the Company terminates as a result of Retirement during the Performance Period, the outstanding Award shall be earned based on the actual Company performance level obtained (determined at the end of the Performance Period) and target individual performance level, with any such earned Awards becoming fully vested and paid out as provided in section 8, below.</w:t>
      </w:r>
    </w:p>
    <w:p>
      <w:pPr>
        <w:sectPr>
          <w:pgSz w:w="11900" w:h="16838" w:orient="portrait"/>
          <w:cols w:equalWidth="0" w:num="1">
            <w:col w:w="10908"/>
          </w:cols>
          <w:pgMar w:left="652" w:top="1440" w:right="339" w:bottom="1440" w:gutter="0" w:footer="0" w:header="0"/>
        </w:sectPr>
      </w:pPr>
    </w:p>
    <w:bookmarkStart w:id="42" w:name="page43"/>
    <w:bookmarkEnd w:id="42"/>
    <w:p>
      <w:pPr>
        <w:jc w:val="both"/>
        <w:ind w:left="328" w:hanging="328"/>
        <w:spacing w:after="0" w:line="253" w:lineRule="auto"/>
        <w:tabs>
          <w:tab w:leader="none" w:pos="328"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Annual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w:t>
      </w:r>
    </w:p>
    <w:p>
      <w:pPr>
        <w:spacing w:after="0" w:line="191" w:lineRule="exact"/>
        <w:rPr>
          <w:rFonts w:ascii="Arial" w:cs="Arial" w:eastAsia="Arial" w:hAnsi="Arial"/>
          <w:sz w:val="17"/>
          <w:szCs w:val="17"/>
          <w:color w:val="auto"/>
        </w:rPr>
      </w:pPr>
    </w:p>
    <w:p>
      <w:pPr>
        <w:jc w:val="both"/>
        <w:ind w:left="328"/>
        <w:spacing w:after="0" w:line="235" w:lineRule="auto"/>
        <w:rPr>
          <w:rFonts w:ascii="Arial" w:cs="Arial" w:eastAsia="Arial" w:hAnsi="Arial"/>
          <w:sz w:val="17"/>
          <w:szCs w:val="17"/>
          <w:color w:val="auto"/>
        </w:rPr>
      </w:pPr>
      <w:r>
        <w:rPr>
          <w:rFonts w:ascii="Arial" w:cs="Arial" w:eastAsia="Arial" w:hAnsi="Arial"/>
          <w:sz w:val="17"/>
          <w:szCs w:val="17"/>
          <w:color w:val="auto"/>
        </w:rPr>
        <w:t>Awards becoming fully vested and paid out on a as soon as practicable (but not later than 30 calendar days) following the Change in Control. For purposes of this Annual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06" w:lineRule="exact"/>
        <w:rPr>
          <w:rFonts w:ascii="Arial" w:cs="Arial" w:eastAsia="Arial" w:hAnsi="Arial"/>
          <w:sz w:val="17"/>
          <w:szCs w:val="17"/>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Participants will receive an award that is prorated based on Base Salary earned during the Performance Period.</w:t>
      </w:r>
    </w:p>
    <w:p>
      <w:pPr>
        <w:spacing w:after="0" w:line="225" w:lineRule="exact"/>
        <w:rPr>
          <w:rFonts w:ascii="Arial" w:cs="Arial" w:eastAsia="Arial" w:hAnsi="Arial"/>
          <w:sz w:val="18"/>
          <w:szCs w:val="18"/>
          <w:color w:val="auto"/>
        </w:rPr>
      </w:pPr>
    </w:p>
    <w:p>
      <w:pPr>
        <w:ind w:left="328" w:hanging="328"/>
        <w:spacing w:after="0" w:line="246"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that a Participant joins the Company at any time during the final three fiscal months of the Performance Period, such participant will not be eligible to participate in this Plan.</w:t>
      </w:r>
    </w:p>
    <w:p>
      <w:pPr>
        <w:spacing w:after="0" w:line="196" w:lineRule="exact"/>
        <w:rPr>
          <w:rFonts w:ascii="Arial" w:cs="Arial" w:eastAsia="Arial" w:hAnsi="Arial"/>
          <w:sz w:val="18"/>
          <w:szCs w:val="18"/>
          <w:color w:val="auto"/>
        </w:rPr>
      </w:pPr>
    </w:p>
    <w:p>
      <w:pPr>
        <w:ind w:left="328" w:hanging="328"/>
        <w:spacing w:after="0"/>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93.1% to 93.49% = 93%; 93.5% to 93.9% = 94%).</w:t>
      </w:r>
    </w:p>
    <w:p>
      <w:pPr>
        <w:spacing w:after="0" w:line="225" w:lineRule="exact"/>
        <w:rPr>
          <w:rFonts w:ascii="Arial" w:cs="Arial" w:eastAsia="Arial" w:hAnsi="Arial"/>
          <w:sz w:val="18"/>
          <w:szCs w:val="18"/>
          <w:color w:val="auto"/>
        </w:rPr>
      </w:pPr>
    </w:p>
    <w:p>
      <w:pPr>
        <w:ind w:left="328" w:hanging="328"/>
        <w:spacing w:after="0" w:line="246" w:lineRule="auto"/>
        <w:tabs>
          <w:tab w:leader="none" w:pos="3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Payments under the Annual Plan will be paid in cash after the end of the Company's fiscal tax year but no later than the 15th day of the third month following the Company's fiscal tax year on which the annual incentives under this Annual Plan are based.</w:t>
      </w:r>
    </w:p>
    <w:p>
      <w:pPr>
        <w:spacing w:after="0" w:line="196" w:lineRule="exact"/>
        <w:rPr>
          <w:rFonts w:ascii="Arial" w:cs="Arial" w:eastAsia="Arial" w:hAnsi="Arial"/>
          <w:sz w:val="18"/>
          <w:szCs w:val="18"/>
          <w:color w:val="auto"/>
        </w:rPr>
      </w:pPr>
    </w:p>
    <w:p>
      <w:pPr>
        <w:ind w:left="328" w:right="20" w:hanging="328"/>
        <w:spacing w:after="0" w:line="246" w:lineRule="auto"/>
        <w:tabs>
          <w:tab w:leader="none" w:pos="3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196" w:lineRule="exact"/>
        <w:rPr>
          <w:rFonts w:ascii="Arial" w:cs="Arial" w:eastAsia="Arial" w:hAnsi="Arial"/>
          <w:sz w:val="18"/>
          <w:szCs w:val="18"/>
          <w:color w:val="auto"/>
        </w:rPr>
      </w:pPr>
    </w:p>
    <w:p>
      <w:pPr>
        <w:ind w:left="328" w:hanging="328"/>
        <w:spacing w:after="0" w:line="246" w:lineRule="auto"/>
        <w:tabs>
          <w:tab w:leader="none" w:pos="3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Record keeping and computation required by this Annual Plan will be subject to review by third-party auditors, and by the Compensation Committee.</w:t>
      </w:r>
    </w:p>
    <w:p>
      <w:pPr>
        <w:spacing w:after="0" w:line="196" w:lineRule="exact"/>
        <w:rPr>
          <w:rFonts w:ascii="Arial" w:cs="Arial" w:eastAsia="Arial" w:hAnsi="Arial"/>
          <w:sz w:val="18"/>
          <w:szCs w:val="18"/>
          <w:color w:val="auto"/>
        </w:rPr>
      </w:pPr>
    </w:p>
    <w:p>
      <w:pPr>
        <w:jc w:val="both"/>
        <w:ind w:left="328" w:hanging="328"/>
        <w:spacing w:after="0" w:line="227" w:lineRule="auto"/>
        <w:tabs>
          <w:tab w:leader="none" w:pos="3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Interpretations, determinations, and actions regarding plan administration shall be made by the Compensation Committee. Any such determinations and any interpretation, rule, or decision under the Annual Plan or in carrying out or administering the Annual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Plan, whether such information is determined by the Company, its auditors, or a third-party vendor engaged to provide such information to the Company.</w:t>
      </w:r>
    </w:p>
    <w:p>
      <w:pPr>
        <w:spacing w:after="0" w:line="202" w:lineRule="exact"/>
        <w:rPr>
          <w:rFonts w:ascii="Arial" w:cs="Arial" w:eastAsia="Arial" w:hAnsi="Arial"/>
          <w:sz w:val="18"/>
          <w:szCs w:val="18"/>
          <w:color w:val="auto"/>
        </w:rPr>
      </w:pPr>
    </w:p>
    <w:p>
      <w:pPr>
        <w:ind w:left="328" w:hanging="328"/>
        <w:spacing w:after="0" w:line="246" w:lineRule="auto"/>
        <w:tabs>
          <w:tab w:leader="none" w:pos="3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Plan as stated herein, the Company reserves the right to amend or discontinue the plan at any time in its sole discretion.</w:t>
      </w:r>
    </w:p>
    <w:p>
      <w:pPr>
        <w:sectPr>
          <w:pgSz w:w="11900" w:h="16838" w:orient="portrait"/>
          <w:cols w:equalWidth="0" w:num="1">
            <w:col w:w="10908"/>
          </w:cols>
          <w:pgMar w:left="652" w:top="1408" w:right="339" w:bottom="1440" w:gutter="0" w:footer="0" w:header="0"/>
        </w:sectPr>
      </w:pPr>
    </w:p>
    <w:bookmarkStart w:id="43" w:name="page44"/>
    <w:bookmarkEnd w:id="43"/>
    <w:p>
      <w:pPr>
        <w:ind w:left="328" w:right="20" w:hanging="328"/>
        <w:spacing w:after="0" w:line="246" w:lineRule="auto"/>
        <w:tabs>
          <w:tab w:leader="none" w:pos="3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96" w:lineRule="exact"/>
        <w:rPr>
          <w:rFonts w:ascii="Arial" w:cs="Arial" w:eastAsia="Arial" w:hAnsi="Arial"/>
          <w:sz w:val="18"/>
          <w:szCs w:val="18"/>
          <w:color w:val="auto"/>
        </w:rPr>
      </w:pPr>
    </w:p>
    <w:p>
      <w:pPr>
        <w:ind w:left="328" w:hanging="328"/>
        <w:spacing w:after="0" w:line="307" w:lineRule="auto"/>
        <w:tabs>
          <w:tab w:leader="none" w:pos="3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rights granted under this document are in all respects subject to the provisions of the 2020 Plan to the same extent and with the same effect as if they were set forth fully therein. If the terms of this document or the Award conflict with the terms of the 2020 Plan, the 2020 Plan will control.</w:t>
      </w:r>
    </w:p>
    <w:p>
      <w:pPr>
        <w:spacing w:after="0" w:line="150" w:lineRule="exact"/>
        <w:rPr>
          <w:rFonts w:ascii="Arial" w:cs="Arial" w:eastAsia="Arial" w:hAnsi="Arial"/>
          <w:sz w:val="16"/>
          <w:szCs w:val="16"/>
          <w:color w:val="auto"/>
        </w:rPr>
      </w:pPr>
    </w:p>
    <w:p>
      <w:pPr>
        <w:ind w:left="328" w:hanging="328"/>
        <w:spacing w:after="0" w:line="246" w:lineRule="auto"/>
        <w:tabs>
          <w:tab w:leader="none" w:pos="3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Awards under this Plan shall be subject to all other Company policies, as amended, including but not limited to the Vera Bradley Compensation Recoupment Policy.</w:t>
      </w:r>
    </w:p>
    <w:p>
      <w:pPr>
        <w:sectPr>
          <w:pgSz w:w="11900" w:h="16838" w:orient="portrait"/>
          <w:cols w:equalWidth="0" w:num="1">
            <w:col w:w="10908"/>
          </w:cols>
          <w:pgMar w:left="652" w:top="1408" w:right="339" w:bottom="1440" w:gutter="0" w:footer="0" w:header="0"/>
        </w:sectPr>
      </w:pPr>
    </w:p>
    <w:bookmarkStart w:id="44" w:name="page45"/>
    <w:bookmarkEnd w:id="44"/>
    <w:p>
      <w:pPr>
        <w:spacing w:after="0" w:line="207"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 Award Agreement - Grant of </w:t>
      </w:r>
      <w:r>
        <w:rPr>
          <w:rFonts w:ascii="Arial" w:cs="Arial" w:eastAsia="Arial" w:hAnsi="Arial"/>
          <w:sz w:val="18"/>
          <w:szCs w:val="18"/>
          <w:b w:val="1"/>
          <w:bCs w:val="1"/>
          <w:i w:val="1"/>
          <w:iCs w:val="1"/>
          <w:u w:val="single" w:color="auto"/>
          <w:color w:val="auto"/>
        </w:rPr>
        <w:t>Performance</w:t>
      </w:r>
      <w:r>
        <w:rPr>
          <w:rFonts w:ascii="Arial" w:cs="Arial" w:eastAsia="Arial" w:hAnsi="Arial"/>
          <w:sz w:val="18"/>
          <w:szCs w:val="18"/>
          <w:b w:val="1"/>
          <w:bCs w:val="1"/>
          <w:i w:val="1"/>
          <w:iCs w:val="1"/>
          <w:color w:val="auto"/>
        </w:rPr>
        <w:t xml:space="preserve">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w:t>
      </w:r>
    </w:p>
    <w:p>
      <w:pPr>
        <w:spacing w:after="0" w:line="22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Congratulations! In recognition of your continued dedication to Vera Bradley, we are pleased to award you with a discretionary grant of Performance Units ("Award"). This letter constitutes an Award Agreement between you and Vera Bradley regarding the terms and conditions of the grant. In order for the Award referenced in this Award Agreement to become effective, </w:t>
      </w:r>
      <w:r>
        <w:rPr>
          <w:rFonts w:ascii="Arial" w:cs="Arial" w:eastAsia="Arial" w:hAnsi="Arial"/>
          <w:sz w:val="18"/>
          <w:szCs w:val="18"/>
          <w:b w:val="1"/>
          <w:bCs w:val="1"/>
          <w:color w:val="auto"/>
        </w:rPr>
        <w:t>you must electronically accept your grant no later than two weeks from the grant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While complete details of this grant are defined in the enclosed documents, a high-level summary of this Award is as follows:</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0" w:type="dxa"/>
            <w:vAlign w:val="bottom"/>
          </w:tcPr>
          <w:p>
            <w:pPr>
              <w:spacing w:after="0"/>
              <w:rPr>
                <w:sz w:val="20"/>
                <w:szCs w:val="20"/>
                <w:color w:val="auto"/>
              </w:rPr>
            </w:pPr>
            <w:r>
              <w:rPr>
                <w:rFonts w:ascii="Arial" w:cs="Arial" w:eastAsia="Arial" w:hAnsi="Arial"/>
                <w:sz w:val="18"/>
                <w:szCs w:val="18"/>
                <w:b w:val="1"/>
                <w:bCs w:val="1"/>
                <w:color w:val="auto"/>
              </w:rPr>
              <w:t>Type of Grant</w:t>
            </w:r>
          </w:p>
        </w:tc>
        <w:tc>
          <w:tcPr>
            <w:tcW w:w="6800" w:type="dxa"/>
            <w:vAlign w:val="bottom"/>
            <w:gridSpan w:val="11"/>
          </w:tcPr>
          <w:p>
            <w:pPr>
              <w:spacing w:after="0"/>
              <w:rPr>
                <w:sz w:val="20"/>
                <w:szCs w:val="20"/>
                <w:color w:val="auto"/>
              </w:rPr>
            </w:pPr>
            <w:r>
              <w:rPr>
                <w:rFonts w:ascii="Arial" w:cs="Arial" w:eastAsia="Arial" w:hAnsi="Arial"/>
                <w:sz w:val="18"/>
                <w:szCs w:val="18"/>
                <w:color w:val="auto"/>
              </w:rPr>
              <w:t>Discretionary grant of Performance Units (“Performance RSUs”). This is a one-time,</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6800" w:type="dxa"/>
            <w:vAlign w:val="bottom"/>
            <w:gridSpan w:val="11"/>
          </w:tcPr>
          <w:p>
            <w:pPr>
              <w:spacing w:after="0" w:line="189" w:lineRule="exact"/>
              <w:rPr>
                <w:sz w:val="20"/>
                <w:szCs w:val="20"/>
                <w:color w:val="auto"/>
              </w:rPr>
            </w:pPr>
            <w:r>
              <w:rPr>
                <w:rFonts w:ascii="Arial" w:cs="Arial" w:eastAsia="Arial" w:hAnsi="Arial"/>
                <w:sz w:val="18"/>
                <w:szCs w:val="18"/>
                <w:color w:val="auto"/>
                <w:w w:val="97"/>
              </w:rPr>
              <w:t>discretionary grant to reward you for your continued contribution to the success of Vera</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6800" w:type="dxa"/>
            <w:vAlign w:val="bottom"/>
            <w:gridSpan w:val="11"/>
          </w:tcPr>
          <w:p>
            <w:pPr>
              <w:spacing w:after="0"/>
              <w:rPr>
                <w:sz w:val="20"/>
                <w:szCs w:val="20"/>
                <w:color w:val="auto"/>
              </w:rPr>
            </w:pPr>
            <w:r>
              <w:rPr>
                <w:rFonts w:ascii="Arial" w:cs="Arial" w:eastAsia="Arial" w:hAnsi="Arial"/>
                <w:sz w:val="18"/>
                <w:szCs w:val="18"/>
                <w:color w:val="auto"/>
              </w:rPr>
              <w:t>Bradley.</w:t>
            </w:r>
          </w:p>
        </w:tc>
        <w:tc>
          <w:tcPr>
            <w:tcW w:w="0" w:type="dxa"/>
            <w:vAlign w:val="bottom"/>
          </w:tcPr>
          <w:p>
            <w:pPr>
              <w:spacing w:after="0"/>
              <w:rPr>
                <w:sz w:val="1"/>
                <w:szCs w:val="1"/>
                <w:color w:val="auto"/>
              </w:rPr>
            </w:pPr>
          </w:p>
        </w:tc>
      </w:tr>
      <w:tr>
        <w:trPr>
          <w:trHeight w:val="297"/>
        </w:trPr>
        <w:tc>
          <w:tcPr>
            <w:tcW w:w="4400" w:type="dxa"/>
            <w:vAlign w:val="bottom"/>
          </w:tcPr>
          <w:p>
            <w:pPr>
              <w:spacing w:after="0"/>
              <w:rPr>
                <w:sz w:val="20"/>
                <w:szCs w:val="20"/>
                <w:color w:val="auto"/>
              </w:rPr>
            </w:pPr>
            <w:r>
              <w:rPr>
                <w:rFonts w:ascii="Arial" w:cs="Arial" w:eastAsia="Arial" w:hAnsi="Arial"/>
                <w:sz w:val="18"/>
                <w:szCs w:val="18"/>
                <w:b w:val="1"/>
                <w:bCs w:val="1"/>
                <w:color w:val="auto"/>
              </w:rPr>
              <w:t>Number of Performance RSUs</w:t>
            </w:r>
          </w:p>
        </w:tc>
        <w:tc>
          <w:tcPr>
            <w:tcW w:w="6800" w:type="dxa"/>
            <w:vAlign w:val="bottom"/>
            <w:gridSpan w:val="11"/>
          </w:tcPr>
          <w:p>
            <w:pPr>
              <w:spacing w:after="0"/>
              <w:rPr>
                <w:sz w:val="20"/>
                <w:szCs w:val="20"/>
                <w:color w:val="auto"/>
              </w:rPr>
            </w:pPr>
            <w:r>
              <w:rPr>
                <w:rFonts w:ascii="Arial" w:cs="Arial" w:eastAsia="Arial" w:hAnsi="Arial"/>
                <w:sz w:val="18"/>
                <w:szCs w:val="18"/>
                <w:b w:val="1"/>
                <w:bCs w:val="1"/>
                <w:color w:val="auto"/>
              </w:rPr>
              <w:t>[Insert XX]</w:t>
            </w:r>
          </w:p>
        </w:tc>
        <w:tc>
          <w:tcPr>
            <w:tcW w:w="0" w:type="dxa"/>
            <w:vAlign w:val="bottom"/>
          </w:tcPr>
          <w:p>
            <w:pPr>
              <w:spacing w:after="0"/>
              <w:rPr>
                <w:sz w:val="1"/>
                <w:szCs w:val="1"/>
                <w:color w:val="auto"/>
              </w:rPr>
            </w:pPr>
          </w:p>
        </w:tc>
      </w:tr>
      <w:tr>
        <w:trPr>
          <w:trHeight w:val="297"/>
        </w:trPr>
        <w:tc>
          <w:tcPr>
            <w:tcW w:w="4400" w:type="dxa"/>
            <w:vAlign w:val="bottom"/>
          </w:tcPr>
          <w:p>
            <w:pPr>
              <w:spacing w:after="0"/>
              <w:rPr>
                <w:sz w:val="20"/>
                <w:szCs w:val="20"/>
                <w:color w:val="auto"/>
              </w:rPr>
            </w:pPr>
            <w:r>
              <w:rPr>
                <w:rFonts w:ascii="Arial" w:cs="Arial" w:eastAsia="Arial" w:hAnsi="Arial"/>
                <w:sz w:val="18"/>
                <w:szCs w:val="18"/>
                <w:b w:val="1"/>
                <w:bCs w:val="1"/>
                <w:color w:val="auto"/>
              </w:rPr>
              <w:t>Date of Grant of Award</w:t>
            </w:r>
          </w:p>
        </w:tc>
        <w:tc>
          <w:tcPr>
            <w:tcW w:w="6800" w:type="dxa"/>
            <w:vAlign w:val="bottom"/>
            <w:gridSpan w:val="11"/>
          </w:tcPr>
          <w:p>
            <w:pPr>
              <w:spacing w:after="0"/>
              <w:rPr>
                <w:sz w:val="20"/>
                <w:szCs w:val="20"/>
                <w:color w:val="auto"/>
              </w:rPr>
            </w:pPr>
            <w:r>
              <w:rPr>
                <w:rFonts w:ascii="Arial" w:cs="Arial" w:eastAsia="Arial" w:hAnsi="Arial"/>
                <w:sz w:val="18"/>
                <w:szCs w:val="18"/>
                <w:b w:val="1"/>
                <w:bCs w:val="1"/>
                <w:color w:val="auto"/>
              </w:rPr>
              <w:t>[Insert XX]</w:t>
            </w:r>
          </w:p>
        </w:tc>
        <w:tc>
          <w:tcPr>
            <w:tcW w:w="0" w:type="dxa"/>
            <w:vAlign w:val="bottom"/>
          </w:tcPr>
          <w:p>
            <w:pPr>
              <w:spacing w:after="0"/>
              <w:rPr>
                <w:sz w:val="1"/>
                <w:szCs w:val="1"/>
                <w:color w:val="auto"/>
              </w:rPr>
            </w:pPr>
          </w:p>
        </w:tc>
      </w:tr>
      <w:tr>
        <w:trPr>
          <w:trHeight w:val="297"/>
        </w:trPr>
        <w:tc>
          <w:tcPr>
            <w:tcW w:w="4400" w:type="dxa"/>
            <w:vAlign w:val="bottom"/>
          </w:tcPr>
          <w:p>
            <w:pPr>
              <w:spacing w:after="0"/>
              <w:rPr>
                <w:sz w:val="20"/>
                <w:szCs w:val="20"/>
                <w:color w:val="auto"/>
              </w:rPr>
            </w:pPr>
            <w:r>
              <w:rPr>
                <w:rFonts w:ascii="Arial" w:cs="Arial" w:eastAsia="Arial" w:hAnsi="Arial"/>
                <w:sz w:val="18"/>
                <w:szCs w:val="18"/>
                <w:b w:val="1"/>
                <w:bCs w:val="1"/>
                <w:color w:val="auto"/>
              </w:rPr>
              <w:t>Performance Period</w:t>
            </w:r>
          </w:p>
        </w:tc>
        <w:tc>
          <w:tcPr>
            <w:tcW w:w="6800" w:type="dxa"/>
            <w:vAlign w:val="bottom"/>
            <w:gridSpan w:val="11"/>
          </w:tcPr>
          <w:p>
            <w:pPr>
              <w:spacing w:after="0"/>
              <w:rPr>
                <w:sz w:val="20"/>
                <w:szCs w:val="20"/>
                <w:color w:val="auto"/>
              </w:rPr>
            </w:pPr>
            <w:r>
              <w:rPr>
                <w:rFonts w:ascii="Arial" w:cs="Arial" w:eastAsia="Arial" w:hAnsi="Arial"/>
                <w:sz w:val="18"/>
                <w:szCs w:val="18"/>
                <w:b w:val="1"/>
                <w:bCs w:val="1"/>
                <w:color w:val="auto"/>
              </w:rPr>
              <w:t>[Insert XX]</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0"/>
                <w:szCs w:val="20"/>
                <w:color w:val="auto"/>
              </w:rPr>
            </w:pPr>
            <w:r>
              <w:rPr>
                <w:rFonts w:ascii="Arial" w:cs="Arial" w:eastAsia="Arial" w:hAnsi="Arial"/>
                <w:sz w:val="18"/>
                <w:szCs w:val="18"/>
                <w:b w:val="1"/>
                <w:bCs w:val="1"/>
                <w:color w:val="auto"/>
              </w:rPr>
              <w:t>Earning of Performance RSUs</w:t>
            </w:r>
          </w:p>
        </w:tc>
        <w:tc>
          <w:tcPr>
            <w:tcW w:w="6800" w:type="dxa"/>
            <w:vAlign w:val="bottom"/>
            <w:gridSpan w:val="11"/>
          </w:tcPr>
          <w:p>
            <w:pPr>
              <w:spacing w:after="0"/>
              <w:rPr>
                <w:sz w:val="20"/>
                <w:szCs w:val="20"/>
                <w:color w:val="auto"/>
              </w:rPr>
            </w:pPr>
            <w:r>
              <w:rPr>
                <w:rFonts w:ascii="Arial" w:cs="Arial" w:eastAsia="Arial" w:hAnsi="Arial"/>
                <w:sz w:val="18"/>
                <w:szCs w:val="18"/>
                <w:color w:val="auto"/>
                <w:w w:val="90"/>
              </w:rPr>
              <w:t>The Performance RSUs will be divided into three equal tranches of 1/3 each (each a separate</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6800" w:type="dxa"/>
            <w:vAlign w:val="bottom"/>
            <w:gridSpan w:val="11"/>
          </w:tcPr>
          <w:p>
            <w:pPr>
              <w:spacing w:after="0" w:line="189" w:lineRule="exact"/>
              <w:rPr>
                <w:sz w:val="20"/>
                <w:szCs w:val="20"/>
                <w:color w:val="auto"/>
              </w:rPr>
            </w:pPr>
            <w:r>
              <w:rPr>
                <w:rFonts w:ascii="Arial" w:cs="Arial" w:eastAsia="Arial" w:hAnsi="Arial"/>
                <w:sz w:val="18"/>
                <w:szCs w:val="18"/>
                <w:color w:val="auto"/>
                <w:w w:val="92"/>
              </w:rPr>
              <w:t>"Tranche") of the total Award and allocated to each of the three fiscal years of the Company</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6800" w:type="dxa"/>
            <w:vAlign w:val="bottom"/>
            <w:gridSpan w:val="11"/>
          </w:tcPr>
          <w:p>
            <w:pPr>
              <w:spacing w:after="0" w:line="189" w:lineRule="exact"/>
              <w:rPr>
                <w:sz w:val="20"/>
                <w:szCs w:val="20"/>
                <w:color w:val="auto"/>
              </w:rPr>
            </w:pPr>
            <w:r>
              <w:rPr>
                <w:rFonts w:ascii="Arial" w:cs="Arial" w:eastAsia="Arial" w:hAnsi="Arial"/>
                <w:sz w:val="18"/>
                <w:szCs w:val="18"/>
                <w:color w:val="auto"/>
              </w:rPr>
              <w:t>ending during the Performance Period, with each such fiscal year being considered a</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6800" w:type="dxa"/>
            <w:vAlign w:val="bottom"/>
            <w:gridSpan w:val="11"/>
          </w:tcPr>
          <w:p>
            <w:pPr>
              <w:spacing w:after="0" w:line="185" w:lineRule="exact"/>
              <w:rPr>
                <w:sz w:val="20"/>
                <w:szCs w:val="20"/>
                <w:color w:val="auto"/>
              </w:rPr>
            </w:pPr>
            <w:r>
              <w:rPr>
                <w:rFonts w:ascii="Arial" w:cs="Arial" w:eastAsia="Arial" w:hAnsi="Arial"/>
                <w:sz w:val="18"/>
                <w:szCs w:val="18"/>
                <w:color w:val="auto"/>
                <w:w w:val="94"/>
              </w:rPr>
              <w:t>performance year ("Performance Year"). Importantly, each Tranche of Performance RSUs</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6800" w:type="dxa"/>
            <w:vAlign w:val="bottom"/>
            <w:gridSpan w:val="11"/>
          </w:tcPr>
          <w:p>
            <w:pPr>
              <w:spacing w:after="0" w:line="194" w:lineRule="exact"/>
              <w:rPr>
                <w:sz w:val="20"/>
                <w:szCs w:val="20"/>
                <w:color w:val="auto"/>
              </w:rPr>
            </w:pPr>
            <w:r>
              <w:rPr>
                <w:rFonts w:ascii="Arial" w:cs="Arial" w:eastAsia="Arial" w:hAnsi="Arial"/>
                <w:sz w:val="18"/>
                <w:szCs w:val="18"/>
                <w:color w:val="auto"/>
                <w:w w:val="91"/>
              </w:rPr>
              <w:t>must be "</w:t>
            </w:r>
            <w:r>
              <w:rPr>
                <w:rFonts w:ascii="Arial" w:cs="Arial" w:eastAsia="Arial" w:hAnsi="Arial"/>
                <w:sz w:val="18"/>
                <w:szCs w:val="18"/>
                <w:b w:val="1"/>
                <w:bCs w:val="1"/>
                <w:color w:val="auto"/>
                <w:w w:val="91"/>
              </w:rPr>
              <w:t>earned</w:t>
            </w:r>
            <w:r>
              <w:rPr>
                <w:rFonts w:ascii="Arial" w:cs="Arial" w:eastAsia="Arial" w:hAnsi="Arial"/>
                <w:sz w:val="18"/>
                <w:szCs w:val="18"/>
                <w:color w:val="auto"/>
                <w:w w:val="91"/>
              </w:rPr>
              <w:t>" and "</w:t>
            </w:r>
            <w:r>
              <w:rPr>
                <w:rFonts w:ascii="Arial" w:cs="Arial" w:eastAsia="Arial" w:hAnsi="Arial"/>
                <w:sz w:val="18"/>
                <w:szCs w:val="18"/>
                <w:b w:val="1"/>
                <w:bCs w:val="1"/>
                <w:color w:val="auto"/>
                <w:w w:val="91"/>
              </w:rPr>
              <w:t>vested</w:t>
            </w:r>
            <w:r>
              <w:rPr>
                <w:rFonts w:ascii="Arial" w:cs="Arial" w:eastAsia="Arial" w:hAnsi="Arial"/>
                <w:sz w:val="18"/>
                <w:szCs w:val="18"/>
                <w:color w:val="auto"/>
                <w:w w:val="91"/>
              </w:rPr>
              <w:t>" before it will be settled in the form of Shares of the Company.</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700" w:type="dxa"/>
            <w:vAlign w:val="bottom"/>
            <w:gridSpan w:val="3"/>
            <w:vMerge w:val="restart"/>
          </w:tcPr>
          <w:p>
            <w:pPr>
              <w:spacing w:after="0" w:line="184" w:lineRule="exact"/>
              <w:rPr>
                <w:sz w:val="20"/>
                <w:szCs w:val="20"/>
                <w:color w:val="auto"/>
              </w:rPr>
            </w:pPr>
            <w:r>
              <w:rPr>
                <w:rFonts w:ascii="Arial" w:cs="Arial" w:eastAsia="Arial" w:hAnsi="Arial"/>
                <w:sz w:val="18"/>
                <w:szCs w:val="18"/>
                <w:color w:val="auto"/>
                <w:w w:val="85"/>
              </w:rPr>
              <w:t>Except as</w:t>
            </w: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100" w:type="dxa"/>
            <w:vAlign w:val="bottom"/>
            <w:gridSpan w:val="8"/>
          </w:tcPr>
          <w:p>
            <w:pPr>
              <w:ind w:left="60"/>
              <w:spacing w:after="0" w:line="164" w:lineRule="exact"/>
              <w:rPr>
                <w:sz w:val="20"/>
                <w:szCs w:val="20"/>
                <w:color w:val="auto"/>
              </w:rPr>
            </w:pPr>
            <w:r>
              <w:rPr>
                <w:rFonts w:ascii="Arial" w:cs="Arial" w:eastAsia="Arial" w:hAnsi="Arial"/>
                <w:sz w:val="18"/>
                <w:szCs w:val="18"/>
                <w:color w:val="auto"/>
                <w:w w:val="92"/>
              </w:rPr>
              <w:t>otherwise provided herein, (i) each Tranche of Performance RSUs will be deemed</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6800" w:type="dxa"/>
            <w:vAlign w:val="bottom"/>
            <w:gridSpan w:val="11"/>
          </w:tcPr>
          <w:p>
            <w:pPr>
              <w:spacing w:after="0" w:line="194" w:lineRule="exact"/>
              <w:rPr>
                <w:sz w:val="20"/>
                <w:szCs w:val="20"/>
                <w:color w:val="auto"/>
              </w:rPr>
            </w:pPr>
            <w:r>
              <w:rPr>
                <w:rFonts w:ascii="Arial" w:cs="Arial" w:eastAsia="Arial" w:hAnsi="Arial"/>
                <w:sz w:val="18"/>
                <w:szCs w:val="18"/>
                <w:b w:val="1"/>
                <w:bCs w:val="1"/>
                <w:color w:val="auto"/>
              </w:rPr>
              <w:t xml:space="preserve">earned </w:t>
            </w:r>
            <w:r>
              <w:rPr>
                <w:rFonts w:ascii="Arial" w:cs="Arial" w:eastAsia="Arial" w:hAnsi="Arial"/>
                <w:sz w:val="18"/>
                <w:szCs w:val="18"/>
                <w:color w:val="auto"/>
              </w:rPr>
              <w:t>only if the Earnings Per Share (as defined in the</w:t>
            </w:r>
            <w:r>
              <w:rPr>
                <w:rFonts w:ascii="Arial" w:cs="Arial" w:eastAsia="Arial" w:hAnsi="Arial"/>
                <w:sz w:val="18"/>
                <w:szCs w:val="18"/>
                <w:b w:val="1"/>
                <w:bCs w:val="1"/>
                <w:color w:val="auto"/>
              </w:rPr>
              <w:t xml:space="preserve"> [Insert XX] </w:t>
            </w:r>
            <w:r>
              <w:rPr>
                <w:rFonts w:ascii="Arial" w:cs="Arial" w:eastAsia="Arial" w:hAnsi="Arial"/>
                <w:sz w:val="18"/>
                <w:szCs w:val="18"/>
                <w:color w:val="auto"/>
              </w:rPr>
              <w:t>Restricted Stock</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00" w:type="dxa"/>
            <w:vAlign w:val="bottom"/>
          </w:tcPr>
          <w:p>
            <w:pPr>
              <w:spacing w:after="0"/>
              <w:rPr>
                <w:sz w:val="14"/>
                <w:szCs w:val="14"/>
                <w:color w:val="auto"/>
              </w:rPr>
            </w:pPr>
          </w:p>
        </w:tc>
        <w:tc>
          <w:tcPr>
            <w:tcW w:w="6800" w:type="dxa"/>
            <w:vAlign w:val="bottom"/>
            <w:gridSpan w:val="11"/>
          </w:tcPr>
          <w:p>
            <w:pPr>
              <w:spacing w:after="0" w:line="168" w:lineRule="exact"/>
              <w:rPr>
                <w:sz w:val="20"/>
                <w:szCs w:val="20"/>
                <w:color w:val="auto"/>
              </w:rPr>
            </w:pPr>
            <w:r>
              <w:rPr>
                <w:rFonts w:ascii="Arial" w:cs="Arial" w:eastAsia="Arial" w:hAnsi="Arial"/>
                <w:sz w:val="18"/>
                <w:szCs w:val="18"/>
                <w:color w:val="auto"/>
                <w:w w:val="98"/>
              </w:rPr>
              <w:t>Unit/Performance  Unit  Terms  and  Conditions)  of  the  Company  for  the  applicable</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6800" w:type="dxa"/>
            <w:vAlign w:val="bottom"/>
            <w:gridSpan w:val="11"/>
          </w:tcPr>
          <w:p>
            <w:pPr>
              <w:spacing w:after="0" w:line="190" w:lineRule="exact"/>
              <w:rPr>
                <w:sz w:val="20"/>
                <w:szCs w:val="20"/>
                <w:color w:val="auto"/>
              </w:rPr>
            </w:pPr>
            <w:r>
              <w:rPr>
                <w:rFonts w:ascii="Arial" w:cs="Arial" w:eastAsia="Arial" w:hAnsi="Arial"/>
                <w:sz w:val="18"/>
                <w:szCs w:val="18"/>
                <w:color w:val="auto"/>
                <w:w w:val="94"/>
              </w:rPr>
              <w:t>Performance Year meets or exceeds the threshold level established by the Compensation</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00" w:type="dxa"/>
            <w:vAlign w:val="bottom"/>
          </w:tcPr>
          <w:p>
            <w:pPr>
              <w:spacing w:after="0"/>
              <w:rPr>
                <w:sz w:val="14"/>
                <w:szCs w:val="14"/>
                <w:color w:val="auto"/>
              </w:rPr>
            </w:pPr>
          </w:p>
        </w:tc>
        <w:tc>
          <w:tcPr>
            <w:tcW w:w="6800" w:type="dxa"/>
            <w:vAlign w:val="bottom"/>
            <w:gridSpan w:val="11"/>
          </w:tcPr>
          <w:p>
            <w:pPr>
              <w:spacing w:after="0" w:line="164" w:lineRule="exact"/>
              <w:rPr>
                <w:sz w:val="20"/>
                <w:szCs w:val="20"/>
                <w:color w:val="auto"/>
              </w:rPr>
            </w:pPr>
            <w:r>
              <w:rPr>
                <w:rFonts w:ascii="Arial" w:cs="Arial" w:eastAsia="Arial" w:hAnsi="Arial"/>
                <w:sz w:val="18"/>
                <w:szCs w:val="18"/>
                <w:color w:val="auto"/>
                <w:w w:val="93"/>
              </w:rPr>
              <w:t>Committee for such Performance Year, and (ii) each Tranche of Performance RSUs will be</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6800" w:type="dxa"/>
            <w:vAlign w:val="bottom"/>
            <w:gridSpan w:val="11"/>
          </w:tcPr>
          <w:p>
            <w:pPr>
              <w:spacing w:after="0" w:line="194" w:lineRule="exact"/>
              <w:rPr>
                <w:sz w:val="20"/>
                <w:szCs w:val="20"/>
                <w:color w:val="auto"/>
              </w:rPr>
            </w:pPr>
            <w:r>
              <w:rPr>
                <w:rFonts w:ascii="Arial" w:cs="Arial" w:eastAsia="Arial" w:hAnsi="Arial"/>
                <w:sz w:val="18"/>
                <w:szCs w:val="18"/>
                <w:color w:val="auto"/>
                <w:w w:val="99"/>
              </w:rPr>
              <w:t xml:space="preserve">deemed </w:t>
            </w:r>
            <w:r>
              <w:rPr>
                <w:rFonts w:ascii="Arial" w:cs="Arial" w:eastAsia="Arial" w:hAnsi="Arial"/>
                <w:sz w:val="18"/>
                <w:szCs w:val="18"/>
                <w:b w:val="1"/>
                <w:bCs w:val="1"/>
                <w:color w:val="auto"/>
                <w:w w:val="99"/>
              </w:rPr>
              <w:t>vested</w:t>
            </w:r>
            <w:r>
              <w:rPr>
                <w:rFonts w:ascii="Arial" w:cs="Arial" w:eastAsia="Arial" w:hAnsi="Arial"/>
                <w:sz w:val="18"/>
                <w:szCs w:val="18"/>
                <w:color w:val="auto"/>
                <w:w w:val="99"/>
              </w:rPr>
              <w:t xml:space="preserve"> on the third anniversary of the grant date only if you are continuously</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660" w:type="dxa"/>
            <w:vAlign w:val="bottom"/>
            <w:gridSpan w:val="2"/>
          </w:tcPr>
          <w:p>
            <w:pPr>
              <w:spacing w:after="0" w:line="169" w:lineRule="exact"/>
              <w:rPr>
                <w:sz w:val="20"/>
                <w:szCs w:val="20"/>
                <w:color w:val="auto"/>
              </w:rPr>
            </w:pPr>
            <w:r>
              <w:rPr>
                <w:rFonts w:ascii="Arial" w:cs="Arial" w:eastAsia="Arial" w:hAnsi="Arial"/>
                <w:sz w:val="18"/>
                <w:szCs w:val="18"/>
                <w:color w:val="auto"/>
                <w:w w:val="81"/>
              </w:rPr>
              <w:t>employed</w:t>
            </w:r>
          </w:p>
        </w:tc>
        <w:tc>
          <w:tcPr>
            <w:tcW w:w="48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color w:val="auto"/>
              </w:rPr>
              <w:t>with</w:t>
            </w:r>
          </w:p>
        </w:tc>
        <w:tc>
          <w:tcPr>
            <w:tcW w:w="5660" w:type="dxa"/>
            <w:vAlign w:val="bottom"/>
            <w:gridSpan w:val="7"/>
          </w:tcPr>
          <w:p>
            <w:pPr>
              <w:spacing w:after="0" w:line="169" w:lineRule="exact"/>
              <w:rPr>
                <w:sz w:val="20"/>
                <w:szCs w:val="20"/>
                <w:color w:val="auto"/>
              </w:rPr>
            </w:pPr>
            <w:r>
              <w:rPr>
                <w:rFonts w:ascii="Arial" w:cs="Arial" w:eastAsia="Arial" w:hAnsi="Arial"/>
                <w:sz w:val="18"/>
                <w:szCs w:val="18"/>
                <w:color w:val="auto"/>
              </w:rPr>
              <w:t>the Company throughout the Performance Period.</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9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Performance Level Attainment as % of Target (Insert FYXX)</w:t>
      </w:r>
    </w:p>
    <w:p>
      <w:pPr>
        <w:spacing w:after="0" w:line="5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Performance Level Attainment as % of Target (Insert FYXX)</w:t>
      </w:r>
    </w:p>
    <w:p>
      <w:pPr>
        <w:spacing w:after="0" w:line="5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Performance Level Attainment as % of Target (Insert FYXX)</w:t>
      </w:r>
    </w:p>
    <w:p>
      <w:pPr>
        <w:spacing w:after="0" w:line="4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b w:val="1"/>
          <w:bCs w:val="1"/>
          <w:color w:val="auto"/>
        </w:rPr>
        <w:t>Payout level** for Tranche of Performance RSUs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Performance Level* for each Tranche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Excellence</w:t>
            </w: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[Insert XX]</w:t>
            </w:r>
          </w:p>
        </w:tc>
        <w:tc>
          <w:tcPr>
            <w:tcW w:w="160" w:type="dxa"/>
            <w:vAlign w:val="bottom"/>
          </w:tcPr>
          <w:p>
            <w:pPr>
              <w:spacing w:after="0"/>
              <w:rPr>
                <w:sz w:val="24"/>
                <w:szCs w:val="24"/>
                <w:color w:val="auto"/>
              </w:rPr>
            </w:pPr>
          </w:p>
        </w:tc>
        <w:tc>
          <w:tcPr>
            <w:tcW w:w="30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9"/>
              </w:rPr>
              <w:t>[Insert XX]</w:t>
            </w: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7"/>
              </w:rPr>
              <w:t>[Insert XX]</w:t>
            </w:r>
          </w:p>
        </w:tc>
      </w:tr>
      <w:tr>
        <w:trPr>
          <w:trHeight w:val="513"/>
        </w:trPr>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[Insert XX]</w:t>
            </w:r>
          </w:p>
        </w:tc>
        <w:tc>
          <w:tcPr>
            <w:tcW w:w="160" w:type="dxa"/>
            <w:vAlign w:val="bottom"/>
          </w:tcPr>
          <w:p>
            <w:pPr>
              <w:spacing w:after="0"/>
              <w:rPr>
                <w:sz w:val="24"/>
                <w:szCs w:val="24"/>
                <w:color w:val="auto"/>
              </w:rPr>
            </w:pPr>
          </w:p>
        </w:tc>
        <w:tc>
          <w:tcPr>
            <w:tcW w:w="30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9"/>
              </w:rPr>
              <w:t>[Insert XX]</w:t>
            </w: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7"/>
              </w:rPr>
              <w:t>[Insert XX]</w:t>
            </w:r>
          </w:p>
        </w:tc>
      </w:tr>
      <w:tr>
        <w:trPr>
          <w:trHeight w:val="513"/>
        </w:trPr>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[Insert XX]</w:t>
            </w:r>
          </w:p>
        </w:tc>
        <w:tc>
          <w:tcPr>
            <w:tcW w:w="160" w:type="dxa"/>
            <w:vAlign w:val="bottom"/>
          </w:tcPr>
          <w:p>
            <w:pPr>
              <w:spacing w:after="0"/>
              <w:rPr>
                <w:sz w:val="24"/>
                <w:szCs w:val="24"/>
                <w:color w:val="auto"/>
              </w:rPr>
            </w:pPr>
          </w:p>
        </w:tc>
        <w:tc>
          <w:tcPr>
            <w:tcW w:w="30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9"/>
              </w:rPr>
              <w:t>[Insert XX]</w:t>
            </w: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7"/>
              </w:rPr>
              <w:t>[Insert XX]</w:t>
            </w:r>
          </w:p>
        </w:tc>
      </w:tr>
      <w:tr>
        <w:trPr>
          <w:trHeight w:val="459"/>
        </w:trPr>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[Insert XX]</w:t>
            </w:r>
          </w:p>
        </w:tc>
        <w:tc>
          <w:tcPr>
            <w:tcW w:w="160" w:type="dxa"/>
            <w:vAlign w:val="bottom"/>
          </w:tcPr>
          <w:p>
            <w:pPr>
              <w:spacing w:after="0"/>
              <w:rPr>
                <w:sz w:val="24"/>
                <w:szCs w:val="24"/>
                <w:color w:val="auto"/>
              </w:rPr>
            </w:pPr>
          </w:p>
        </w:tc>
        <w:tc>
          <w:tcPr>
            <w:tcW w:w="30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9"/>
              </w:rPr>
              <w:t>[Insert XX]</w:t>
            </w: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7"/>
              </w:rPr>
              <w:t>[Insert XX]</w:t>
            </w:r>
          </w:p>
        </w:tc>
      </w:tr>
    </w:tbl>
    <w:p>
      <w:pPr>
        <w:spacing w:after="0" w:line="364" w:lineRule="exact"/>
        <w:rPr>
          <w:sz w:val="20"/>
          <w:szCs w:val="20"/>
          <w:color w:val="auto"/>
        </w:rPr>
      </w:pPr>
    </w:p>
    <w:p>
      <w:pPr>
        <w:jc w:val="both"/>
        <w:ind w:left="40" w:firstLine="7"/>
        <w:spacing w:after="0" w:line="260" w:lineRule="auto"/>
        <w:tabs>
          <w:tab w:leader="none" w:pos="17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actual number of Performance RSUs allocated to each Tranche that can be earned under this Award Agreement is based on the level of performance achieved (as summarized in the table above) during the applicable Performance Year and can range from 0% of the "Target" (for performance levels below the "Threshold" level) to a maximum of 200% of the "Target" (for performance levels at or above the "Excellence" level).</w:t>
      </w:r>
    </w:p>
    <w:p>
      <w:pPr>
        <w:spacing w:after="0" w:line="2" w:lineRule="exact"/>
        <w:rPr>
          <w:sz w:val="20"/>
          <w:szCs w:val="20"/>
          <w:color w:val="auto"/>
        </w:rPr>
      </w:pPr>
    </w:p>
    <w:p>
      <w:pPr>
        <w:jc w:val="both"/>
        <w:ind w:left="40" w:firstLine="7"/>
        <w:spacing w:after="0" w:line="235"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Payout levels for each Tranche of Performance RSUs are based on the attained percentage of the target Earnings per Share for each respective Performance Year (using linear interpolation for results falling between the three performance levels).</w:t>
      </w:r>
    </w:p>
    <w:p>
      <w:pPr>
        <w:sectPr>
          <w:pgSz w:w="11900" w:h="16838" w:orient="portrait"/>
          <w:cols w:equalWidth="0" w:num="2">
            <w:col w:w="3640" w:space="720"/>
            <w:col w:w="6840"/>
          </w:cols>
          <w:pgMar w:left="340" w:top="1440" w:right="359" w:bottom="1440" w:gutter="0" w:footer="0" w:header="0"/>
        </w:sectPr>
      </w:pPr>
    </w:p>
    <w:bookmarkStart w:id="46" w:name="page47"/>
    <w:bookmarkEnd w:id="46"/>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20"/>
                <w:szCs w:val="20"/>
                <w:color w:val="auto"/>
              </w:rPr>
            </w:pPr>
            <w:r>
              <w:rPr>
                <w:rFonts w:ascii="Arial" w:cs="Arial" w:eastAsia="Arial" w:hAnsi="Arial"/>
                <w:sz w:val="18"/>
                <w:szCs w:val="18"/>
                <w:b w:val="1"/>
                <w:bCs w:val="1"/>
                <w:color w:val="auto"/>
              </w:rPr>
              <w:t>Termination of Service</w:t>
            </w:r>
          </w:p>
        </w:tc>
        <w:tc>
          <w:tcPr>
            <w:tcW w:w="8120" w:type="dxa"/>
            <w:vAlign w:val="bottom"/>
            <w:gridSpan w:val="8"/>
          </w:tcPr>
          <w:p>
            <w:pPr>
              <w:ind w:left="1320"/>
              <w:spacing w:after="0"/>
              <w:rPr>
                <w:sz w:val="20"/>
                <w:szCs w:val="20"/>
                <w:color w:val="auto"/>
              </w:rPr>
            </w:pPr>
            <w:r>
              <w:rPr>
                <w:rFonts w:ascii="Arial" w:cs="Arial" w:eastAsia="Arial" w:hAnsi="Arial"/>
                <w:sz w:val="18"/>
                <w:szCs w:val="18"/>
                <w:color w:val="auto"/>
                <w:w w:val="94"/>
              </w:rPr>
              <w:t>In general, should your Service with Vera Bradley be terminated prior to the last day of the</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8120" w:type="dxa"/>
            <w:vAlign w:val="bottom"/>
            <w:gridSpan w:val="8"/>
          </w:tcPr>
          <w:p>
            <w:pPr>
              <w:ind w:left="1320"/>
              <w:spacing w:after="0" w:line="189" w:lineRule="exact"/>
              <w:rPr>
                <w:sz w:val="20"/>
                <w:szCs w:val="20"/>
                <w:color w:val="auto"/>
              </w:rPr>
            </w:pPr>
            <w:r>
              <w:rPr>
                <w:rFonts w:ascii="Arial" w:cs="Arial" w:eastAsia="Arial" w:hAnsi="Arial"/>
                <w:sz w:val="18"/>
                <w:szCs w:val="18"/>
                <w:color w:val="auto"/>
                <w:w w:val="94"/>
              </w:rPr>
              <w:t>Performance Period, all then outstanding Performance RSUs (whether or not one or more</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8120" w:type="dxa"/>
            <w:vAlign w:val="bottom"/>
            <w:gridSpan w:val="8"/>
          </w:tcPr>
          <w:p>
            <w:pPr>
              <w:ind w:left="1320"/>
              <w:spacing w:after="0" w:line="189" w:lineRule="exact"/>
              <w:rPr>
                <w:sz w:val="20"/>
                <w:szCs w:val="20"/>
                <w:color w:val="auto"/>
              </w:rPr>
            </w:pPr>
            <w:r>
              <w:rPr>
                <w:rFonts w:ascii="Arial" w:cs="Arial" w:eastAsia="Arial" w:hAnsi="Arial"/>
                <w:sz w:val="18"/>
                <w:szCs w:val="18"/>
                <w:color w:val="auto"/>
                <w:w w:val="90"/>
              </w:rPr>
              <w:t>Tranches have been earned as a result of the Earnings per Share for such Performance Year)</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8120" w:type="dxa"/>
            <w:vAlign w:val="bottom"/>
            <w:gridSpan w:val="8"/>
          </w:tcPr>
          <w:p>
            <w:pPr>
              <w:ind w:left="1320"/>
              <w:spacing w:after="0" w:line="189" w:lineRule="exact"/>
              <w:rPr>
                <w:sz w:val="20"/>
                <w:szCs w:val="20"/>
                <w:color w:val="auto"/>
              </w:rPr>
            </w:pPr>
            <w:r>
              <w:rPr>
                <w:rFonts w:ascii="Arial" w:cs="Arial" w:eastAsia="Arial" w:hAnsi="Arial"/>
                <w:sz w:val="18"/>
                <w:szCs w:val="18"/>
                <w:color w:val="auto"/>
                <w:w w:val="95"/>
              </w:rPr>
              <w:t>will be forfeited to the Company. However, the following provisions will apply if, during the</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8120" w:type="dxa"/>
            <w:vAlign w:val="bottom"/>
            <w:gridSpan w:val="8"/>
          </w:tcPr>
          <w:p>
            <w:pPr>
              <w:ind w:left="1320"/>
              <w:spacing w:after="0" w:line="189" w:lineRule="exact"/>
              <w:rPr>
                <w:sz w:val="20"/>
                <w:szCs w:val="20"/>
                <w:color w:val="auto"/>
              </w:rPr>
            </w:pPr>
            <w:r>
              <w:rPr>
                <w:rFonts w:ascii="Arial" w:cs="Arial" w:eastAsia="Arial" w:hAnsi="Arial"/>
                <w:sz w:val="18"/>
                <w:szCs w:val="18"/>
                <w:color w:val="auto"/>
                <w:w w:val="90"/>
              </w:rPr>
              <w:t>Performance Period, you cease providing Services due to death, Disability or Retirement (and</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8120" w:type="dxa"/>
            <w:vAlign w:val="bottom"/>
            <w:gridSpan w:val="8"/>
          </w:tcPr>
          <w:p>
            <w:pPr>
              <w:ind w:left="1320"/>
              <w:spacing w:after="0"/>
              <w:rPr>
                <w:sz w:val="20"/>
                <w:szCs w:val="20"/>
                <w:color w:val="auto"/>
              </w:rPr>
            </w:pPr>
            <w:r>
              <w:rPr>
                <w:rFonts w:ascii="Arial" w:cs="Arial" w:eastAsia="Arial" w:hAnsi="Arial"/>
                <w:sz w:val="18"/>
                <w:szCs w:val="18"/>
                <w:color w:val="auto"/>
                <w:w w:val="99"/>
              </w:rPr>
              <w:t>provided that you have not otherwise engaged in an act that would constitute Cause):</w:t>
            </w:r>
          </w:p>
        </w:tc>
        <w:tc>
          <w:tcPr>
            <w:tcW w:w="0" w:type="dxa"/>
            <w:vAlign w:val="bottom"/>
          </w:tcPr>
          <w:p>
            <w:pPr>
              <w:spacing w:after="0"/>
              <w:rPr>
                <w:sz w:val="1"/>
                <w:szCs w:val="1"/>
                <w:color w:val="auto"/>
              </w:rPr>
            </w:pPr>
          </w:p>
        </w:tc>
      </w:tr>
      <w:tr>
        <w:trPr>
          <w:trHeight w:val="391"/>
        </w:trPr>
        <w:tc>
          <w:tcPr>
            <w:tcW w:w="3080" w:type="dxa"/>
            <w:vAlign w:val="bottom"/>
          </w:tcPr>
          <w:p>
            <w:pPr>
              <w:spacing w:after="0"/>
              <w:rPr>
                <w:sz w:val="24"/>
                <w:szCs w:val="24"/>
                <w:color w:val="auto"/>
              </w:rPr>
            </w:pPr>
          </w:p>
        </w:tc>
        <w:tc>
          <w:tcPr>
            <w:tcW w:w="8120" w:type="dxa"/>
            <w:vAlign w:val="bottom"/>
            <w:gridSpan w:val="8"/>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Death or Disability:</w:t>
            </w:r>
            <w:r>
              <w:rPr>
                <w:rFonts w:ascii="Arial" w:cs="Arial" w:eastAsia="Arial" w:hAnsi="Arial"/>
                <w:sz w:val="18"/>
                <w:szCs w:val="18"/>
                <w:color w:val="auto"/>
              </w:rPr>
              <w:t xml:space="preserve"> In the event that your Service with the Company terminates as</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2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8"/>
                <w:szCs w:val="18"/>
                <w:color w:val="auto"/>
                <w:w w:val="88"/>
              </w:rPr>
              <w:t>a result of your death</w:t>
            </w:r>
          </w:p>
        </w:tc>
        <w:tc>
          <w:tcPr>
            <w:tcW w:w="4620" w:type="dxa"/>
            <w:vAlign w:val="bottom"/>
            <w:gridSpan w:val="5"/>
          </w:tcPr>
          <w:p>
            <w:pPr>
              <w:jc w:val="right"/>
              <w:spacing w:after="0" w:line="168" w:lineRule="exact"/>
              <w:rPr>
                <w:sz w:val="20"/>
                <w:szCs w:val="20"/>
                <w:color w:val="auto"/>
              </w:rPr>
            </w:pPr>
            <w:r>
              <w:rPr>
                <w:rFonts w:ascii="Arial" w:cs="Arial" w:eastAsia="Arial" w:hAnsi="Arial"/>
                <w:sz w:val="18"/>
                <w:szCs w:val="18"/>
                <w:color w:val="auto"/>
                <w:w w:val="93"/>
              </w:rPr>
              <w:t>or Disability during the Performance Period, (i) with respect to</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1"/>
              </w:rPr>
              <w:t>Performance Years that have been completed at the time of such death or Disability,</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1"/>
              </w:rPr>
              <w:t>each such Tranche shall be earned only to the extent of actual performance for such</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90" w:lineRule="exact"/>
              <w:rPr>
                <w:sz w:val="20"/>
                <w:szCs w:val="20"/>
                <w:color w:val="auto"/>
              </w:rPr>
            </w:pPr>
            <w:r>
              <w:rPr>
                <w:rFonts w:ascii="Arial" w:cs="Arial" w:eastAsia="Arial" w:hAnsi="Arial"/>
                <w:sz w:val="18"/>
                <w:szCs w:val="18"/>
                <w:color w:val="auto"/>
                <w:w w:val="94"/>
              </w:rPr>
              <w:t>Performance Year, and (ii) with respect to Performance Years that have not been</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500" w:type="dxa"/>
            <w:vAlign w:val="bottom"/>
            <w:gridSpan w:val="5"/>
            <w:vMerge w:val="restart"/>
          </w:tcPr>
          <w:p>
            <w:pPr>
              <w:spacing w:after="0" w:line="189" w:lineRule="exact"/>
              <w:rPr>
                <w:sz w:val="20"/>
                <w:szCs w:val="20"/>
                <w:color w:val="auto"/>
              </w:rPr>
            </w:pPr>
            <w:r>
              <w:rPr>
                <w:rFonts w:ascii="Arial" w:cs="Arial" w:eastAsia="Arial" w:hAnsi="Arial"/>
                <w:sz w:val="18"/>
                <w:szCs w:val="18"/>
                <w:color w:val="auto"/>
                <w:w w:val="89"/>
              </w:rPr>
              <w:t>completed at the time of such death or Disability, each such Tranche shall be</w:t>
            </w: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500" w:type="dxa"/>
            <w:vAlign w:val="bottom"/>
            <w:gridSpan w:val="5"/>
            <w:vMerge w:val="continue"/>
          </w:tcPr>
          <w:p>
            <w:pPr>
              <w:spacing w:after="0"/>
              <w:rPr>
                <w:sz w:val="14"/>
                <w:szCs w:val="14"/>
                <w:color w:val="auto"/>
              </w:rPr>
            </w:pPr>
          </w:p>
        </w:tc>
        <w:tc>
          <w:tcPr>
            <w:tcW w:w="640" w:type="dxa"/>
            <w:vAlign w:val="bottom"/>
            <w:gridSpan w:val="2"/>
          </w:tcPr>
          <w:p>
            <w:pPr>
              <w:jc w:val="right"/>
              <w:spacing w:after="0" w:line="168" w:lineRule="exact"/>
              <w:rPr>
                <w:sz w:val="20"/>
                <w:szCs w:val="20"/>
                <w:color w:val="auto"/>
              </w:rPr>
            </w:pPr>
            <w:r>
              <w:rPr>
                <w:rFonts w:ascii="Arial" w:cs="Arial" w:eastAsia="Arial" w:hAnsi="Arial"/>
                <w:sz w:val="18"/>
                <w:szCs w:val="18"/>
                <w:color w:val="auto"/>
                <w:w w:val="95"/>
              </w:rPr>
              <w:t>deemed</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0"/>
              </w:rPr>
              <w:t>to be earned based on the "Target" level of performance for such Performance Year,</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9"/>
              </w:rPr>
              <w:t>but prorated based on the number of full fiscal months (in which you provided</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4"/>
              </w:rPr>
              <w:t>Service throughout such month) during the Performance Period. Any such earned</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0"/>
              </w:rPr>
              <w:t>Awards shall become fully vested and paid out in Shares of Company stock pursuant</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4"/>
              </w:rPr>
              <w:t>to  the  settlement  provisions  below.  For  purposes  of  this  Award  Agreement,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140" w:type="dxa"/>
            <w:vAlign w:val="bottom"/>
            <w:gridSpan w:val="7"/>
          </w:tcPr>
          <w:p>
            <w:pPr>
              <w:spacing w:after="0"/>
              <w:rPr>
                <w:sz w:val="20"/>
                <w:szCs w:val="20"/>
                <w:color w:val="auto"/>
              </w:rPr>
            </w:pPr>
            <w:r>
              <w:rPr>
                <w:rFonts w:ascii="Arial" w:cs="Arial" w:eastAsia="Arial" w:hAnsi="Arial"/>
                <w:sz w:val="18"/>
                <w:szCs w:val="18"/>
                <w:color w:val="auto"/>
              </w:rPr>
              <w:t>"Disability" shall have the meaning assigned to such term in the 2020 Plan.</w:t>
            </w:r>
          </w:p>
        </w:tc>
        <w:tc>
          <w:tcPr>
            <w:tcW w:w="0" w:type="dxa"/>
            <w:vAlign w:val="bottom"/>
          </w:tcPr>
          <w:p>
            <w:pPr>
              <w:spacing w:after="0"/>
              <w:rPr>
                <w:sz w:val="1"/>
                <w:szCs w:val="1"/>
                <w:color w:val="auto"/>
              </w:rPr>
            </w:pPr>
          </w:p>
        </w:tc>
      </w:tr>
      <w:tr>
        <w:trPr>
          <w:trHeight w:val="391"/>
        </w:trPr>
        <w:tc>
          <w:tcPr>
            <w:tcW w:w="3080" w:type="dxa"/>
            <w:vAlign w:val="bottom"/>
          </w:tcPr>
          <w:p>
            <w:pPr>
              <w:spacing w:after="0"/>
              <w:rPr>
                <w:sz w:val="24"/>
                <w:szCs w:val="24"/>
                <w:color w:val="auto"/>
              </w:rPr>
            </w:pPr>
          </w:p>
        </w:tc>
        <w:tc>
          <w:tcPr>
            <w:tcW w:w="8120" w:type="dxa"/>
            <w:vAlign w:val="bottom"/>
            <w:gridSpan w:val="8"/>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Retirement:</w:t>
            </w:r>
            <w:r>
              <w:rPr>
                <w:rFonts w:ascii="Arial" w:cs="Arial" w:eastAsia="Arial" w:hAnsi="Arial"/>
                <w:sz w:val="18"/>
                <w:szCs w:val="18"/>
                <w:color w:val="auto"/>
              </w:rPr>
              <w:t xml:space="preserve"> In the event your Service terminates as a result of your Retirement</w:t>
            </w:r>
          </w:p>
        </w:tc>
        <w:tc>
          <w:tcPr>
            <w:tcW w:w="0" w:type="dxa"/>
            <w:vAlign w:val="bottom"/>
          </w:tcPr>
          <w:p>
            <w:pPr>
              <w:spacing w:after="0"/>
              <w:rPr>
                <w:sz w:val="1"/>
                <w:szCs w:val="1"/>
                <w:color w:val="auto"/>
              </w:rPr>
            </w:pPr>
          </w:p>
        </w:tc>
      </w:tr>
      <w:tr>
        <w:trPr>
          <w:trHeight w:val="168"/>
        </w:trPr>
        <w:tc>
          <w:tcPr>
            <w:tcW w:w="3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rPr>
              <w:t>during the</w:t>
            </w:r>
          </w:p>
        </w:tc>
        <w:tc>
          <w:tcPr>
            <w:tcW w:w="5220" w:type="dxa"/>
            <w:vAlign w:val="bottom"/>
            <w:gridSpan w:val="6"/>
          </w:tcPr>
          <w:p>
            <w:pPr>
              <w:jc w:val="right"/>
              <w:spacing w:after="0" w:line="168" w:lineRule="exact"/>
              <w:rPr>
                <w:sz w:val="20"/>
                <w:szCs w:val="20"/>
                <w:color w:val="auto"/>
              </w:rPr>
            </w:pPr>
            <w:r>
              <w:rPr>
                <w:rFonts w:ascii="Arial" w:cs="Arial" w:eastAsia="Arial" w:hAnsi="Arial"/>
                <w:sz w:val="18"/>
                <w:szCs w:val="18"/>
                <w:color w:val="auto"/>
                <w:w w:val="87"/>
              </w:rPr>
              <w:t>Performance Period, each Tranche of outstanding Awards shall be treated</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89"/>
              </w:rPr>
              <w:t>as earned (i) with respect to Performance Years that have been completed at the time</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0"/>
              </w:rPr>
              <w:t>of such Retirement, each such Tranche shall be earned and vested only to the extent</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6"/>
              </w:rPr>
              <w:t>of  actual  performance  for  such  Performance  Year,  and  (ii)  with  respect  to</w:t>
            </w: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90" w:lineRule="exact"/>
              <w:rPr>
                <w:sz w:val="20"/>
                <w:szCs w:val="20"/>
                <w:color w:val="auto"/>
              </w:rPr>
            </w:pPr>
            <w:r>
              <w:rPr>
                <w:rFonts w:ascii="Arial" w:cs="Arial" w:eastAsia="Arial" w:hAnsi="Arial"/>
                <w:sz w:val="18"/>
                <w:szCs w:val="18"/>
                <w:color w:val="auto"/>
                <w:w w:val="94"/>
              </w:rPr>
              <w:t>Performance Years that have not been completed at the time of such Retirement,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20" w:type="dxa"/>
            <w:vAlign w:val="bottom"/>
            <w:gridSpan w:val="3"/>
            <w:vMerge w:val="restart"/>
          </w:tcPr>
          <w:p>
            <w:pPr>
              <w:spacing w:after="0" w:line="189" w:lineRule="exact"/>
              <w:rPr>
                <w:sz w:val="20"/>
                <w:szCs w:val="20"/>
                <w:color w:val="auto"/>
              </w:rPr>
            </w:pPr>
            <w:r>
              <w:rPr>
                <w:rFonts w:ascii="Arial" w:cs="Arial" w:eastAsia="Arial" w:hAnsi="Arial"/>
                <w:sz w:val="18"/>
                <w:szCs w:val="18"/>
                <w:color w:val="auto"/>
                <w:w w:val="99"/>
              </w:rPr>
              <w:t>each such Tranche shall be</w:t>
            </w:r>
          </w:p>
        </w:tc>
        <w:tc>
          <w:tcPr>
            <w:tcW w:w="240" w:type="dxa"/>
            <w:vAlign w:val="bottom"/>
            <w:shd w:val="clear" w:color="auto" w:fill="000000"/>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3920" w:type="dxa"/>
            <w:vAlign w:val="bottom"/>
            <w:gridSpan w:val="4"/>
          </w:tcPr>
          <w:p>
            <w:pPr>
              <w:jc w:val="right"/>
              <w:spacing w:after="0" w:line="168" w:lineRule="exact"/>
              <w:rPr>
                <w:sz w:val="20"/>
                <w:szCs w:val="20"/>
                <w:color w:val="auto"/>
              </w:rPr>
            </w:pPr>
            <w:r>
              <w:rPr>
                <w:rFonts w:ascii="Arial" w:cs="Arial" w:eastAsia="Arial" w:hAnsi="Arial"/>
                <w:sz w:val="18"/>
                <w:szCs w:val="18"/>
                <w:color w:val="auto"/>
                <w:w w:val="88"/>
              </w:rPr>
              <w:t>deemed to be earned based on the actual performance</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3"/>
              </w:rPr>
              <w:t>level attained for such Performance Year, but prorated based on the number of full</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6"/>
              </w:rPr>
              <w:t>fiscal months (in which you provided Service throughout such month) during the</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ind w:right="20"/>
              <w:spacing w:after="0" w:line="189" w:lineRule="exact"/>
              <w:rPr>
                <w:sz w:val="20"/>
                <w:szCs w:val="20"/>
                <w:color w:val="auto"/>
              </w:rPr>
            </w:pPr>
            <w:r>
              <w:rPr>
                <w:rFonts w:ascii="Arial" w:cs="Arial" w:eastAsia="Arial" w:hAnsi="Arial"/>
                <w:sz w:val="18"/>
                <w:szCs w:val="18"/>
                <w:color w:val="auto"/>
                <w:w w:val="89"/>
              </w:rPr>
              <w:t>Performance Period. Any such earned Awards shall become fully vested and paid out</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9"/>
              </w:rPr>
              <w:t>in Shares of Company stock pursuant to the settlement provisions below. For</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gridSpan w:val="7"/>
          </w:tcPr>
          <w:p>
            <w:pPr>
              <w:jc w:val="right"/>
              <w:spacing w:after="0" w:line="189" w:lineRule="exact"/>
              <w:rPr>
                <w:sz w:val="20"/>
                <w:szCs w:val="20"/>
                <w:color w:val="auto"/>
              </w:rPr>
            </w:pPr>
            <w:r>
              <w:rPr>
                <w:rFonts w:ascii="Arial" w:cs="Arial" w:eastAsia="Arial" w:hAnsi="Arial"/>
                <w:sz w:val="18"/>
                <w:szCs w:val="18"/>
                <w:color w:val="auto"/>
                <w:w w:val="90"/>
              </w:rPr>
              <w:t>purposes of this Award Agreement, "Retirement" shall have the meaning assigned to</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140" w:type="dxa"/>
            <w:vAlign w:val="bottom"/>
            <w:gridSpan w:val="7"/>
          </w:tcPr>
          <w:p>
            <w:pPr>
              <w:spacing w:after="0"/>
              <w:rPr>
                <w:sz w:val="20"/>
                <w:szCs w:val="20"/>
                <w:color w:val="auto"/>
              </w:rPr>
            </w:pPr>
            <w:r>
              <w:rPr>
                <w:rFonts w:ascii="Arial" w:cs="Arial" w:eastAsia="Arial" w:hAnsi="Arial"/>
                <w:sz w:val="18"/>
                <w:szCs w:val="18"/>
                <w:color w:val="auto"/>
              </w:rPr>
              <w:t>such term in the 2020 Plan.</w:t>
            </w:r>
          </w:p>
        </w:tc>
        <w:tc>
          <w:tcPr>
            <w:tcW w:w="0" w:type="dxa"/>
            <w:vAlign w:val="bottom"/>
          </w:tcPr>
          <w:p>
            <w:pPr>
              <w:spacing w:after="0"/>
              <w:rPr>
                <w:sz w:val="1"/>
                <w:szCs w:val="1"/>
                <w:color w:val="auto"/>
              </w:rPr>
            </w:pPr>
          </w:p>
        </w:tc>
      </w:tr>
      <w:tr>
        <w:trPr>
          <w:trHeight w:val="391"/>
        </w:trPr>
        <w:tc>
          <w:tcPr>
            <w:tcW w:w="3080" w:type="dxa"/>
            <w:vAlign w:val="bottom"/>
          </w:tcPr>
          <w:p>
            <w:pPr>
              <w:spacing w:after="0"/>
              <w:rPr>
                <w:sz w:val="24"/>
                <w:szCs w:val="24"/>
                <w:color w:val="auto"/>
              </w:rPr>
            </w:pPr>
          </w:p>
        </w:tc>
        <w:tc>
          <w:tcPr>
            <w:tcW w:w="8120" w:type="dxa"/>
            <w:vAlign w:val="bottom"/>
            <w:gridSpan w:val="8"/>
          </w:tcPr>
          <w:p>
            <w:pPr>
              <w:ind w:left="1320"/>
              <w:spacing w:after="0"/>
              <w:rPr>
                <w:sz w:val="20"/>
                <w:szCs w:val="20"/>
                <w:color w:val="auto"/>
              </w:rPr>
            </w:pPr>
            <w:r>
              <w:rPr>
                <w:rFonts w:ascii="Arial" w:cs="Arial" w:eastAsia="Arial" w:hAnsi="Arial"/>
                <w:sz w:val="18"/>
                <w:szCs w:val="18"/>
                <w:color w:val="auto"/>
                <w:w w:val="97"/>
              </w:rPr>
              <w:t>If your Service with the Company shall terminate during the Performance Period for any</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8120" w:type="dxa"/>
            <w:vAlign w:val="bottom"/>
            <w:gridSpan w:val="8"/>
          </w:tcPr>
          <w:p>
            <w:pPr>
              <w:ind w:left="1320"/>
              <w:spacing w:after="0" w:line="189" w:lineRule="exact"/>
              <w:rPr>
                <w:sz w:val="20"/>
                <w:szCs w:val="20"/>
                <w:color w:val="auto"/>
              </w:rPr>
            </w:pPr>
            <w:r>
              <w:rPr>
                <w:rFonts w:ascii="Arial" w:cs="Arial" w:eastAsia="Arial" w:hAnsi="Arial"/>
                <w:sz w:val="18"/>
                <w:szCs w:val="18"/>
                <w:color w:val="auto"/>
                <w:w w:val="92"/>
              </w:rPr>
              <w:t>reason other than death, Disability, or Retirement, all Performance RSUs granted hereunder</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8120" w:type="dxa"/>
            <w:vAlign w:val="bottom"/>
            <w:gridSpan w:val="8"/>
          </w:tcPr>
          <w:p>
            <w:pPr>
              <w:ind w:left="1320"/>
              <w:spacing w:after="0"/>
              <w:rPr>
                <w:sz w:val="20"/>
                <w:szCs w:val="20"/>
                <w:color w:val="auto"/>
              </w:rPr>
            </w:pPr>
            <w:r>
              <w:rPr>
                <w:rFonts w:ascii="Arial" w:cs="Arial" w:eastAsia="Arial" w:hAnsi="Arial"/>
                <w:sz w:val="18"/>
                <w:szCs w:val="18"/>
                <w:color w:val="auto"/>
              </w:rPr>
              <w:t>(whether or not a Tranche was previously earned) shall be forfeited to the Company.</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47" w:name="page48"/>
    <w:bookmarkEnd w:id="47"/>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20" w:type="dxa"/>
            <w:vAlign w:val="bottom"/>
          </w:tcPr>
          <w:p>
            <w:pPr>
              <w:spacing w:after="0"/>
              <w:rPr>
                <w:sz w:val="20"/>
                <w:szCs w:val="20"/>
                <w:color w:val="auto"/>
              </w:rPr>
            </w:pPr>
            <w:r>
              <w:rPr>
                <w:rFonts w:ascii="Arial" w:cs="Arial" w:eastAsia="Arial" w:hAnsi="Arial"/>
                <w:sz w:val="18"/>
                <w:szCs w:val="18"/>
                <w:b w:val="1"/>
                <w:bCs w:val="1"/>
                <w:color w:val="auto"/>
              </w:rPr>
              <w:t>Change in Control</w:t>
            </w:r>
          </w:p>
        </w:tc>
        <w:tc>
          <w:tcPr>
            <w:tcW w:w="8280" w:type="dxa"/>
            <w:vAlign w:val="bottom"/>
            <w:gridSpan w:val="3"/>
          </w:tcPr>
          <w:p>
            <w:pPr>
              <w:ind w:left="1480"/>
              <w:spacing w:after="0"/>
              <w:rPr>
                <w:sz w:val="20"/>
                <w:szCs w:val="20"/>
                <w:color w:val="auto"/>
              </w:rPr>
            </w:pPr>
            <w:r>
              <w:rPr>
                <w:rFonts w:ascii="Arial" w:cs="Arial" w:eastAsia="Arial" w:hAnsi="Arial"/>
                <w:sz w:val="18"/>
                <w:szCs w:val="18"/>
                <w:color w:val="auto"/>
              </w:rPr>
              <w:t>Notwithstanding anything to the contrary in this Award Agreement, in the event of the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9"/>
              </w:rPr>
              <w:t>consummation of a Change in Control of the Company (and provided that you remain</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rPr>
              <w:t>continuously employed with the Company until such Change in Control) during the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1"/>
              </w:rPr>
              <w:t>Performance Period, then each Tranche of outstanding Awards shall be treated as earned (i)</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3"/>
              </w:rPr>
              <w:t>with respect to Performance Years that have been completed at the time of such Change in</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0"/>
              </w:rPr>
              <w:t>Control, such Tranche shall be earned and vested only to the extent of actual performance for</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8280" w:type="dxa"/>
            <w:vAlign w:val="bottom"/>
            <w:gridSpan w:val="3"/>
          </w:tcPr>
          <w:p>
            <w:pPr>
              <w:ind w:left="1480"/>
              <w:spacing w:after="0" w:line="190" w:lineRule="exact"/>
              <w:rPr>
                <w:sz w:val="20"/>
                <w:szCs w:val="20"/>
                <w:color w:val="auto"/>
              </w:rPr>
            </w:pPr>
            <w:r>
              <w:rPr>
                <w:rFonts w:ascii="Arial" w:cs="Arial" w:eastAsia="Arial" w:hAnsi="Arial"/>
                <w:sz w:val="18"/>
                <w:szCs w:val="18"/>
                <w:color w:val="auto"/>
                <w:w w:val="98"/>
              </w:rPr>
              <w:t>such Performance Year, and (ii) with respect to Performance Years that have not been</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020" w:type="dxa"/>
            <w:vAlign w:val="bottom"/>
            <w:vMerge w:val="restart"/>
          </w:tcPr>
          <w:p>
            <w:pPr>
              <w:ind w:left="1480"/>
              <w:spacing w:after="0" w:line="189" w:lineRule="exact"/>
              <w:rPr>
                <w:sz w:val="20"/>
                <w:szCs w:val="20"/>
                <w:color w:val="auto"/>
              </w:rPr>
            </w:pPr>
            <w:r>
              <w:rPr>
                <w:rFonts w:ascii="Arial" w:cs="Arial" w:eastAsia="Arial" w:hAnsi="Arial"/>
                <w:sz w:val="18"/>
                <w:szCs w:val="18"/>
                <w:color w:val="auto"/>
                <w:w w:val="89"/>
              </w:rPr>
              <w:t>completed at the time of such Change in Control, each such Tranche shall be</w:t>
            </w:r>
          </w:p>
        </w:tc>
        <w:tc>
          <w:tcPr>
            <w:tcW w:w="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920" w:type="dxa"/>
            <w:vAlign w:val="bottom"/>
          </w:tcPr>
          <w:p>
            <w:pPr>
              <w:spacing w:after="0"/>
              <w:rPr>
                <w:sz w:val="14"/>
                <w:szCs w:val="14"/>
                <w:color w:val="auto"/>
              </w:rPr>
            </w:pPr>
          </w:p>
        </w:tc>
        <w:tc>
          <w:tcPr>
            <w:tcW w:w="7020" w:type="dxa"/>
            <w:vAlign w:val="bottom"/>
            <w:vMerge w:val="continue"/>
          </w:tcPr>
          <w:p>
            <w:pPr>
              <w:spacing w:after="0"/>
              <w:rPr>
                <w:sz w:val="14"/>
                <w:szCs w:val="14"/>
                <w:color w:val="auto"/>
              </w:rPr>
            </w:pPr>
          </w:p>
        </w:tc>
        <w:tc>
          <w:tcPr>
            <w:tcW w:w="1260" w:type="dxa"/>
            <w:vAlign w:val="bottom"/>
            <w:gridSpan w:val="2"/>
          </w:tcPr>
          <w:p>
            <w:pPr>
              <w:ind w:left="40"/>
              <w:spacing w:after="0" w:line="168" w:lineRule="exact"/>
              <w:rPr>
                <w:sz w:val="20"/>
                <w:szCs w:val="20"/>
                <w:color w:val="auto"/>
              </w:rPr>
            </w:pPr>
            <w:r>
              <w:rPr>
                <w:rFonts w:ascii="Arial" w:cs="Arial" w:eastAsia="Arial" w:hAnsi="Arial"/>
                <w:sz w:val="18"/>
                <w:szCs w:val="18"/>
                <w:color w:val="auto"/>
              </w:rPr>
              <w:t>deemed to be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3"/>
              </w:rPr>
              <w:t>earned at the Target level, with any such earned Performance RSUs becoming fully vested.</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2"/>
              </w:rPr>
              <w:t>Performance RSUs payable upon a Change in Control shall be paid immediately prior to the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3"/>
              </w:rPr>
              <w:t>Change in Control in the form of one Share of Company stock for each vested Performance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2"/>
              </w:rPr>
              <w:t>RSU. Partial Shares (along with any accumulated dividends) will be paid in cash at the same</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8280" w:type="dxa"/>
            <w:vAlign w:val="bottom"/>
            <w:gridSpan w:val="3"/>
          </w:tcPr>
          <w:p>
            <w:pPr>
              <w:ind w:left="1480"/>
              <w:spacing w:after="0"/>
              <w:rPr>
                <w:sz w:val="20"/>
                <w:szCs w:val="20"/>
                <w:color w:val="auto"/>
              </w:rPr>
            </w:pPr>
            <w:r>
              <w:rPr>
                <w:rFonts w:ascii="Arial" w:cs="Arial" w:eastAsia="Arial" w:hAnsi="Arial"/>
                <w:sz w:val="18"/>
                <w:szCs w:val="18"/>
                <w:color w:val="auto"/>
              </w:rPr>
              <w:t>time the Shares are delivered.</w:t>
            </w:r>
          </w:p>
        </w:tc>
        <w:tc>
          <w:tcPr>
            <w:tcW w:w="0" w:type="dxa"/>
            <w:vAlign w:val="bottom"/>
          </w:tcPr>
          <w:p>
            <w:pPr>
              <w:spacing w:after="0"/>
              <w:rPr>
                <w:sz w:val="1"/>
                <w:szCs w:val="1"/>
                <w:color w:val="auto"/>
              </w:rPr>
            </w:pPr>
          </w:p>
        </w:tc>
      </w:tr>
      <w:tr>
        <w:trPr>
          <w:trHeight w:val="256"/>
        </w:trPr>
        <w:tc>
          <w:tcPr>
            <w:tcW w:w="2920" w:type="dxa"/>
            <w:vAlign w:val="bottom"/>
          </w:tcPr>
          <w:p>
            <w:pPr>
              <w:spacing w:after="0"/>
              <w:rPr>
                <w:sz w:val="20"/>
                <w:szCs w:val="20"/>
                <w:color w:val="auto"/>
              </w:rPr>
            </w:pPr>
            <w:r>
              <w:rPr>
                <w:rFonts w:ascii="Arial" w:cs="Arial" w:eastAsia="Arial" w:hAnsi="Arial"/>
                <w:sz w:val="18"/>
                <w:szCs w:val="18"/>
                <w:b w:val="1"/>
                <w:bCs w:val="1"/>
                <w:color w:val="auto"/>
              </w:rPr>
              <w:t>Settlement</w:t>
            </w:r>
          </w:p>
        </w:tc>
        <w:tc>
          <w:tcPr>
            <w:tcW w:w="8280" w:type="dxa"/>
            <w:vAlign w:val="bottom"/>
            <w:gridSpan w:val="3"/>
          </w:tcPr>
          <w:p>
            <w:pPr>
              <w:ind w:left="1480"/>
              <w:spacing w:after="0"/>
              <w:rPr>
                <w:sz w:val="20"/>
                <w:szCs w:val="20"/>
                <w:color w:val="auto"/>
              </w:rPr>
            </w:pPr>
            <w:r>
              <w:rPr>
                <w:rFonts w:ascii="Arial" w:cs="Arial" w:eastAsia="Arial" w:hAnsi="Arial"/>
                <w:sz w:val="18"/>
                <w:szCs w:val="18"/>
                <w:color w:val="auto"/>
                <w:w w:val="89"/>
              </w:rPr>
              <w:t>Except as it applies to Tranches that are deemed to be earned at "Target" and become payable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2"/>
              </w:rPr>
              <w:t>due to a Change in Control or due to termination of Service as a result of death or Disability,</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2"/>
              </w:rPr>
              <w:t>no Awards will become payable unless the Committee certifies that the performance goals in</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4"/>
              </w:rPr>
              <w:t>the Award Agreement have been attained with respect to the applicable Performance Year</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5"/>
              </w:rPr>
              <w:t>during the Performance Period in a manner that complies with the 2020 Plan. Any earned</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3"/>
              </w:rPr>
              <w:t>Performance RSUs will be paid in the form of one Share of Company stock for each earned</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8"/>
              </w:rPr>
              <w:t>whole Performance RSU. Delivery of the Share(s) will be made, including delivery with</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5"/>
                <w:szCs w:val="15"/>
                <w:color w:val="auto"/>
              </w:rPr>
            </w:pPr>
          </w:p>
        </w:tc>
        <w:tc>
          <w:tcPr>
            <w:tcW w:w="8280" w:type="dxa"/>
            <w:vAlign w:val="bottom"/>
            <w:gridSpan w:val="3"/>
          </w:tcPr>
          <w:p>
            <w:pPr>
              <w:ind w:left="1480"/>
              <w:spacing w:after="0" w:line="183" w:lineRule="exact"/>
              <w:rPr>
                <w:sz w:val="20"/>
                <w:szCs w:val="20"/>
                <w:color w:val="auto"/>
              </w:rPr>
            </w:pPr>
            <w:r>
              <w:rPr>
                <w:rFonts w:ascii="Arial" w:cs="Arial" w:eastAsia="Arial" w:hAnsi="Arial"/>
                <w:sz w:val="18"/>
                <w:szCs w:val="18"/>
                <w:color w:val="auto"/>
                <w:w w:val="89"/>
              </w:rPr>
              <w:t>respect to a Disabled Participant, or to the estate of a deceased Participant, after the end of the</w:t>
            </w:r>
          </w:p>
        </w:tc>
        <w:tc>
          <w:tcPr>
            <w:tcW w:w="0" w:type="dxa"/>
            <w:vAlign w:val="bottom"/>
          </w:tcPr>
          <w:p>
            <w:pPr>
              <w:spacing w:after="0"/>
              <w:rPr>
                <w:sz w:val="1"/>
                <w:szCs w:val="1"/>
                <w:color w:val="auto"/>
              </w:rPr>
            </w:pPr>
          </w:p>
        </w:tc>
      </w:tr>
      <w:tr>
        <w:trPr>
          <w:trHeight w:val="194"/>
        </w:trPr>
        <w:tc>
          <w:tcPr>
            <w:tcW w:w="2920" w:type="dxa"/>
            <w:vAlign w:val="bottom"/>
          </w:tcPr>
          <w:p>
            <w:pPr>
              <w:spacing w:after="0"/>
              <w:rPr>
                <w:sz w:val="16"/>
                <w:szCs w:val="16"/>
                <w:color w:val="auto"/>
              </w:rPr>
            </w:pPr>
          </w:p>
        </w:tc>
        <w:tc>
          <w:tcPr>
            <w:tcW w:w="8280" w:type="dxa"/>
            <w:vAlign w:val="bottom"/>
            <w:gridSpan w:val="3"/>
          </w:tcPr>
          <w:p>
            <w:pPr>
              <w:ind w:left="1480"/>
              <w:spacing w:after="0" w:line="194" w:lineRule="exact"/>
              <w:rPr>
                <w:sz w:val="20"/>
                <w:szCs w:val="20"/>
                <w:color w:val="auto"/>
              </w:rPr>
            </w:pPr>
            <w:r>
              <w:rPr>
                <w:rFonts w:ascii="Arial" w:cs="Arial" w:eastAsia="Arial" w:hAnsi="Arial"/>
                <w:sz w:val="17"/>
                <w:szCs w:val="17"/>
                <w:color w:val="auto"/>
                <w:w w:val="96"/>
              </w:rPr>
              <w:t>Performance Period and not later than the 15</w:t>
            </w:r>
            <w:r>
              <w:rPr>
                <w:rFonts w:ascii="Arial" w:cs="Arial" w:eastAsia="Arial" w:hAnsi="Arial"/>
                <w:sz w:val="22"/>
                <w:szCs w:val="22"/>
                <w:color w:val="auto"/>
                <w:w w:val="96"/>
                <w:vertAlign w:val="superscript"/>
              </w:rPr>
              <w:t>th</w:t>
            </w:r>
            <w:r>
              <w:rPr>
                <w:rFonts w:ascii="Arial" w:cs="Arial" w:eastAsia="Arial" w:hAnsi="Arial"/>
                <w:sz w:val="17"/>
                <w:szCs w:val="17"/>
                <w:color w:val="auto"/>
                <w:w w:val="96"/>
              </w:rPr>
              <w:t xml:space="preserve"> day of the third month following the end of the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3"/>
              </w:rPr>
              <w:t>Performance Period. Shares will be credited to an account established for the benefit of the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3"/>
              </w:rPr>
              <w:t>Participant with the Company's administrative agent. The Participant will have full legal and</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4"/>
              </w:rPr>
              <w:t>beneficial ownership with respect to the Shares at that time. Partial Shares (along with any</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8280" w:type="dxa"/>
            <w:vAlign w:val="bottom"/>
            <w:gridSpan w:val="3"/>
          </w:tcPr>
          <w:p>
            <w:pPr>
              <w:ind w:left="1480"/>
              <w:spacing w:after="0"/>
              <w:rPr>
                <w:sz w:val="20"/>
                <w:szCs w:val="20"/>
                <w:color w:val="auto"/>
              </w:rPr>
            </w:pPr>
            <w:r>
              <w:rPr>
                <w:rFonts w:ascii="Arial" w:cs="Arial" w:eastAsia="Arial" w:hAnsi="Arial"/>
                <w:sz w:val="18"/>
                <w:szCs w:val="18"/>
                <w:color w:val="auto"/>
                <w:w w:val="98"/>
              </w:rPr>
              <w:t>accumulated dividends) will be paid in cash at the same time the Shares are delivered.</w:t>
            </w:r>
          </w:p>
        </w:tc>
        <w:tc>
          <w:tcPr>
            <w:tcW w:w="0" w:type="dxa"/>
            <w:vAlign w:val="bottom"/>
          </w:tcPr>
          <w:p>
            <w:pPr>
              <w:spacing w:after="0"/>
              <w:rPr>
                <w:sz w:val="1"/>
                <w:szCs w:val="1"/>
                <w:color w:val="auto"/>
              </w:rPr>
            </w:pPr>
          </w:p>
        </w:tc>
      </w:tr>
      <w:tr>
        <w:trPr>
          <w:trHeight w:val="256"/>
        </w:trPr>
        <w:tc>
          <w:tcPr>
            <w:tcW w:w="2920" w:type="dxa"/>
            <w:vAlign w:val="bottom"/>
          </w:tcPr>
          <w:p>
            <w:pPr>
              <w:spacing w:after="0"/>
              <w:rPr>
                <w:sz w:val="20"/>
                <w:szCs w:val="20"/>
                <w:color w:val="auto"/>
              </w:rPr>
            </w:pPr>
            <w:r>
              <w:rPr>
                <w:rFonts w:ascii="Arial" w:cs="Arial" w:eastAsia="Arial" w:hAnsi="Arial"/>
                <w:sz w:val="18"/>
                <w:szCs w:val="18"/>
                <w:b w:val="1"/>
                <w:bCs w:val="1"/>
                <w:color w:val="auto"/>
              </w:rPr>
              <w:t>Withholding Taxes</w:t>
            </w:r>
          </w:p>
        </w:tc>
        <w:tc>
          <w:tcPr>
            <w:tcW w:w="8280" w:type="dxa"/>
            <w:vAlign w:val="bottom"/>
            <w:gridSpan w:val="3"/>
          </w:tcPr>
          <w:p>
            <w:pPr>
              <w:ind w:left="1480"/>
              <w:spacing w:after="0"/>
              <w:rPr>
                <w:sz w:val="20"/>
                <w:szCs w:val="20"/>
                <w:color w:val="auto"/>
              </w:rPr>
            </w:pPr>
            <w:r>
              <w:rPr>
                <w:rFonts w:ascii="Arial" w:cs="Arial" w:eastAsia="Arial" w:hAnsi="Arial"/>
                <w:sz w:val="18"/>
                <w:szCs w:val="18"/>
                <w:color w:val="auto"/>
                <w:w w:val="90"/>
              </w:rPr>
              <w:t>You acknowledge and agree that the Company shall have the power and the right to deduct or</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8280" w:type="dxa"/>
            <w:vAlign w:val="bottom"/>
            <w:gridSpan w:val="3"/>
          </w:tcPr>
          <w:p>
            <w:pPr>
              <w:ind w:left="1480"/>
              <w:spacing w:after="0" w:line="189" w:lineRule="exact"/>
              <w:rPr>
                <w:sz w:val="20"/>
                <w:szCs w:val="20"/>
                <w:color w:val="auto"/>
              </w:rPr>
            </w:pPr>
            <w:r>
              <w:rPr>
                <w:rFonts w:ascii="Arial" w:cs="Arial" w:eastAsia="Arial" w:hAnsi="Arial"/>
                <w:sz w:val="18"/>
                <w:szCs w:val="18"/>
                <w:color w:val="auto"/>
                <w:w w:val="94"/>
              </w:rPr>
              <w:t>withhold, an amount sufficient to satisfy federal, state, and local taxes (including your FICA</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8280" w:type="dxa"/>
            <w:vAlign w:val="bottom"/>
            <w:gridSpan w:val="3"/>
          </w:tcPr>
          <w:p>
            <w:pPr>
              <w:ind w:left="1480"/>
              <w:spacing w:after="0"/>
              <w:rPr>
                <w:sz w:val="20"/>
                <w:szCs w:val="20"/>
                <w:color w:val="auto"/>
              </w:rPr>
            </w:pPr>
            <w:r>
              <w:rPr>
                <w:rFonts w:ascii="Arial" w:cs="Arial" w:eastAsia="Arial" w:hAnsi="Arial"/>
                <w:sz w:val="18"/>
                <w:szCs w:val="18"/>
                <w:color w:val="auto"/>
                <w:w w:val="95"/>
              </w:rPr>
              <w:t>obligation), domestic or foreign, required by law to be withheld with respect to this Award.</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These Performance RSUs have been granted under and are governed by the terms and conditions of the Vera Bradley, Inc. 2020 Equity and Incentive Plan (the “2020 Plan”), as amended. The enclosed Statement of General Information and Availability of Information for the 2020 Plan forms part of a Section 10(a) prospectus covering securities that have been registered under the Securities Act of 1933, as amended. This document is also enclosed to provide further information and background. Any term capitalized herein but not defined will have the meaning set forth in the 2020 Plan.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Please see the enclosed Fiscal </w:t>
      </w:r>
      <w:r>
        <w:rPr>
          <w:rFonts w:ascii="Arial" w:cs="Arial" w:eastAsia="Arial" w:hAnsi="Arial"/>
          <w:sz w:val="17"/>
          <w:szCs w:val="17"/>
          <w:b w:val="1"/>
          <w:bCs w:val="1"/>
          <w:color w:val="auto"/>
        </w:rPr>
        <w:t>[Insert XX]</w:t>
      </w:r>
      <w:r>
        <w:rPr>
          <w:rFonts w:ascii="Arial" w:cs="Arial" w:eastAsia="Arial" w:hAnsi="Arial"/>
          <w:sz w:val="17"/>
          <w:szCs w:val="17"/>
          <w:color w:val="auto"/>
        </w:rPr>
        <w:t xml:space="preserve"> Long Term Incentive Restricted Stock Unit/Performance Unit Terms and Conditions for further information regarding your Award. It is very important that you keep these documents in a safe place because they describe your rights and responsibilities under the Performance Units and 2020 Plan and explain where and how to obtain other documents and information to which you are entitled.</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46" w:lineRule="auto"/>
        <w:rPr>
          <w:sz w:val="20"/>
          <w:szCs w:val="20"/>
          <w:color w:val="auto"/>
        </w:rPr>
      </w:pPr>
      <w:r>
        <w:rPr>
          <w:rFonts w:ascii="Arial" w:cs="Arial" w:eastAsia="Arial" w:hAnsi="Arial"/>
          <w:sz w:val="18"/>
          <w:szCs w:val="18"/>
          <w:color w:val="auto"/>
        </w:rPr>
        <w:t>Again, thank you for your continued contribution to the success of our organization! Your efforts are applauded and truly appreciated. If you have any questions regarding this discretionary grant, please contact Julie North, Vice President - Human Resources.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Rob Wallstrom</w:t>
      </w:r>
    </w:p>
    <w:p>
      <w:pPr>
        <w:sectPr>
          <w:pgSz w:w="11900" w:h="16838" w:orient="portrait"/>
          <w:cols w:equalWidth="0" w:num="1">
            <w:col w:w="11220"/>
          </w:cols>
          <w:pgMar w:left="320" w:top="1408" w:right="359" w:bottom="1440" w:gutter="0" w:footer="0" w:header="0"/>
        </w:sectPr>
      </w:pPr>
    </w:p>
    <w:bookmarkStart w:id="49" w:name="page50"/>
    <w:bookmarkEnd w:id="49"/>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2020 Equity and Incentive Plan</w:t>
      </w:r>
    </w:p>
    <w:p>
      <w:pPr>
        <w:spacing w:after="0" w:line="20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LONG TERM INCENTIVE PLAN</w:t>
      </w:r>
    </w:p>
    <w:p>
      <w:pPr>
        <w:jc w:val="center"/>
        <w:ind w:right="312"/>
        <w:spacing w:after="0" w:line="221" w:lineRule="auto"/>
        <w:rPr>
          <w:sz w:val="20"/>
          <w:szCs w:val="20"/>
          <w:color w:val="auto"/>
        </w:rPr>
      </w:pPr>
      <w:r>
        <w:rPr>
          <w:rFonts w:ascii="Arial" w:cs="Arial" w:eastAsia="Arial" w:hAnsi="Arial"/>
          <w:sz w:val="18"/>
          <w:szCs w:val="18"/>
          <w:b w:val="1"/>
          <w:bCs w:val="1"/>
          <w:u w:val="single" w:color="auto"/>
          <w:color w:val="auto"/>
        </w:rPr>
        <w:t>RESTRICTED STOCK UNIT/PERFORMANCE UNIT</w:t>
      </w:r>
    </w:p>
    <w:p>
      <w:pPr>
        <w:jc w:val="center"/>
        <w:ind w:right="312"/>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09" w:lineRule="exact"/>
        <w:rPr>
          <w:sz w:val="20"/>
          <w:szCs w:val="20"/>
          <w:color w:val="auto"/>
        </w:rPr>
      </w:pPr>
    </w:p>
    <w:p>
      <w:pPr>
        <w:ind w:left="328" w:hanging="328"/>
        <w:spacing w:after="0" w:line="246"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term capitalized herein but not defined will have the meaning set forth in the Vera Bradley, Inc. 2020 Equity and Incentive Plan (the "Plan").</w:t>
      </w:r>
    </w:p>
    <w:p>
      <w:pPr>
        <w:spacing w:after="0" w:line="196"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31" w:lineRule="auto"/>
        <w:tabs>
          <w:tab w:leader="none" w:pos="9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202" w:lineRule="exact"/>
        <w:rPr>
          <w:rFonts w:ascii="Arial" w:cs="Arial" w:eastAsia="Arial" w:hAnsi="Arial"/>
          <w:sz w:val="18"/>
          <w:szCs w:val="18"/>
          <w:color w:val="auto"/>
        </w:rPr>
      </w:pPr>
    </w:p>
    <w:p>
      <w:pPr>
        <w:jc w:val="both"/>
        <w:ind w:left="968" w:hanging="320"/>
        <w:spacing w:after="0" w:line="235"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Restricted Stock Units will vest in accordance with the terms of the Award Agreement.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201"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Grant and Vesting of Performance Units ("Performance RSUs")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31" w:lineRule="auto"/>
        <w:tabs>
          <w:tab w:leader="none" w:pos="9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spacing w:after="0" w:line="202" w:lineRule="exact"/>
        <w:rPr>
          <w:rFonts w:ascii="Arial" w:cs="Arial" w:eastAsia="Arial" w:hAnsi="Arial"/>
          <w:sz w:val="18"/>
          <w:szCs w:val="18"/>
          <w:color w:val="auto"/>
        </w:rPr>
      </w:pPr>
    </w:p>
    <w:p>
      <w:pPr>
        <w:jc w:val="both"/>
        <w:ind w:left="968" w:hanging="320"/>
        <w:spacing w:after="0" w:line="228"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Performance RSUs granted under the Plan will become earned only if the Company achieves a stated level of "Earnings Per Share"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204" w:lineRule="exact"/>
        <w:rPr>
          <w:rFonts w:ascii="Arial" w:cs="Arial" w:eastAsia="Arial" w:hAnsi="Arial"/>
          <w:sz w:val="18"/>
          <w:szCs w:val="18"/>
          <w:color w:val="auto"/>
        </w:rPr>
      </w:pPr>
    </w:p>
    <w:p>
      <w:pPr>
        <w:jc w:val="both"/>
        <w:ind w:left="1628" w:hanging="427"/>
        <w:spacing w:after="0" w:line="231" w:lineRule="auto"/>
        <w:tabs>
          <w:tab w:leader="none" w:pos="1628" w:val="left"/>
        </w:tabs>
        <w:numPr>
          <w:ilvl w:val="2"/>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of Results. </w:t>
      </w:r>
      <w:r>
        <w:rPr>
          <w:rFonts w:ascii="Arial" w:cs="Arial" w:eastAsia="Arial" w:hAnsi="Arial"/>
          <w:sz w:val="18"/>
          <w:szCs w:val="18"/>
          <w:color w:val="auto"/>
        </w:rPr>
        <w:t>Before any award of Performance RSUs is deemed earned with respect to a Performance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certify, in accordance with Section 9.5 of the Plan, in writing (i) that the performance goals described in the Award Agreement has been achieved for the Performance Period, and (ii) the calculation of "Earnings Per Share" (as defined below) for each Performance Year within the Performance Period.</w:t>
      </w:r>
    </w:p>
    <w:p>
      <w:pPr>
        <w:spacing w:after="0" w:line="202" w:lineRule="exact"/>
        <w:rPr>
          <w:rFonts w:ascii="Arial" w:cs="Arial" w:eastAsia="Arial" w:hAnsi="Arial"/>
          <w:sz w:val="18"/>
          <w:szCs w:val="18"/>
          <w:color w:val="auto"/>
        </w:rPr>
      </w:pPr>
    </w:p>
    <w:p>
      <w:pPr>
        <w:jc w:val="both"/>
        <w:ind w:left="1628" w:hanging="477"/>
        <w:spacing w:after="0" w:line="227" w:lineRule="auto"/>
        <w:tabs>
          <w:tab w:leader="none" w:pos="1628" w:val="left"/>
        </w:tabs>
        <w:numPr>
          <w:ilvl w:val="2"/>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"Earnings Per Share." </w:t>
      </w:r>
      <w:r>
        <w:rPr>
          <w:rFonts w:ascii="Arial" w:cs="Arial" w:eastAsia="Arial" w:hAnsi="Arial"/>
          <w:sz w:val="18"/>
          <w:szCs w:val="18"/>
          <w:color w:val="auto"/>
        </w:rPr>
        <w:t>For purposes of this Subsection 3(b), the term "Earnings Per Share" means,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Awards of Performance RSUs, the Company's consolidated earnings per share,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w:t>
      </w:r>
    </w:p>
    <w:p>
      <w:pPr>
        <w:sectPr>
          <w:pgSz w:w="11900" w:h="16838" w:orient="portrait"/>
          <w:cols w:equalWidth="0" w:num="1">
            <w:col w:w="10908"/>
          </w:cols>
          <w:pgMar w:left="652" w:top="1440" w:right="339" w:bottom="1440" w:gutter="0" w:footer="0" w:header="0"/>
        </w:sectPr>
      </w:pPr>
    </w:p>
    <w:bookmarkStart w:id="50" w:name="page51"/>
    <w:bookmarkEnd w:id="50"/>
    <w:p>
      <w:pPr>
        <w:ind w:left="1628"/>
        <w:spacing w:after="0" w:line="228" w:lineRule="auto"/>
        <w:rPr>
          <w:sz w:val="20"/>
          <w:szCs w:val="20"/>
          <w:color w:val="auto"/>
        </w:rPr>
      </w:pPr>
      <w:r>
        <w:rPr>
          <w:rFonts w:ascii="Arial" w:cs="Arial" w:eastAsia="Arial" w:hAnsi="Arial"/>
          <w:sz w:val="18"/>
          <w:szCs w:val="18"/>
          <w:color w:val="auto"/>
        </w:rPr>
        <w:t>arising from litigation, (iii) corporate restructuring, asset impairment, or other special charges, and (iv) cumulative effect of changes to U.S. GAAP accounting.</w:t>
      </w:r>
    </w:p>
    <w:p>
      <w:pPr>
        <w:spacing w:after="0" w:line="1" w:lineRule="exact"/>
        <w:rPr>
          <w:sz w:val="20"/>
          <w:szCs w:val="20"/>
          <w:color w:val="auto"/>
        </w:rPr>
      </w:pPr>
    </w:p>
    <w:p>
      <w:pPr>
        <w:ind w:left="1628" w:hanging="526"/>
        <w:spacing w:after="0" w:line="255" w:lineRule="auto"/>
        <w:tabs>
          <w:tab w:leader="none" w:pos="1628" w:val="left"/>
        </w:tabs>
        <w:numPr>
          <w:ilvl w:val="2"/>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Definition of "Performance Year." </w:t>
      </w:r>
      <w:r>
        <w:rPr>
          <w:rFonts w:ascii="Arial" w:cs="Arial" w:eastAsia="Arial" w:hAnsi="Arial"/>
          <w:sz w:val="17"/>
          <w:szCs w:val="17"/>
          <w:color w:val="auto"/>
        </w:rPr>
        <w:t>For purposes of this Subsection 3(b), the term "Performance Year" means, with respect to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Awards of Performance RSUs, each fiscal year of the Company ending within the Performance Period.</w:t>
      </w:r>
    </w:p>
    <w:p>
      <w:pPr>
        <w:spacing w:after="0" w:line="189" w:lineRule="exact"/>
        <w:rPr>
          <w:rFonts w:ascii="Arial" w:cs="Arial" w:eastAsia="Arial" w:hAnsi="Arial"/>
          <w:sz w:val="17"/>
          <w:szCs w:val="17"/>
          <w:color w:val="auto"/>
        </w:rPr>
      </w:pPr>
    </w:p>
    <w:p>
      <w:pPr>
        <w:jc w:val="both"/>
        <w:ind w:left="1628" w:hanging="517"/>
        <w:spacing w:after="0" w:line="225" w:lineRule="auto"/>
        <w:tabs>
          <w:tab w:leader="none" w:pos="1616" w:val="left"/>
        </w:tabs>
        <w:numPr>
          <w:ilvl w:val="2"/>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Finality of Committee Determinations. </w:t>
      </w:r>
      <w:r>
        <w:rPr>
          <w:rFonts w:ascii="Arial" w:cs="Arial" w:eastAsia="Arial" w:hAnsi="Arial"/>
          <w:sz w:val="18"/>
          <w:szCs w:val="18"/>
          <w:color w:val="auto"/>
        </w:rPr>
        <w:t>Any determination by the Committee of Earnings per Share and the level and entitlement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Award of Performance RSUs, and any interpretation, rule, or decision adopted by the Committee under the Plan or in carrying out or administering the Plan, is final and binding for all purposes and upon all interested persons, their heirs, and personal representatives. The Committee may rely conclusively on determinations made by the Company and its auditors to determine Earnings per Share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w:t>
      </w:r>
    </w:p>
    <w:p>
      <w:pPr>
        <w:spacing w:after="0" w:line="202" w:lineRule="exact"/>
        <w:rPr>
          <w:rFonts w:ascii="Arial" w:cs="Arial" w:eastAsia="Arial" w:hAnsi="Arial"/>
          <w:sz w:val="18"/>
          <w:szCs w:val="18"/>
          <w:color w:val="auto"/>
        </w:rPr>
      </w:pPr>
    </w:p>
    <w:p>
      <w:pPr>
        <w:ind w:left="328" w:hanging="328"/>
        <w:spacing w:after="0"/>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35" w:lineRule="auto"/>
        <w:tabs>
          <w:tab w:leader="none" w:pos="9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201" w:lineRule="exact"/>
        <w:rPr>
          <w:rFonts w:ascii="Arial" w:cs="Arial" w:eastAsia="Arial" w:hAnsi="Arial"/>
          <w:sz w:val="18"/>
          <w:szCs w:val="18"/>
          <w:color w:val="auto"/>
        </w:rPr>
      </w:pPr>
    </w:p>
    <w:p>
      <w:pPr>
        <w:jc w:val="both"/>
        <w:ind w:left="968" w:hanging="320"/>
        <w:spacing w:after="0" w:line="236" w:lineRule="auto"/>
        <w:tabs>
          <w:tab w:leader="none" w:pos="968" w:val="left"/>
        </w:tabs>
        <w:numPr>
          <w:ilvl w:val="1"/>
          <w:numId w:val="44"/>
        </w:numPr>
        <w:rPr>
          <w:rFonts w:ascii="Arial" w:cs="Arial" w:eastAsia="Arial" w:hAnsi="Arial"/>
          <w:sz w:val="17"/>
          <w:szCs w:val="17"/>
          <w:color w:val="auto"/>
        </w:rPr>
      </w:pPr>
      <w:r>
        <w:rPr>
          <w:rFonts w:ascii="Arial" w:cs="Arial" w:eastAsia="Arial" w:hAnsi="Arial"/>
          <w:sz w:val="17"/>
          <w:szCs w:val="17"/>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 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204" w:lineRule="exact"/>
        <w:rPr>
          <w:rFonts w:ascii="Arial" w:cs="Arial" w:eastAsia="Arial" w:hAnsi="Arial"/>
          <w:sz w:val="17"/>
          <w:szCs w:val="17"/>
          <w:color w:val="auto"/>
        </w:rPr>
      </w:pPr>
    </w:p>
    <w:p>
      <w:pPr>
        <w:jc w:val="both"/>
        <w:ind w:left="328" w:hanging="328"/>
        <w:spacing w:after="0" w:line="242"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Termination of Service; Change in Control</w:t>
      </w:r>
      <w:r>
        <w:rPr>
          <w:rFonts w:ascii="Arial" w:cs="Arial" w:eastAsia="Arial" w:hAnsi="Arial"/>
          <w:sz w:val="17"/>
          <w:szCs w:val="17"/>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 immediately prior to or upon the consummation of a Change in Control.</w:t>
      </w:r>
    </w:p>
    <w:p>
      <w:pPr>
        <w:spacing w:after="0" w:line="202" w:lineRule="exact"/>
        <w:rPr>
          <w:rFonts w:ascii="Arial" w:cs="Arial" w:eastAsia="Arial" w:hAnsi="Arial"/>
          <w:sz w:val="17"/>
          <w:szCs w:val="17"/>
          <w:color w:val="auto"/>
        </w:rPr>
      </w:pPr>
    </w:p>
    <w:p>
      <w:pPr>
        <w:ind w:left="328" w:right="20"/>
        <w:spacing w:after="0" w:line="258" w:lineRule="auto"/>
        <w:rPr>
          <w:rFonts w:ascii="Arial" w:cs="Arial" w:eastAsia="Arial" w:hAnsi="Arial"/>
          <w:sz w:val="17"/>
          <w:szCs w:val="17"/>
          <w:color w:val="auto"/>
        </w:rPr>
      </w:pPr>
      <w:r>
        <w:rPr>
          <w:rFonts w:ascii="Arial" w:cs="Arial" w:eastAsia="Arial" w:hAnsi="Arial"/>
          <w:sz w:val="16"/>
          <w:szCs w:val="16"/>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w:t>
      </w:r>
    </w:p>
    <w:p>
      <w:pPr>
        <w:sectPr>
          <w:pgSz w:w="11900" w:h="16838" w:orient="portrait"/>
          <w:cols w:equalWidth="0" w:num="1">
            <w:col w:w="10908"/>
          </w:cols>
          <w:pgMar w:left="652" w:top="1408" w:right="339" w:bottom="1440" w:gutter="0" w:footer="0" w:header="0"/>
        </w:sectPr>
      </w:pPr>
    </w:p>
    <w:bookmarkStart w:id="51" w:name="page52"/>
    <w:bookmarkEnd w:id="51"/>
    <w:p>
      <w:pPr>
        <w:ind w:left="328" w:right="160"/>
        <w:spacing w:after="0" w:line="225" w:lineRule="auto"/>
        <w:rPr>
          <w:sz w:val="20"/>
          <w:szCs w:val="20"/>
          <w:color w:val="auto"/>
        </w:rPr>
      </w:pPr>
      <w:r>
        <w:rPr>
          <w:rFonts w:ascii="Arial" w:cs="Arial" w:eastAsia="Arial" w:hAnsi="Arial"/>
          <w:sz w:val="18"/>
          <w:szCs w:val="18"/>
          <w:color w:val="auto"/>
        </w:rPr>
        <w:t>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03" w:lineRule="exact"/>
        <w:rPr>
          <w:sz w:val="20"/>
          <w:szCs w:val="20"/>
          <w:color w:val="auto"/>
        </w:rPr>
      </w:pPr>
    </w:p>
    <w:p>
      <w:pPr>
        <w:jc w:val="both"/>
        <w:ind w:left="328" w:hanging="328"/>
        <w:spacing w:after="0" w:line="229" w:lineRule="auto"/>
        <w:tabs>
          <w:tab w:leader="none" w:pos="32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Timing and Form of Payment</w:t>
      </w:r>
      <w:r>
        <w:rPr>
          <w:rFonts w:ascii="Arial" w:cs="Arial" w:eastAsia="Arial" w:hAnsi="Arial"/>
          <w:sz w:val="17"/>
          <w:szCs w:val="17"/>
          <w:color w:val="auto"/>
        </w:rPr>
        <w:t>. Except as provided in this Section or in clauses 2(b) or 3(b) or Section 5, above, once a Restricted Stock Unit vests or a Performance RSU is earned and vested, as applicable, the Participant will be entitled to receive a Share in its place. Delivery of the Share will be made, including delivery with respect to a Disabled Participant, or to the estate of a deceased Participant, after the end of the Restricted Period or Performance Period, as applicable, and not later than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pacing w:after="0" w:line="203" w:lineRule="exact"/>
        <w:rPr>
          <w:rFonts w:ascii="Arial" w:cs="Arial" w:eastAsia="Arial" w:hAnsi="Arial"/>
          <w:sz w:val="17"/>
          <w:szCs w:val="17"/>
          <w:color w:val="auto"/>
        </w:rPr>
      </w:pPr>
    </w:p>
    <w:p>
      <w:pPr>
        <w:ind w:left="328" w:hanging="328"/>
        <w:spacing w:after="0" w:line="246"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96" w:lineRule="exact"/>
        <w:rPr>
          <w:rFonts w:ascii="Arial" w:cs="Arial" w:eastAsia="Arial" w:hAnsi="Arial"/>
          <w:sz w:val="18"/>
          <w:szCs w:val="18"/>
          <w:color w:val="auto"/>
        </w:rPr>
      </w:pPr>
    </w:p>
    <w:p>
      <w:pPr>
        <w:jc w:val="both"/>
        <w:ind w:left="328" w:hanging="328"/>
        <w:spacing w:after="0" w:line="246" w:lineRule="auto"/>
        <w:tabs>
          <w:tab w:leader="none" w:pos="32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Withholding Tax</w:t>
      </w:r>
      <w:r>
        <w:rPr>
          <w:rFonts w:ascii="Arial" w:cs="Arial" w:eastAsia="Arial" w:hAnsi="Arial"/>
          <w:sz w:val="17"/>
          <w:szCs w:val="17"/>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pacing w:after="0" w:line="197" w:lineRule="exact"/>
        <w:rPr>
          <w:rFonts w:ascii="Arial" w:cs="Arial" w:eastAsia="Arial" w:hAnsi="Arial"/>
          <w:sz w:val="17"/>
          <w:szCs w:val="17"/>
          <w:color w:val="auto"/>
        </w:rPr>
      </w:pPr>
    </w:p>
    <w:p>
      <w:pPr>
        <w:ind w:left="328" w:hanging="328"/>
        <w:spacing w:after="0"/>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27" w:lineRule="auto"/>
        <w:tabs>
          <w:tab w:leader="none" w:pos="9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202" w:lineRule="exact"/>
        <w:rPr>
          <w:rFonts w:ascii="Arial" w:cs="Arial" w:eastAsia="Arial" w:hAnsi="Arial"/>
          <w:sz w:val="18"/>
          <w:szCs w:val="18"/>
          <w:color w:val="auto"/>
        </w:rPr>
      </w:pPr>
    </w:p>
    <w:p>
      <w:pPr>
        <w:jc w:val="both"/>
        <w:ind w:left="968" w:hanging="320"/>
        <w:spacing w:after="0" w:line="255" w:lineRule="auto"/>
        <w:tabs>
          <w:tab w:leader="none" w:pos="968"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91" w:lineRule="exact"/>
        <w:rPr>
          <w:rFonts w:ascii="Arial" w:cs="Arial" w:eastAsia="Arial" w:hAnsi="Arial"/>
          <w:sz w:val="16"/>
          <w:szCs w:val="16"/>
          <w:color w:val="auto"/>
        </w:rPr>
      </w:pPr>
    </w:p>
    <w:p>
      <w:pPr>
        <w:jc w:val="both"/>
        <w:ind w:left="328" w:hanging="328"/>
        <w:spacing w:after="0" w:line="235" w:lineRule="auto"/>
        <w:tabs>
          <w:tab w:leader="none" w:pos="32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ectPr>
          <w:pgSz w:w="11900" w:h="16838" w:orient="portrait"/>
          <w:cols w:equalWidth="0" w:num="1">
            <w:col w:w="10908"/>
          </w:cols>
          <w:pgMar w:left="652" w:top="1408" w:right="339" w:bottom="1440" w:gutter="0" w:footer="0" w:header="0"/>
        </w:sectPr>
      </w:pPr>
    </w:p>
    <w:bookmarkStart w:id="52" w:name="page53"/>
    <w:bookmarkEnd w:id="52"/>
    <w:p>
      <w:pPr>
        <w:spacing w:after="0" w:line="211" w:lineRule="exact"/>
        <w:rPr>
          <w:sz w:val="20"/>
          <w:szCs w:val="20"/>
          <w:color w:val="auto"/>
        </w:rPr>
      </w:pPr>
    </w:p>
    <w:p>
      <w:pPr>
        <w:jc w:val="both"/>
        <w:ind w:left="328" w:hanging="328"/>
        <w:spacing w:after="0" w:line="225" w:lineRule="auto"/>
        <w:tabs>
          <w:tab w:leader="none" w:pos="31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Plan, Restricted Stock Units, Performance RSUs and Award Not a Contract of Employment. Neither the</w:t>
      </w:r>
      <w:r>
        <w:rPr>
          <w:rFonts w:ascii="Arial" w:cs="Arial" w:eastAsia="Arial" w:hAnsi="Arial"/>
          <w:sz w:val="18"/>
          <w:szCs w:val="18"/>
          <w:color w:val="auto"/>
        </w:rPr>
        <w:t xml:space="preserv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207" w:lineRule="exact"/>
        <w:rPr>
          <w:rFonts w:ascii="Arial" w:cs="Arial" w:eastAsia="Arial" w:hAnsi="Arial"/>
          <w:sz w:val="18"/>
          <w:szCs w:val="18"/>
          <w:color w:val="auto"/>
        </w:rPr>
      </w:pPr>
    </w:p>
    <w:p>
      <w:pPr>
        <w:jc w:val="both"/>
        <w:ind w:left="328" w:hanging="328"/>
        <w:spacing w:after="0" w:line="235" w:lineRule="auto"/>
        <w:tabs>
          <w:tab w:leader="none" w:pos="32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201" w:lineRule="exact"/>
        <w:rPr>
          <w:rFonts w:ascii="Arial" w:cs="Arial" w:eastAsia="Arial" w:hAnsi="Arial"/>
          <w:sz w:val="18"/>
          <w:szCs w:val="18"/>
          <w:color w:val="auto"/>
        </w:rPr>
      </w:pPr>
    </w:p>
    <w:p>
      <w:pPr>
        <w:jc w:val="both"/>
        <w:ind w:left="328" w:hanging="328"/>
        <w:spacing w:after="0" w:line="246" w:lineRule="auto"/>
        <w:tabs>
          <w:tab w:leader="none" w:pos="32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12420 Stonebridge Road, Roanoke, Indiana 46783, Attn: Corporate Secretary, and, in the case of the Participant, to the last known address of the Participant in the Company's records.</w:t>
      </w:r>
    </w:p>
    <w:p>
      <w:pPr>
        <w:spacing w:after="0" w:line="197" w:lineRule="exact"/>
        <w:rPr>
          <w:rFonts w:ascii="Arial" w:cs="Arial" w:eastAsia="Arial" w:hAnsi="Arial"/>
          <w:sz w:val="17"/>
          <w:szCs w:val="17"/>
          <w:color w:val="auto"/>
        </w:rPr>
      </w:pPr>
    </w:p>
    <w:p>
      <w:pPr>
        <w:ind w:left="328" w:hanging="328"/>
        <w:spacing w:after="0" w:line="246" w:lineRule="auto"/>
        <w:tabs>
          <w:tab w:leader="none" w:pos="32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96" w:lineRule="exact"/>
        <w:rPr>
          <w:rFonts w:ascii="Arial" w:cs="Arial" w:eastAsia="Arial" w:hAnsi="Arial"/>
          <w:sz w:val="18"/>
          <w:szCs w:val="18"/>
          <w:color w:val="auto"/>
        </w:rPr>
      </w:pPr>
    </w:p>
    <w:p>
      <w:pPr>
        <w:jc w:val="both"/>
        <w:ind w:left="328" w:hanging="328"/>
        <w:spacing w:after="0" w:line="246" w:lineRule="auto"/>
        <w:tabs>
          <w:tab w:leader="none" w:pos="32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97" w:lineRule="exact"/>
        <w:rPr>
          <w:rFonts w:ascii="Arial" w:cs="Arial" w:eastAsia="Arial" w:hAnsi="Arial"/>
          <w:sz w:val="17"/>
          <w:szCs w:val="17"/>
          <w:color w:val="auto"/>
        </w:rPr>
      </w:pPr>
    </w:p>
    <w:p>
      <w:pPr>
        <w:jc w:val="both"/>
        <w:ind w:left="328" w:right="20" w:hanging="328"/>
        <w:spacing w:after="0" w:line="235" w:lineRule="auto"/>
        <w:tabs>
          <w:tab w:leader="none" w:pos="32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ectPr>
          <w:pgSz w:w="11900" w:h="16838" w:orient="portrait"/>
          <w:cols w:equalWidth="0" w:num="1">
            <w:col w:w="10908"/>
          </w:cols>
          <w:pgMar w:left="652" w:top="144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2020 Equity and Incentive Plan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OUTSIDE DIRECTOR RESTRICTED STOCK UNIT TERMS AND CONDITIONS</w:t>
      </w:r>
    </w:p>
    <w:p>
      <w:pPr>
        <w:spacing w:after="0" w:line="252" w:lineRule="exact"/>
        <w:rPr>
          <w:sz w:val="20"/>
          <w:szCs w:val="20"/>
          <w:color w:val="auto"/>
        </w:rPr>
      </w:pPr>
    </w:p>
    <w:p>
      <w:pPr>
        <w:ind w:firstLine="8"/>
        <w:spacing w:after="0" w:line="277"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term capitalized herein but not defined will have the meaning set forth in the Vera Bradley, Inc. 2020 Equity and Incentive Plan (the “Plan”).</w:t>
      </w:r>
    </w:p>
    <w:p>
      <w:pPr>
        <w:spacing w:after="0" w:line="197"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firstLine="656"/>
        <w:spacing w:after="0" w:line="250"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 of the grant date specified in the letter that accompanies this document (the “Grant Date”), the Participant will be credited with the number of Restricted Stock Units set forth in the letter that accompanies this document.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1" w:lineRule="exact"/>
        <w:rPr>
          <w:rFonts w:ascii="Arial" w:cs="Arial" w:eastAsia="Arial" w:hAnsi="Arial"/>
          <w:sz w:val="18"/>
          <w:szCs w:val="18"/>
          <w:color w:val="auto"/>
        </w:rPr>
      </w:pPr>
    </w:p>
    <w:p>
      <w:pPr>
        <w:jc w:val="both"/>
        <w:ind w:firstLine="656"/>
        <w:spacing w:after="0" w:line="255" w:lineRule="auto"/>
        <w:tabs>
          <w:tab w:leader="none" w:pos="916"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Restricted Stock Units will vest on the first anniversaries of the Grant Date. If the Participant's Service with the Company and all of its Affiliates terminates before the date that all of the Restricted Stock Units vest, his or her right to receive the Shares underlying such unvested Restricted Stock Units will be only as provided in Section 4.</w:t>
      </w:r>
    </w:p>
    <w:p>
      <w:pPr>
        <w:spacing w:after="0" w:line="216"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firstLine="656"/>
        <w:spacing w:after="0" w:line="250"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Unless and until a Restricted Stock Unit has vested and the Share underlying it has been distributed to the Participant, the Participant will not be entitled to vote in respect of that Restricted Stock Unit or that Share.</w:t>
      </w:r>
    </w:p>
    <w:p>
      <w:pPr>
        <w:jc w:val="both"/>
        <w:ind w:firstLine="656"/>
        <w:spacing w:after="0" w:line="286" w:lineRule="auto"/>
        <w:tabs>
          <w:tab w:leader="none" w:pos="903"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awarded under the applicable Award Agreement, and will be paid in cash in a single sum at the time that the Shares associated with the Participant's Restricted Stock Units are delivered (or forfeited at the time that the Participant's Restricted Stock Units are forfeited).</w:t>
      </w:r>
    </w:p>
    <w:p>
      <w:pPr>
        <w:spacing w:after="0" w:line="199" w:lineRule="exact"/>
        <w:rPr>
          <w:rFonts w:ascii="Arial" w:cs="Arial" w:eastAsia="Arial" w:hAnsi="Arial"/>
          <w:sz w:val="16"/>
          <w:szCs w:val="16"/>
          <w:color w:val="auto"/>
        </w:rPr>
      </w:pPr>
    </w:p>
    <w:p>
      <w:pPr>
        <w:jc w:val="both"/>
        <w:ind w:firstLine="8"/>
        <w:spacing w:after="0" w:line="291"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Termination of Service; Change in Control</w:t>
      </w:r>
      <w:r>
        <w:rPr>
          <w:rFonts w:ascii="Arial" w:cs="Arial" w:eastAsia="Arial" w:hAnsi="Arial"/>
          <w:sz w:val="16"/>
          <w:szCs w:val="16"/>
          <w:color w:val="auto"/>
        </w:rPr>
        <w:t>. A Participant's right to receive the Shares underlying his or her Restricted Stock Units after termination of his or her Service will be only as provided in this Section. If a Participant's Service is terminated due to the Participant's death or Disability, the Participant (or his or her estate) will be immediately entitled to receive the Shares underlying all of the Restricted Stock Units that have not yet vested under Section 2 above. Other than a Removal pursuant to Section 2.10 of the Company’s Bylaws, the Shares underlying all of the Restricted Stock Units that have not yet vested will vest in accordance with the vesting schedule in Section 2 above. If a Participant's Service is Removed pursuant to Section 2.10, the Participant will forfeit the right to receive Shares underlying under Restricted Stock Units that have not yet vested. Notwithstanding anything to the contrary herein, all previously unvested Restricted Stock Units then outstanding will vest immediately upon the occurrence of a Change in Control.</w:t>
      </w:r>
    </w:p>
    <w:p>
      <w:pPr>
        <w:sectPr>
          <w:pgSz w:w="11900" w:h="16838" w:orient="portrait"/>
          <w:cols w:equalWidth="0" w:num="1">
            <w:col w:w="11240"/>
          </w:cols>
          <w:pgMar w:left="320" w:top="1417" w:right="339" w:bottom="1440" w:gutter="0" w:footer="0" w:header="0"/>
        </w:sectPr>
      </w:pPr>
    </w:p>
    <w:bookmarkStart w:id="54" w:name="page55"/>
    <w:bookmarkEnd w:id="54"/>
    <w:p>
      <w:pPr>
        <w:jc w:val="both"/>
        <w:ind w:firstLine="648"/>
        <w:spacing w:after="0" w:line="268" w:lineRule="auto"/>
        <w:rPr>
          <w:sz w:val="20"/>
          <w:szCs w:val="20"/>
          <w:color w:val="auto"/>
        </w:rPr>
      </w:pPr>
      <w:r>
        <w:rPr>
          <w:rFonts w:ascii="Arial" w:cs="Arial" w:eastAsia="Arial" w:hAnsi="Arial"/>
          <w:sz w:val="17"/>
          <w:szCs w:val="17"/>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where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13" w:lineRule="exact"/>
        <w:rPr>
          <w:sz w:val="20"/>
          <w:szCs w:val="20"/>
          <w:color w:val="auto"/>
        </w:rPr>
      </w:pPr>
    </w:p>
    <w:p>
      <w:pPr>
        <w:jc w:val="both"/>
        <w:ind w:firstLine="656"/>
        <w:spacing w:after="0" w:line="257" w:lineRule="auto"/>
        <w:tabs>
          <w:tab w:leader="none" w:pos="84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w:t>
      </w:r>
      <w:r>
        <w:rPr>
          <w:rFonts w:ascii="Arial" w:cs="Arial" w:eastAsia="Arial" w:hAnsi="Arial"/>
          <w:sz w:val="18"/>
          <w:szCs w:val="18"/>
          <w:color w:val="auto"/>
        </w:rPr>
        <w:t>. Except as provided in this Section or in clauses 2(b) or Section 4, once a Restricted Stock Unit vests, the Participant will be entitled to receive a Share in its place. Delivery of the Share will be made, including delivery with respect to a Disabled Participant, or to the estate of a deceased Participant, as soon as administratively feasible after its associated Restricted Stock Unit vests. Shares will be credited to an account established for the benefit of the Participant with the Company's administrative agent. The Participant will have full legal and beneficial ownership with respect to the Shares at that time.</w:t>
      </w:r>
    </w:p>
    <w:p>
      <w:pPr>
        <w:spacing w:after="0" w:line="214" w:lineRule="exact"/>
        <w:rPr>
          <w:rFonts w:ascii="Arial" w:cs="Arial" w:eastAsia="Arial" w:hAnsi="Arial"/>
          <w:sz w:val="18"/>
          <w:szCs w:val="18"/>
          <w:color w:val="auto"/>
        </w:rPr>
      </w:pPr>
    </w:p>
    <w:p>
      <w:pPr>
        <w:ind w:firstLine="656"/>
        <w:spacing w:after="0" w:line="277"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97" w:lineRule="exact"/>
        <w:rPr>
          <w:rFonts w:ascii="Arial" w:cs="Arial" w:eastAsia="Arial" w:hAnsi="Arial"/>
          <w:sz w:val="18"/>
          <w:szCs w:val="18"/>
          <w:color w:val="auto"/>
        </w:rPr>
      </w:pPr>
    </w:p>
    <w:p>
      <w:pPr>
        <w:jc w:val="both"/>
        <w:ind w:firstLine="656"/>
        <w:spacing w:after="0" w:line="263" w:lineRule="auto"/>
        <w:tabs>
          <w:tab w:leader="none" w:pos="8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and any Affiliate will have the right to retain Shares or cash that are distributable to the Participant hereunder to the extent necessary to satisfy any withholding taxes, whether federal or state, triggered by the distribution of Shares or cash pursuant to the Award reflected in this document.</w:t>
      </w:r>
    </w:p>
    <w:p>
      <w:pPr>
        <w:spacing w:after="0" w:line="210" w:lineRule="exact"/>
        <w:rPr>
          <w:rFonts w:ascii="Arial" w:cs="Arial" w:eastAsia="Arial" w:hAnsi="Arial"/>
          <w:sz w:val="18"/>
          <w:szCs w:val="18"/>
          <w:color w:val="auto"/>
        </w:rPr>
      </w:pPr>
    </w:p>
    <w:p>
      <w:pPr>
        <w:ind w:left="840" w:hanging="184"/>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252" w:lineRule="exact"/>
        <w:rPr>
          <w:sz w:val="20"/>
          <w:szCs w:val="20"/>
          <w:color w:val="auto"/>
        </w:rPr>
      </w:pPr>
    </w:p>
    <w:p>
      <w:pPr>
        <w:jc w:val="both"/>
        <w:ind w:firstLine="656"/>
        <w:spacing w:after="0" w:line="257" w:lineRule="auto"/>
        <w:tabs>
          <w:tab w:leader="none" w:pos="8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Restricted Stock Units are subject to the further requirement that, if at any time the Committee determines in its sole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214" w:lineRule="exact"/>
        <w:rPr>
          <w:rFonts w:ascii="Arial" w:cs="Arial" w:eastAsia="Arial" w:hAnsi="Arial"/>
          <w:sz w:val="18"/>
          <w:szCs w:val="18"/>
          <w:color w:val="auto"/>
        </w:rPr>
      </w:pPr>
    </w:p>
    <w:p>
      <w:pPr>
        <w:jc w:val="both"/>
        <w:ind w:firstLine="656"/>
        <w:spacing w:after="0" w:line="291" w:lineRule="auto"/>
        <w:tabs>
          <w:tab w:leader="none" w:pos="903"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ectPr>
          <w:pgSz w:w="11900" w:h="16838" w:orient="portrait"/>
          <w:cols w:equalWidth="0" w:num="1">
            <w:col w:w="11240"/>
          </w:cols>
          <w:pgMar w:left="320" w:top="1421" w:right="339" w:bottom="1440" w:gutter="0" w:footer="0" w:header="0"/>
        </w:sectPr>
      </w:pPr>
    </w:p>
    <w:bookmarkStart w:id="55" w:name="page56"/>
    <w:bookmarkEnd w:id="55"/>
    <w:p>
      <w:pPr>
        <w:jc w:val="both"/>
        <w:ind w:left="-656" w:firstLine="656"/>
        <w:spacing w:after="0" w:line="263" w:lineRule="auto"/>
        <w:tabs>
          <w:tab w:leader="none" w:pos="1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210" w:lineRule="exact"/>
        <w:rPr>
          <w:rFonts w:ascii="Arial" w:cs="Arial" w:eastAsia="Arial" w:hAnsi="Arial"/>
          <w:sz w:val="18"/>
          <w:szCs w:val="18"/>
          <w:color w:val="auto"/>
        </w:rPr>
      </w:pPr>
    </w:p>
    <w:p>
      <w:pPr>
        <w:jc w:val="both"/>
        <w:ind w:left="-656" w:firstLine="656"/>
        <w:spacing w:after="0" w:line="273" w:lineRule="auto"/>
        <w:tabs>
          <w:tab w:leader="none" w:pos="26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Plan, Restricted Stock Units, and Award Not a Contract of Employment</w:t>
      </w:r>
      <w:r>
        <w:rPr>
          <w:rFonts w:ascii="Arial" w:cs="Arial" w:eastAsia="Arial" w:hAnsi="Arial"/>
          <w:sz w:val="17"/>
          <w:szCs w:val="17"/>
          <w:color w:val="auto"/>
        </w:rPr>
        <w:t>. Neither the Plan, the Restricted Stock Units, nor any other right or interest that is part of the Award granted under the Plan or this document is a contract of employment, and no terms of employment or Service of the Participant will be affected in any way by the Plan, the Restricted Stock Units,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204" w:lineRule="exact"/>
        <w:rPr>
          <w:rFonts w:ascii="Arial" w:cs="Arial" w:eastAsia="Arial" w:hAnsi="Arial"/>
          <w:sz w:val="17"/>
          <w:szCs w:val="17"/>
          <w:color w:val="auto"/>
        </w:rPr>
      </w:pPr>
    </w:p>
    <w:p>
      <w:pPr>
        <w:jc w:val="both"/>
        <w:ind w:left="-656" w:firstLine="656"/>
        <w:spacing w:after="0" w:line="263" w:lineRule="auto"/>
        <w:tabs>
          <w:tab w:leader="none" w:pos="26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prior to the date on which he or she is recorded as the holder of those Shares on the records of the Company.</w:t>
      </w:r>
    </w:p>
    <w:p>
      <w:pPr>
        <w:spacing w:after="0" w:line="210" w:lineRule="exact"/>
        <w:rPr>
          <w:rFonts w:ascii="Arial" w:cs="Arial" w:eastAsia="Arial" w:hAnsi="Arial"/>
          <w:sz w:val="18"/>
          <w:szCs w:val="18"/>
          <w:color w:val="auto"/>
        </w:rPr>
      </w:pPr>
    </w:p>
    <w:p>
      <w:pPr>
        <w:jc w:val="both"/>
        <w:ind w:left="-656" w:firstLine="656"/>
        <w:spacing w:after="0" w:line="279" w:lineRule="auto"/>
        <w:tabs>
          <w:tab w:leader="none" w:pos="26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12420 Stonebridge Road, Roanoke, Indiana 46783, Attn: Corporate Secretary, and, in the case of the Participant, to the last known address of the Participant in the Company's records.</w:t>
      </w:r>
    </w:p>
    <w:p>
      <w:pPr>
        <w:spacing w:after="0" w:line="198" w:lineRule="exact"/>
        <w:rPr>
          <w:rFonts w:ascii="Arial" w:cs="Arial" w:eastAsia="Arial" w:hAnsi="Arial"/>
          <w:sz w:val="17"/>
          <w:szCs w:val="17"/>
          <w:color w:val="auto"/>
        </w:rPr>
      </w:pPr>
    </w:p>
    <w:p>
      <w:pPr>
        <w:ind w:left="-656" w:right="20" w:firstLine="656"/>
        <w:spacing w:after="0" w:line="277" w:lineRule="auto"/>
        <w:tabs>
          <w:tab w:leader="none" w:pos="26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97" w:lineRule="exact"/>
        <w:rPr>
          <w:rFonts w:ascii="Arial" w:cs="Arial" w:eastAsia="Arial" w:hAnsi="Arial"/>
          <w:sz w:val="18"/>
          <w:szCs w:val="18"/>
          <w:color w:val="auto"/>
        </w:rPr>
      </w:pPr>
    </w:p>
    <w:p>
      <w:pPr>
        <w:jc w:val="both"/>
        <w:ind w:left="-656" w:firstLine="656"/>
        <w:spacing w:after="0" w:line="279" w:lineRule="auto"/>
        <w:tabs>
          <w:tab w:leader="none" w:pos="26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98" w:lineRule="exact"/>
        <w:rPr>
          <w:rFonts w:ascii="Arial" w:cs="Arial" w:eastAsia="Arial" w:hAnsi="Arial"/>
          <w:sz w:val="17"/>
          <w:szCs w:val="17"/>
          <w:color w:val="auto"/>
        </w:rPr>
      </w:pPr>
    </w:p>
    <w:p>
      <w:pPr>
        <w:jc w:val="both"/>
        <w:ind w:left="-656" w:firstLine="656"/>
        <w:spacing w:after="0" w:line="263" w:lineRule="auto"/>
        <w:tabs>
          <w:tab w:leader="none" w:pos="26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ectPr>
          <w:pgSz w:w="11900" w:h="16838" w:orient="portrait"/>
          <w:cols w:equalWidth="0" w:num="1">
            <w:col w:w="10584"/>
          </w:cols>
          <w:pgMar w:left="976" w:top="14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104"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29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June 9, 2021</w:t>
            </w:r>
          </w:p>
        </w:tc>
        <w:tc>
          <w:tcPr>
            <w:tcW w:w="7380" w:type="dxa"/>
            <w:vAlign w:val="bottom"/>
            <w:gridSpan w:val="2"/>
          </w:tcPr>
          <w:p>
            <w:pPr>
              <w:ind w:left="1820"/>
              <w:spacing w:after="0"/>
              <w:rPr>
                <w:sz w:val="20"/>
                <w:szCs w:val="20"/>
                <w:color w:val="auto"/>
              </w:rPr>
            </w:pPr>
            <w:r>
              <w:rPr>
                <w:rFonts w:ascii="Arial" w:cs="Arial" w:eastAsia="Arial" w:hAnsi="Arial"/>
                <w:sz w:val="18"/>
                <w:szCs w:val="18"/>
                <w:color w:val="auto"/>
              </w:rPr>
              <w:t>/s/ Robert Wallstrom</w:t>
            </w:r>
          </w:p>
        </w:tc>
      </w:tr>
      <w:tr>
        <w:trPr>
          <w:trHeight w:val="222"/>
        </w:trPr>
        <w:tc>
          <w:tcPr>
            <w:tcW w:w="3160" w:type="dxa"/>
            <w:vAlign w:val="bottom"/>
          </w:tcPr>
          <w:p>
            <w:pPr>
              <w:spacing w:after="0"/>
              <w:rPr>
                <w:sz w:val="19"/>
                <w:szCs w:val="19"/>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Robert</w:t>
            </w: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Wallstrom</w:t>
            </w:r>
          </w:p>
        </w:tc>
      </w:tr>
      <w:tr>
        <w:trPr>
          <w:trHeight w:val="230"/>
        </w:trPr>
        <w:tc>
          <w:tcPr>
            <w:tcW w:w="3160" w:type="dxa"/>
            <w:vAlign w:val="bottom"/>
          </w:tcPr>
          <w:p>
            <w:pPr>
              <w:spacing w:after="0"/>
              <w:rPr>
                <w:sz w:val="20"/>
                <w:szCs w:val="20"/>
                <w:color w:val="auto"/>
              </w:rPr>
            </w:pPr>
          </w:p>
        </w:tc>
        <w:tc>
          <w:tcPr>
            <w:tcW w:w="7380" w:type="dxa"/>
            <w:vAlign w:val="bottom"/>
            <w:gridSpan w:val="2"/>
          </w:tcPr>
          <w:p>
            <w:pPr>
              <w:ind w:left="18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104"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3" w:lineRule="auto"/>
        <w:tabs>
          <w:tab w:leader="none" w:pos="129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June 9, 2021</w:t>
            </w:r>
          </w:p>
        </w:tc>
        <w:tc>
          <w:tcPr>
            <w:tcW w:w="7380" w:type="dxa"/>
            <w:vAlign w:val="bottom"/>
            <w:gridSpan w:val="2"/>
          </w:tcPr>
          <w:p>
            <w:pPr>
              <w:ind w:left="1820"/>
              <w:spacing w:after="0"/>
              <w:rPr>
                <w:sz w:val="20"/>
                <w:szCs w:val="20"/>
                <w:color w:val="auto"/>
              </w:rPr>
            </w:pPr>
            <w:r>
              <w:rPr>
                <w:rFonts w:ascii="Arial" w:cs="Arial" w:eastAsia="Arial" w:hAnsi="Arial"/>
                <w:sz w:val="18"/>
                <w:szCs w:val="18"/>
                <w:color w:val="auto"/>
              </w:rPr>
              <w:t>/s/ John Enwright</w:t>
            </w:r>
          </w:p>
        </w:tc>
      </w:tr>
      <w:tr>
        <w:trPr>
          <w:trHeight w:val="20"/>
        </w:trPr>
        <w:tc>
          <w:tcPr>
            <w:tcW w:w="3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r>
      <w:tr>
        <w:trPr>
          <w:trHeight w:val="222"/>
        </w:trPr>
        <w:tc>
          <w:tcPr>
            <w:tcW w:w="3160" w:type="dxa"/>
            <w:vAlign w:val="bottom"/>
          </w:tcPr>
          <w:p>
            <w:pPr>
              <w:spacing w:after="0"/>
              <w:rPr>
                <w:sz w:val="19"/>
                <w:szCs w:val="19"/>
                <w:color w:val="auto"/>
              </w:rPr>
            </w:pPr>
          </w:p>
        </w:tc>
        <w:tc>
          <w:tcPr>
            <w:tcW w:w="7380" w:type="dxa"/>
            <w:vAlign w:val="bottom"/>
            <w:gridSpan w:val="2"/>
          </w:tcPr>
          <w:p>
            <w:pPr>
              <w:ind w:left="1820"/>
              <w:spacing w:after="0"/>
              <w:rPr>
                <w:sz w:val="20"/>
                <w:szCs w:val="20"/>
                <w:color w:val="auto"/>
              </w:rPr>
            </w:pPr>
            <w:r>
              <w:rPr>
                <w:rFonts w:ascii="Arial" w:cs="Arial" w:eastAsia="Arial" w:hAnsi="Arial"/>
                <w:sz w:val="18"/>
                <w:szCs w:val="18"/>
                <w:color w:val="auto"/>
              </w:rPr>
              <w:t>John Enwright</w:t>
            </w:r>
          </w:p>
        </w:tc>
      </w:tr>
      <w:tr>
        <w:trPr>
          <w:trHeight w:val="230"/>
        </w:trPr>
        <w:tc>
          <w:tcPr>
            <w:tcW w:w="3160" w:type="dxa"/>
            <w:vAlign w:val="bottom"/>
          </w:tcPr>
          <w:p>
            <w:pPr>
              <w:spacing w:after="0"/>
              <w:rPr>
                <w:sz w:val="20"/>
                <w:szCs w:val="20"/>
                <w:color w:val="auto"/>
              </w:rPr>
            </w:pPr>
          </w:p>
        </w:tc>
        <w:tc>
          <w:tcPr>
            <w:tcW w:w="7380" w:type="dxa"/>
            <w:vAlign w:val="bottom"/>
            <w:gridSpan w:val="2"/>
          </w:tcPr>
          <w:p>
            <w:pPr>
              <w:ind w:left="18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60" w:firstLine="180"/>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May 1, 2021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Robert Wallstrom</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ind w:right="80" w:firstLine="180"/>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quarterly report on Form 10-Q for the fiscal quarter ended May 1, 2021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John Enwright</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Financial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lvl w:ilvl="1">
      <w:lvlJc w:val="left"/>
      <w:lvlText w:val="•"/>
      <w:numFmt w:val="bullet"/>
      <w:start w:val="1"/>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3"/>
    </w:lvl>
  </w:abstractNum>
  <w:abstractNum w:abstractNumId="8">
    <w:nsid w:val="1E7FF521"/>
    <w:multiLevelType w:val="hybridMultilevel"/>
    <w:lvl w:ilvl="0">
      <w:lvlJc w:val="left"/>
      <w:lvlText w:val="%1"/>
      <w:numFmt w:val="decimal"/>
      <w:start w:val="1"/>
    </w:lvl>
    <w:lvl w:ilvl="1">
      <w:lvlJc w:val="left"/>
      <w:lvlText w:val="(%2)"/>
      <w:numFmt w:val="decimal"/>
      <w:start w:val="1"/>
    </w:lvl>
  </w:abstractNum>
  <w:abstractNum w:abstractNumId="9">
    <w:nsid w:val="7C3DBD3D"/>
    <w:multiLevelType w:val="hybridMultilevel"/>
    <w:lvl w:ilvl="0">
      <w:lvlJc w:val="left"/>
      <w:lvlText w:val="%1."/>
      <w:numFmt w:val="decimal"/>
      <w:start w:val="4"/>
    </w:lvl>
    <w:lvl w:ilvl="1">
      <w:lvlJc w:val="left"/>
      <w:lvlText w:val="%2"/>
      <w:numFmt w:val="decimal"/>
      <w:start w:val="1"/>
    </w:lvl>
  </w:abstractNum>
  <w:abstractNum w:abstractNumId="10">
    <w:nsid w:val="737B8DDC"/>
    <w:multiLevelType w:val="hybridMultilevel"/>
    <w:lvl w:ilvl="0">
      <w:lvlJc w:val="left"/>
      <w:lvlText w:val="%1."/>
      <w:numFmt w:val="decimal"/>
      <w:start w:val="5"/>
    </w:lvl>
    <w:lvl w:ilvl="1">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6"/>
    </w:lvl>
  </w:abstractNum>
  <w:abstractNum w:abstractNumId="13">
    <w:nsid w:val="4516DDE9"/>
    <w:multiLevelType w:val="hybridMultilevel"/>
    <w:lvl w:ilvl="0">
      <w:lvlJc w:val="left"/>
      <w:lvlText w:val="(%1)"/>
      <w:numFmt w:val="lowerRoman"/>
      <w:start w:val="5"/>
    </w:lvl>
  </w:abstractNum>
  <w:abstractNum w:abstractNumId="14">
    <w:nsid w:val="3006C83E"/>
    <w:multiLevelType w:val="hybridMultilevel"/>
    <w:lvl w:ilvl="0">
      <w:lvlJc w:val="left"/>
      <w:lvlText w:val="%1."/>
      <w:numFmt w:val="decimal"/>
      <w:start w:val="7"/>
    </w:lvl>
  </w:abstractNum>
  <w:abstractNum w:abstractNumId="15">
    <w:nsid w:val="614FD4A1"/>
    <w:multiLevelType w:val="hybridMultilevel"/>
    <w:lvl w:ilvl="0">
      <w:lvlJc w:val="left"/>
      <w:lvlText w:val="%1."/>
      <w:numFmt w:val="decimal"/>
      <w:start w:val="9"/>
    </w:lvl>
  </w:abstractNum>
  <w:abstractNum w:abstractNumId="16">
    <w:nsid w:val="419AC241"/>
    <w:multiLevelType w:val="hybridMultilevel"/>
    <w:lvl w:ilvl="0">
      <w:lvlJc w:val="left"/>
      <w:lvlText w:val="%1."/>
      <w:numFmt w:val="decimal"/>
      <w:start w:val="10"/>
    </w:lvl>
  </w:abstractNum>
  <w:abstractNum w:abstractNumId="17">
    <w:nsid w:val="5577F8E1"/>
    <w:multiLevelType w:val="hybridMultilevel"/>
    <w:lvl w:ilvl="0">
      <w:lvlJc w:val="left"/>
      <w:lvlText w:val="%1."/>
      <w:numFmt w:val="decimal"/>
      <w:start w:val="13"/>
    </w:lvl>
  </w:abstractNum>
  <w:abstractNum w:abstractNumId="18">
    <w:nsid w:val="440BADFC"/>
    <w:multiLevelType w:val="hybridMultilevel"/>
    <w:lvl w:ilvl="0">
      <w:lvlJc w:val="left"/>
      <w:lvlText w:val="%1."/>
      <w:numFmt w:val="decimal"/>
      <w:start w:val="14"/>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5"/>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lvl w:ilvl="1">
      <w:lvlJc w:val="left"/>
      <w:lvlText w:val="%2."/>
      <w:numFmt w:val="lowerLetter"/>
      <w:start w:val="1"/>
    </w:lvl>
  </w:abstractNum>
  <w:abstractNum w:abstractNumId="35">
    <w:nsid w:val="725A06FB"/>
    <w:multiLevelType w:val="hybridMultilevel"/>
    <w:lvl w:ilvl="0">
      <w:lvlJc w:val="left"/>
      <w:lvlText w:val="%1"/>
      <w:numFmt w:val="decimal"/>
      <w:start w:val="1"/>
    </w:lvl>
    <w:lvl w:ilvl="1">
      <w:lvlJc w:val="left"/>
      <w:lvlText w:val="%2."/>
      <w:numFmt w:val="lowerLetter"/>
      <w:start w:val="9"/>
    </w:lvl>
  </w:abstractNum>
  <w:abstractNum w:abstractNumId="36">
    <w:nsid w:val="2CD89A32"/>
    <w:multiLevelType w:val="hybridMultilevel"/>
    <w:lvl w:ilvl="0">
      <w:lvlJc w:val="left"/>
      <w:lvlText w:val="%1."/>
      <w:numFmt w:val="lowerRoman"/>
      <w:start w:val="2"/>
    </w:lvl>
  </w:abstractNum>
  <w:abstractNum w:abstractNumId="37">
    <w:nsid w:val="57E4CCAF"/>
    <w:multiLevelType w:val="hybridMultilevel"/>
    <w:lvl w:ilvl="0">
      <w:lvlJc w:val="left"/>
      <w:lvlText w:val="%1."/>
      <w:numFmt w:val="decimal"/>
      <w:start w:val="7"/>
    </w:lvl>
  </w:abstractNum>
  <w:abstractNum w:abstractNumId="38">
    <w:nsid w:val="7A6D8D3C"/>
    <w:multiLevelType w:val="hybridMultilevel"/>
    <w:lvl w:ilvl="0">
      <w:lvlJc w:val="left"/>
      <w:lvlText w:val="%1."/>
      <w:numFmt w:val="decimal"/>
      <w:start w:val="16"/>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3">
    <w:nsid w:val="7644A4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4">
    <w:nsid w:val="32FFF902"/>
    <w:multiLevelType w:val="hybridMultilevel"/>
    <w:lvl w:ilvl="0">
      <w:lvlJc w:val="left"/>
      <w:lvlText w:val="%1."/>
      <w:numFmt w:val="decimal"/>
      <w:start w:val="6"/>
    </w:lvl>
    <w:lvl w:ilvl="1">
      <w:lvlJc w:val="left"/>
      <w:lvlText w:val="%2."/>
      <w:numFmt w:val="lowerLetter"/>
      <w:start w:val="1"/>
    </w:lvl>
  </w:abstractNum>
  <w:abstractNum w:abstractNumId="45">
    <w:nsid w:val="684A481A"/>
    <w:multiLevelType w:val="hybridMultilevel"/>
    <w:lvl w:ilvl="0">
      <w:lvlJc w:val="left"/>
      <w:lvlText w:val="%1."/>
      <w:numFmt w:val="decimal"/>
      <w:start w:val="1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5"/>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decimal"/>
      <w:start w:val="9"/>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1" Type="http://schemas.openxmlformats.org/officeDocument/2006/relationships/hyperlink" Target="https://www.sec.gov/Archives/edgar/data/1495320/000149532021000027/vra-20210603x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2021-06-09T15:25:44Z</dcterms:created>
  <dcterms:modified xsi:type="dcterms:W3CDTF">2021-06-09T15:25:44Z</dcterms:modified>
</cp:coreProperties>
</file>