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5,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2478405"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5">
            <w:col w:w="2300" w:space="720"/>
            <w:col w:w="160" w:space="100"/>
            <w:col w:w="3920" w:space="720"/>
            <w:col w:w="2460" w:space="720"/>
            <w:col w:w="320"/>
          </w:cols>
          <w:pgMar w:left="240" w:top="229" w:right="239" w:bottom="0" w:gutter="0" w:footer="0" w:header="0"/>
          <w:type w:val="continuous"/>
        </w:sectPr>
      </w:pPr>
    </w:p>
    <w:bookmarkStart w:id="1" w:name="page2"/>
    <w:bookmarkEnd w:id="1"/>
    <w:p>
      <w:pPr>
        <w:ind w:left="7920"/>
        <w:spacing w:after="0" w:line="207" w:lineRule="exact"/>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ind w:lef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35,636,983 shares of its common stock outstanding as of June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7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9"/>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May 5, 2018, and February 3, 2018</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Thirteen Weeks Ended May 5, 2018, and April 29, 2017</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for the Thirteen Weeks Ended May 5, 2018, and April 29, 2017</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Cash Flows for the Thirteen Weeks Ended May 5, 2018, and April 29, 2017</w:t>
              </w:r>
            </w:hyperlink>
          </w:p>
        </w:tc>
        <w:tc>
          <w:tcPr>
            <w:tcW w:w="8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60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84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936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00" w:type="dxa"/>
            <w:vAlign w:val="bottom"/>
            <w:gridSpan w:val="11"/>
          </w:tcPr>
          <w:p>
            <w:pPr>
              <w:ind w:left="47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ramifications from the payment card incident disclosed in October 2016; and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3, 2018.</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5,</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3,</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68,751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54,150</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15,566</w:t>
            </w: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87,838</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10,895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11,327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242,023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86,463</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5,385</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344,499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350,669</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13,616</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812</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40,274</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25,494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25,112</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65,386</w:t>
            </w: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200,000 shares authorized, 41,279 and 41,102 shares issued and 35,636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and 35,459 shares outstanding,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91,569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91,192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270,783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(76,578)</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284,695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285,283</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350,669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5,</w:t>
            </w:r>
          </w:p>
        </w:tc>
        <w:tc>
          <w:tcPr>
            <w:tcW w:w="280" w:type="dxa"/>
            <w:vAlign w:val="bottom"/>
          </w:tcPr>
          <w:p>
            <w:pPr>
              <w:spacing w:after="0"/>
              <w:rPr>
                <w:sz w:val="14"/>
                <w:szCs w:val="14"/>
                <w:color w:val="auto"/>
              </w:rPr>
            </w:pPr>
          </w:p>
        </w:tc>
        <w:tc>
          <w:tcPr>
            <w:tcW w:w="1200" w:type="dxa"/>
            <w:vAlign w:val="bottom"/>
          </w:tcPr>
          <w:p>
            <w:pPr>
              <w:jc w:val="right"/>
              <w:ind w:right="392"/>
              <w:spacing w:after="0"/>
              <w:rPr>
                <w:sz w:val="20"/>
                <w:szCs w:val="20"/>
                <w:color w:val="auto"/>
              </w:rPr>
            </w:pPr>
            <w:r>
              <w:rPr>
                <w:rFonts w:ascii="Arial" w:cs="Arial" w:eastAsia="Arial" w:hAnsi="Arial"/>
                <w:sz w:val="14"/>
                <w:szCs w:val="14"/>
                <w:b w:val="1"/>
                <w:bCs w:val="1"/>
                <w:color w:val="auto"/>
              </w:rPr>
              <w:t>April 29,</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96,135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37,975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43,435</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57,771</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(4,049)</w:t>
            </w: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8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35,532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36,235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36,235</w:t>
            </w:r>
          </w:p>
        </w:tc>
      </w:tr>
      <w:tr>
        <w:trPr>
          <w:trHeight w:val="324"/>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5,</w:t>
            </w:r>
          </w:p>
        </w:tc>
        <w:tc>
          <w:tcPr>
            <w:tcW w:w="280" w:type="dxa"/>
            <w:vAlign w:val="bottom"/>
          </w:tcPr>
          <w:p>
            <w:pPr>
              <w:spacing w:after="0"/>
              <w:rPr>
                <w:sz w:val="14"/>
                <w:szCs w:val="14"/>
                <w:color w:val="auto"/>
              </w:rPr>
            </w:pPr>
          </w:p>
        </w:tc>
        <w:tc>
          <w:tcPr>
            <w:tcW w:w="1200" w:type="dxa"/>
            <w:vAlign w:val="bottom"/>
          </w:tcPr>
          <w:p>
            <w:pPr>
              <w:jc w:val="right"/>
              <w:ind w:right="396"/>
              <w:spacing w:after="0"/>
              <w:rPr>
                <w:sz w:val="20"/>
                <w:szCs w:val="20"/>
                <w:color w:val="auto"/>
              </w:rPr>
            </w:pPr>
            <w:r>
              <w:rPr>
                <w:rFonts w:ascii="Arial" w:cs="Arial" w:eastAsia="Arial" w:hAnsi="Arial"/>
                <w:sz w:val="14"/>
                <w:szCs w:val="14"/>
                <w:b w:val="1"/>
                <w:bCs w:val="1"/>
                <w:color w:val="auto"/>
              </w:rPr>
              <w:t>April 29,</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Unrealized (loss) gain on available-for-sale investments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Comprehensive loss, net of tax</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(4,042)</w:t>
            </w: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5,</w:t>
            </w:r>
          </w:p>
        </w:tc>
        <w:tc>
          <w:tcPr>
            <w:tcW w:w="280" w:type="dxa"/>
            <w:vAlign w:val="bottom"/>
          </w:tcPr>
          <w:p>
            <w:pPr>
              <w:spacing w:after="0"/>
              <w:rPr>
                <w:sz w:val="13"/>
                <w:szCs w:val="13"/>
                <w:color w:val="auto"/>
              </w:rPr>
            </w:pPr>
          </w:p>
        </w:tc>
        <w:tc>
          <w:tcPr>
            <w:tcW w:w="1200" w:type="dxa"/>
            <w:vAlign w:val="bottom"/>
          </w:tcPr>
          <w:p>
            <w:pPr>
              <w:jc w:val="right"/>
              <w:ind w:right="391"/>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4,948</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1,278</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Cash gain on investments</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charges (gain),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(6,040)</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(9,937)</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(26,975)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maturities and sales of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jc w:val="both"/>
        <w:ind w:left="880"/>
        <w:spacing w:after="0"/>
        <w:tabs>
          <w:tab w:leader="none" w:pos="2360" w:val="left"/>
        </w:tabs>
        <w:rPr>
          <w:sz w:val="20"/>
          <w:szCs w:val="20"/>
          <w:color w:val="auto"/>
        </w:rPr>
      </w:pPr>
      <w:r>
        <w:rPr>
          <w:rFonts w:ascii="Arial" w:cs="Arial" w:eastAsia="Arial" w:hAnsi="Arial"/>
          <w:sz w:val="18"/>
          <w:szCs w:val="18"/>
          <w:color w:val="auto"/>
        </w:rPr>
        <w:t>(7,348)</w:t>
      </w:r>
      <w:r>
        <w:rPr>
          <w:sz w:val="20"/>
          <w:szCs w:val="20"/>
          <w:color w:val="auto"/>
        </w:rPr>
        <w:tab/>
      </w:r>
      <w:r>
        <w:rPr>
          <w:rFonts w:ascii="Arial" w:cs="Arial" w:eastAsia="Arial" w:hAnsi="Arial"/>
          <w:sz w:val="18"/>
          <w:szCs w:val="18"/>
          <w:color w:val="auto"/>
        </w:rPr>
        <w:t>(11,975)</w:t>
      </w:r>
    </w:p>
    <w:p>
      <w:pPr>
        <w:spacing w:after="0" w:line="63"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8"/>
          <w:szCs w:val="18"/>
          <w:color w:val="auto"/>
        </w:rPr>
        <w:t>68,751</w:t>
      </w:r>
      <w:r>
        <w:rPr>
          <w:sz w:val="20"/>
          <w:szCs w:val="20"/>
          <w:color w:val="auto"/>
        </w:rPr>
        <w:tab/>
      </w:r>
      <w:r>
        <w:rPr>
          <w:rFonts w:ascii="Arial" w:cs="Arial" w:eastAsia="Arial" w:hAnsi="Arial"/>
          <w:sz w:val="18"/>
          <w:szCs w:val="18"/>
          <w:color w:val="auto"/>
        </w:rPr>
        <w:t>86,375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61,403</w:t>
        <w:tab/>
        <w:t>$</w:t>
      </w:r>
      <w:r>
        <w:rPr>
          <w:sz w:val="20"/>
          <w:szCs w:val="20"/>
          <w:color w:val="auto"/>
        </w:rPr>
        <w:tab/>
      </w:r>
      <w:r>
        <w:rPr>
          <w:rFonts w:ascii="Arial" w:cs="Arial" w:eastAsia="Arial" w:hAnsi="Arial"/>
          <w:sz w:val="16"/>
          <w:szCs w:val="16"/>
          <w:color w:val="auto"/>
        </w:rPr>
        <w:t>74,400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660" w:space="720"/>
            <w:col w:w="3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(received) paid for income taxes, net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activity</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May 5, 2018 and April 29, 2017</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February 3, 2018 and January 28,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May 5, 2018 and April 29,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February 3, 2018 and January 28, 2017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4" w:lineRule="exact"/>
        <w:rPr>
          <w:rFonts w:ascii="Arial" w:cs="Arial" w:eastAsia="Arial" w:hAnsi="Arial"/>
          <w:sz w:val="18"/>
          <w:szCs w:val="18"/>
          <w:b w:val="1"/>
          <w:bCs w:val="1"/>
          <w:color w:val="auto"/>
        </w:rPr>
      </w:pPr>
    </w:p>
    <w:p>
      <w:pPr>
        <w:ind w:left="6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direct-to-consumer eBay sales; and the Company’s annual outlet sale in Fort Wayne, Indiana. As of May 5, 2018, the Company operated 105 full-line stores and 55 factory outlet stores. The Indirect business consists of sales of Vera Bradley products to approximately 2,400 specialty retail locations, substantially all of which are located in the United States, as well as department stores, national accounts, third-party e-commerce sites, third-party inventory liquidators, and royalties recognized through licensing agreements.</w:t>
      </w:r>
    </w:p>
    <w:p>
      <w:pPr>
        <w:spacing w:after="0" w:line="42"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3, 2018, filed with the SEC.</w:t>
      </w:r>
    </w:p>
    <w:p>
      <w:pPr>
        <w:spacing w:after="0" w:line="23"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5, 2018, are not necessarily indicative of the results to be expected for the full fiscal year.</w:t>
      </w:r>
    </w:p>
    <w:p>
      <w:pPr>
        <w:spacing w:after="0" w:line="20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6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May 5, 2018 and April 29, 2017, refer to the thirteen-week periods ended on those dates.</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94" w:lineRule="exact"/>
        <w:rPr>
          <w:rFonts w:ascii="Arial" w:cs="Arial" w:eastAsia="Arial" w:hAnsi="Arial"/>
          <w:sz w:val="18"/>
          <w:szCs w:val="18"/>
          <w:b w:val="1"/>
          <w:bCs w:val="1"/>
          <w:color w:val="auto"/>
        </w:rPr>
      </w:pPr>
    </w:p>
    <w:p>
      <w:pPr>
        <w:ind w:left="6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Included in net revenues are Vera Bradley product sales to Direct and Indirect customers, including amounts billed to customers for shipping fees, as well as royalties from the Company’s licensing arrangements. Costs related to shipping of product are classified in cost of sales in the Condensed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37" w:lineRule="exact"/>
        <w:rPr>
          <w:rFonts w:ascii="Arial" w:cs="Arial" w:eastAsia="Arial" w:hAnsi="Arial"/>
          <w:sz w:val="18"/>
          <w:szCs w:val="18"/>
          <w:b w:val="1"/>
          <w:bCs w:val="1"/>
          <w:color w:val="auto"/>
        </w:rPr>
      </w:pPr>
    </w:p>
    <w:p>
      <w:pPr>
        <w:ind w:left="660" w:right="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identified in Accounting Standards Codification (“ASC”) Topic 606. These steps are: (i) identify the contract with the customer;</w:t>
      </w:r>
    </w:p>
    <w:p>
      <w:pPr>
        <w:ind w:left="920" w:hanging="264"/>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identify the performance obligations; (iii) determine the transaction price; (iv) allocate the transaction price to each performance obligation; and</w:t>
      </w:r>
    </w:p>
    <w:p>
      <w:pPr>
        <w:spacing w:after="0" w:line="32" w:lineRule="exact"/>
        <w:rPr>
          <w:rFonts w:ascii="Arial" w:cs="Arial" w:eastAsia="Arial" w:hAnsi="Arial"/>
          <w:sz w:val="16"/>
          <w:szCs w:val="16"/>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collects payment at the point of sale for full-line and factory outlet store transactions and upon shipment for e-commerce transactions.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collects payment in arrears in accordance with established payment terms for each customer within the Indirect segment.</w:t>
      </w:r>
    </w:p>
    <w:p>
      <w:pPr>
        <w:spacing w:after="0" w:line="99"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Indirect retailers based upon various contract terms and other potential product credits granted to Indirect retailers.</w:t>
      </w:r>
    </w:p>
    <w:p>
      <w:pPr>
        <w:spacing w:after="0" w:line="46"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$0.9 million as of May 5, 2018 and February 3, 2018.</w:t>
      </w:r>
    </w:p>
    <w:p>
      <w:pPr>
        <w:spacing w:after="0" w:line="46"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The Company sells gift cards with no expiration dates to customers and does not charge administrative fees on unused gift cards. Gift cards issued by the Company are recorded as a liability until they are redeemed, at which point revenue is recognized. In addition, the Company recognizes revenue on estimated unredeemed gift cards based upon the historical patterns of gift card redemption. During the thirteen weeks ended May 5, 2018, the Company recorded an immaterial amount of revenue related to gift card breakage. Gift card breakage is included in net revenues in the Condensed Consolidated Statements of Operations, as well as Direct segment net revenues for the current-year period. The Company did not recognize gift card breakage revenue within net revenues in the comparable prior-year period as ASC Topic 606 was adopted using the modified transition approach with an immaterial adjustment to fiscal 2019 beginning retained earnings. Refer to Note 2 herein for additional information regarding the Company’s net revenues and its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May 5, 2018 and February 3, 2018, deferred rent liability was $13.1 million and $12.9 million, respectively, and is included within long-term liabilities on the Condensed Consolidated Balance Sheets.</w:t>
      </w:r>
    </w:p>
    <w:p>
      <w:pPr>
        <w:spacing w:after="0" w:line="53"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May 5, 2018 and February 3, 2018, the deferred lease credit liability was $14.9 million and $14.6 million, respectively. Of these amounts, $2.6 million and $2.4 million is included within other accrued liabilities as of May 5, 2018 and February 3, 2018, respectively; $12.3 million and $12.2 million is included within long-term liabilities as of May 5, 2018 and February 3, 2018,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requires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was February 4, 2018 (the beginning of the Company’s fiscal 2019).</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left="660" w:right="600"/>
        <w:spacing w:after="0" w:line="264" w:lineRule="auto"/>
        <w:rPr>
          <w:sz w:val="20"/>
          <w:szCs w:val="20"/>
          <w:color w:val="auto"/>
        </w:rPr>
      </w:pPr>
      <w:r>
        <w:rPr>
          <w:rFonts w:ascii="Arial" w:cs="Arial" w:eastAsia="Arial" w:hAnsi="Arial"/>
          <w:sz w:val="18"/>
          <w:szCs w:val="18"/>
          <w:color w:val="auto"/>
        </w:rPr>
        <w:t>The Company adopted this standard in the first quarter of fiscal 2019 using the modified retrospective method with a$0.5 million cumulative adjustment to beginning retained earnings. As a result of this adoption method, the prior-year period presented in the Company’s Condensed Consolidated Financial Statements was not recast.</w:t>
      </w:r>
    </w:p>
    <w:p>
      <w:pPr>
        <w:spacing w:after="0" w:line="46"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Company no longer adjusts revenue for shipments not yet received at each reporting period as it recognizes revenue as control is passed to the customer. It was determined that control is passed to the customer upon shipment, consistent with when legal title is passed. This accelerates the recognition of revenue at each reporting period compared to the Company’s historical practice.</w:t>
      </w:r>
    </w:p>
    <w:p>
      <w:pPr>
        <w:spacing w:after="0" w:line="46" w:lineRule="exact"/>
        <w:rPr>
          <w:sz w:val="20"/>
          <w:szCs w:val="20"/>
          <w:color w:val="auto"/>
        </w:rPr>
      </w:pPr>
    </w:p>
    <w:p>
      <w:pPr>
        <w:jc w:val="both"/>
        <w:ind w:left="660" w:right="200"/>
        <w:spacing w:after="0" w:line="312" w:lineRule="auto"/>
        <w:rPr>
          <w:sz w:val="20"/>
          <w:szCs w:val="20"/>
          <w:color w:val="auto"/>
        </w:rPr>
      </w:pPr>
      <w:r>
        <w:rPr>
          <w:rFonts w:ascii="Arial" w:cs="Arial" w:eastAsia="Arial" w:hAnsi="Arial"/>
          <w:sz w:val="16"/>
          <w:szCs w:val="16"/>
          <w:color w:val="auto"/>
        </w:rPr>
        <w:t>Revenue for unredeemed gift cards is estimated and recognized based on the historical patterns of gift card redemption. Historically, the Company recognized revenue for gift card breakage when the likelihood of the customer exercising their remaining rights became remote. The new revenue standard results in accelerated recognition of gift card breakage revenue at each reporting period compared to the Company’s historical practice.</w:t>
      </w:r>
    </w:p>
    <w:p>
      <w:pPr>
        <w:spacing w:after="0" w:line="93"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Revenue associated with contractually guaranteed minimum royalties in sales-based royalty arrangements is recognized straight-line over the remaining license period once determined that the minimum sales level will not be achieved. Historically, the Company recognized any excess of the guaranteed minimum royalty over the actual royalties earned at the end of the license period.</w:t>
      </w:r>
    </w:p>
    <w:p>
      <w:pPr>
        <w:spacing w:after="0" w:line="12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Certain liabilities for estimated product returns have been re-classified to other accrued liabilities from a contra-asset within accounts receivable, net, in the current-year period.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herein for additional information regarding the adoption of ASC 606.</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90"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has operating leases at all of its retail stores; therefore, the adoption of this standard will result in a material increase of assets and liabilities on the Company’s Consolidated Balance Sheets. The Company is continuing to evaluate the impact on its consolidated results of operations and cash flows.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94"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adopted ASC Topic 606 beginning in the first quarter of fiscal 2019 using the modified retrospective adoption method. Accordingly, disclosures herein required by the standard were excluded for the prior-year period.</w:t>
      </w:r>
    </w:p>
    <w:p>
      <w:pPr>
        <w:spacing w:after="0" w:line="170"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following tables illustrate the financial statement line items that were impacted as a result of the adoption of ASC 606 as of and for the thirteen weeks ended May 5, 2018. These adjustments are a result of adjusting for shipments not yet received by customers, gift card breakage revenue, and the re-classification of certain liabilities for estimated product returns, which are further described in Note 1 herein (schedules in thousands).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4"/>
                <w:szCs w:val="14"/>
                <w:b w:val="1"/>
                <w:bCs w:val="1"/>
                <w:color w:val="auto"/>
                <w:w w:val="95"/>
              </w:rPr>
              <w:t>May 5, 2018</w:t>
            </w: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Balances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Balance Sheet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17,523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14,915</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4,848</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238,963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5,583</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343,132</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13,726</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59,680</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268,624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284,695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283,452</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343,132</w:t>
            </w:r>
          </w:p>
        </w:tc>
      </w:tr>
      <w:tr>
        <w:trPr>
          <w:trHeight w:val="480"/>
        </w:trPr>
        <w:tc>
          <w:tcPr>
            <w:tcW w:w="4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3"/>
              </w:rPr>
              <w:t>Thirteen Weeks Ended</w:t>
            </w:r>
          </w:p>
        </w:tc>
        <w:tc>
          <w:tcPr>
            <w:tcW w:w="1340" w:type="dxa"/>
            <w:vAlign w:val="bottom"/>
            <w:tcBorders>
              <w:bottom w:val="single" w:sz="8" w:color="auto"/>
            </w:tcBorders>
          </w:tcPr>
          <w:p>
            <w:pPr>
              <w:spacing w:after="0"/>
              <w:rPr>
                <w:sz w:val="24"/>
                <w:szCs w:val="24"/>
                <w:color w:val="auto"/>
              </w:rPr>
            </w:pPr>
          </w:p>
        </w:tc>
      </w:tr>
      <w:tr>
        <w:trPr>
          <w:trHeight w:val="250"/>
        </w:trPr>
        <w:tc>
          <w:tcPr>
            <w:tcW w:w="4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4"/>
                <w:szCs w:val="14"/>
                <w:b w:val="1"/>
                <w:bCs w:val="1"/>
                <w:color w:val="auto"/>
                <w:w w:val="95"/>
              </w:rPr>
              <w:t>May 5, 2018</w:t>
            </w:r>
          </w:p>
        </w:tc>
        <w:tc>
          <w:tcPr>
            <w:tcW w:w="9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2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Amounts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Operations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86,591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84,971</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47,567</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(2,718)</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486"/>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80"/>
          </w:cols>
          <w:pgMar w:left="240" w:top="121"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3"/>
              </w:rPr>
              <w:t>Thirteen Weeks Ended</w:t>
            </w:r>
          </w:p>
        </w:tc>
        <w:tc>
          <w:tcPr>
            <w:tcW w:w="1280" w:type="dxa"/>
            <w:vAlign w:val="bottom"/>
            <w:tcBorders>
              <w:bottom w:val="single" w:sz="8" w:color="auto"/>
            </w:tcBorders>
          </w:tcPr>
          <w:p>
            <w:pPr>
              <w:spacing w:after="0"/>
              <w:rPr>
                <w:sz w:val="16"/>
                <w:szCs w:val="16"/>
                <w:color w:val="auto"/>
              </w:rPr>
            </w:pPr>
          </w:p>
        </w:tc>
      </w:tr>
      <w:tr>
        <w:trPr>
          <w:trHeight w:val="250"/>
        </w:trPr>
        <w:tc>
          <w:tcPr>
            <w:tcW w:w="4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w w:val="95"/>
              </w:rPr>
              <w:t>May 5, 2018</w:t>
            </w:r>
          </w:p>
        </w:tc>
        <w:tc>
          <w:tcPr>
            <w:tcW w:w="10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2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Amounts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Cash Flows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828</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(6,104)</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presents our net revenues disaggregated by product category for the thirteen weeks ended May 5, 2018 (in thousands):</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Thirteen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May 5, 2018</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25,600</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10,228</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35,828</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18,059</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22,749</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15,679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4,168</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19,847</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4,170</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4,628</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2,024</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1,515</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3,539</w:t>
            </w:r>
          </w:p>
        </w:tc>
      </w:tr>
      <w:tr>
        <w:trPr>
          <w:trHeight w:val="27"/>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65,532</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86,591</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apparel/footwear, stationery, freight, and gift card breakage.</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merchandising, and stationery.</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680" w:right="860" w:firstLine="3"/>
        <w:spacing w:after="0" w:line="277"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 million of net revenues related to product sales recognized at a point in time and $1.0 million of net revenues related to sales-based royalties recognized over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94"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Contract liabilities as of May 5, 2018, consisted of $1.4 million of unearned revenue related to unredeemed gift cards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May 5, 2018.</w:t>
      </w:r>
    </w:p>
    <w:p>
      <w:pPr>
        <w:spacing w:after="0" w:line="12"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balance for accounts receivable from contracts with customers, net of allowances, as of May 5, 2018 was $15.1 million, which is recognized within accounts receivable, net, on the Company’s Condensed Consolidated Balance Sheets. The provision for doubtful accounts was $0.1 million for the thirteen weeks.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121"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9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performance obligations for the Direct and Indirect segments include the promise to transfer distinct goods (or a bundle of distinct goods). The Indirect segment also includes the right to access the Company’s intellectual property (“IP”).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which it does not have the right to invoice as of May 5,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Judgments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Sales</w:t>
      </w:r>
    </w:p>
    <w:p>
      <w:pPr>
        <w:spacing w:after="0" w:line="90"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In the Company’s retail stores (recognized within the Direct segment), control is transferred and net revenue is recognized at the point of sale. Product shipments for the Company’s e-commerce channel (recognized within the Direct segment) and shipments to its Indirect retailers (recognized within the Indirect segment) are generally shipped Free on Board (“FOB”) shipping point typically from its distribution center in Roanoke, Indiana, and net revenue is recognized upon shipment consistent with when control is transferred to the customer. Upon shipment, the customer has the right to direct the use of, and obtain substantially all of the benefits from, the product.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Licensing Royalties</w:t>
      </w:r>
    </w:p>
    <w:p>
      <w:pPr>
        <w:spacing w:after="0" w:line="90"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The Company grants rights to access its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Indirect segment net revenues.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and Amounts Allocated to Performance Obligations.</w:t>
      </w:r>
    </w:p>
    <w:p>
      <w:pPr>
        <w:spacing w:after="0" w:line="90"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The transaction price is the amount of consideration the Company expects to be entitled to in a sales transaction. The transaction price includes discounts, estimated variable consideration (if any), and any customer allowances offered or estimated, including those offered to certain Indirect retailers based on various contract terms. The transaction price also includes allowances for product returns, which the Company is able to reasonably estimate based upon historical experience. The transaction price is allocated to each performance obligation in the contract based upon the standalone selling price.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Costs</w:t>
      </w:r>
    </w:p>
    <w:p>
      <w:pPr>
        <w:spacing w:after="0" w:line="9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Practical Expedients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Remaining Performance Obligations</w:t>
      </w:r>
    </w:p>
    <w:p>
      <w:pPr>
        <w:spacing w:after="0" w:line="9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does not disclose the remaining performance obligations for contracts with an original expected duration of one year or less or for contracts which it has the right to invoice.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Financing Components</w:t>
      </w:r>
    </w:p>
    <w:p>
      <w:pPr>
        <w:spacing w:after="0" w:line="9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May 5,</w:t>
            </w:r>
          </w:p>
        </w:tc>
        <w:tc>
          <w:tcPr>
            <w:tcW w:w="180" w:type="dxa"/>
            <w:vAlign w:val="bottom"/>
          </w:tcPr>
          <w:p>
            <w:pPr>
              <w:spacing w:after="0"/>
              <w:rPr>
                <w:sz w:val="13"/>
                <w:szCs w:val="13"/>
                <w:color w:val="auto"/>
              </w:rPr>
            </w:pPr>
          </w:p>
        </w:tc>
        <w:tc>
          <w:tcPr>
            <w:tcW w:w="9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7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(4,049)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36,235</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36,235</w:t>
            </w:r>
          </w:p>
        </w:tc>
      </w:tr>
      <w:tr>
        <w:trPr>
          <w:trHeight w:val="67"/>
        </w:trPr>
        <w:tc>
          <w:tcPr>
            <w:tcW w:w="77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7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As of May 5, 2018 and April 29, 2017, all potential common shares were excluded from the diluted share calculations because they were anti-dilutive due to the net loss in the current and prior-year periods.</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rFonts w:ascii="Arial" w:cs="Arial" w:eastAsia="Arial" w:hAnsi="Arial"/>
          <w:sz w:val="18"/>
          <w:szCs w:val="18"/>
          <w:b w:val="1"/>
          <w:bCs w:val="1"/>
          <w:color w:val="auto"/>
        </w:rPr>
      </w:pPr>
    </w:p>
    <w:p>
      <w:pPr>
        <w:ind w:left="6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rFonts w:ascii="Arial" w:cs="Arial" w:eastAsia="Arial" w:hAnsi="Arial"/>
          <w:sz w:val="18"/>
          <w:szCs w:val="18"/>
          <w:b w:val="1"/>
          <w:bCs w:val="1"/>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May 5, 2018 and February 3, 2018,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121"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fair value measurements of the Company's investments as of May 5, 2018 and February 3, 2018 (in thousands):</w:t>
      </w: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May 5,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February 3,</w:t>
            </w:r>
          </w:p>
        </w:tc>
        <w:tc>
          <w:tcPr>
            <w:tcW w:w="140" w:type="dxa"/>
            <w:vAlign w:val="bottom"/>
          </w:tcPr>
          <w:p>
            <w:pPr>
              <w:spacing w:after="0"/>
              <w:rPr>
                <w:sz w:val="13"/>
                <w:szCs w:val="13"/>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May 5,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140" w:type="dxa"/>
            <w:vAlign w:val="bottom"/>
          </w:tcPr>
          <w:p>
            <w:pPr>
              <w:spacing w:after="0"/>
              <w:rPr>
                <w:sz w:val="13"/>
                <w:szCs w:val="13"/>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May 5, 2018</w:t>
            </w:r>
          </w:p>
        </w:tc>
        <w:tc>
          <w:tcPr>
            <w:tcW w:w="1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Cash equivalents</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Certificate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80" w:right="1020" w:firstLine="3"/>
        <w:spacing w:after="0" w:line="342" w:lineRule="auto"/>
        <w:tabs>
          <w:tab w:leader="none" w:pos="9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equivalents include commercial paper, a money market fund, and municipal securities that have a maturity of three months or less at the date of purchase. Due to their short maturity, the Company believes the carrying value approximates fair value.</w:t>
      </w:r>
    </w:p>
    <w:p>
      <w:pPr>
        <w:spacing w:after="0" w:line="16" w:lineRule="exact"/>
        <w:rPr>
          <w:sz w:val="20"/>
          <w:szCs w:val="20"/>
          <w:color w:val="auto"/>
        </w:rPr>
      </w:pPr>
    </w:p>
    <w:p>
      <w:pPr>
        <w:ind w:left="660" w:right="600"/>
        <w:spacing w:after="0" w:line="342" w:lineRule="auto"/>
        <w:rPr>
          <w:sz w:val="20"/>
          <w:szCs w:val="20"/>
          <w:color w:val="auto"/>
        </w:rPr>
      </w:pPr>
      <w:r>
        <w:rPr>
          <w:rFonts w:ascii="Arial" w:cs="Arial" w:eastAsia="Arial" w:hAnsi="Arial"/>
          <w:sz w:val="16"/>
          <w:szCs w:val="16"/>
          <w:color w:val="auto"/>
        </w:rPr>
        <w:t>The Company has certain assets that are measured on a non-recurring basis under circumstances and events described in Note 12 herein. The categorization of the framework to price these assets are within Level 3 due to the subjective nature of unobservable inputs.</w:t>
      </w:r>
    </w:p>
    <w:p>
      <w:pPr>
        <w:spacing w:after="0" w:line="20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6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 On October 20, 2017, VBD entered into Amendment No. 2 to the Credit Agreement to modify certain financial and restrictive covenants.</w:t>
      </w:r>
    </w:p>
    <w:p>
      <w:pPr>
        <w:spacing w:after="0" w:line="57" w:lineRule="exact"/>
        <w:rPr>
          <w:rFonts w:ascii="Arial" w:cs="Arial" w:eastAsia="Arial" w:hAnsi="Arial"/>
          <w:sz w:val="18"/>
          <w:szCs w:val="18"/>
          <w:b w:val="1"/>
          <w:bCs w:val="1"/>
          <w:color w:val="auto"/>
        </w:rPr>
      </w:pPr>
    </w:p>
    <w:p>
      <w:pPr>
        <w:ind w:left="660" w:right="3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29"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The Credit Agreement, as amended,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62" w:lineRule="exact"/>
        <w:rPr>
          <w:sz w:val="20"/>
          <w:szCs w:val="20"/>
          <w:color w:val="auto"/>
        </w:rPr>
      </w:pPr>
    </w:p>
    <w:p>
      <w:pPr>
        <w:ind w:left="660" w:right="840"/>
        <w:spacing w:after="0" w:line="277" w:lineRule="auto"/>
        <w:rPr>
          <w:sz w:val="20"/>
          <w:szCs w:val="20"/>
          <w:color w:val="auto"/>
        </w:rPr>
      </w:pPr>
      <w:r>
        <w:rPr>
          <w:rFonts w:ascii="Arial" w:cs="Arial" w:eastAsia="Arial" w:hAnsi="Arial"/>
          <w:sz w:val="18"/>
          <w:szCs w:val="18"/>
          <w:color w:val="auto"/>
        </w:rPr>
        <w:t>As of May 5, 2018 and February 3, 2018, the Company had no borrowings outstanding and availability of $125.0 million under its Credit Agreement.</w:t>
      </w:r>
    </w:p>
    <w:p>
      <w:pPr>
        <w:spacing w:after="0" w:line="16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66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rFonts w:ascii="Arial" w:cs="Arial" w:eastAsia="Arial" w:hAnsi="Arial"/>
          <w:sz w:val="18"/>
          <w:szCs w:val="18"/>
          <w:b w:val="1"/>
          <w:bCs w:val="1"/>
          <w:color w:val="auto"/>
        </w:rPr>
      </w:pPr>
    </w:p>
    <w:p>
      <w:pPr>
        <w:ind w:left="66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Tax Cuts and Jobs Act (the “Tax Act”) was signed into law. The Tax Act includes, among other things, a corporate tax rate decrease from 35% to 21% effective for tax years beginning after December 31, 2017, bonus depreciation that allows for full expensing of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w:t>
      </w:r>
    </w:p>
    <w:p>
      <w:pPr>
        <w:spacing w:after="0" w:line="19" w:lineRule="exact"/>
        <w:rPr>
          <w:rFonts w:ascii="Arial" w:cs="Arial" w:eastAsia="Arial" w:hAnsi="Arial"/>
          <w:sz w:val="18"/>
          <w:szCs w:val="18"/>
          <w:b w:val="1"/>
          <w:bCs w:val="1"/>
          <w:color w:val="auto"/>
        </w:rPr>
      </w:pPr>
    </w:p>
    <w:p>
      <w:pPr>
        <w:ind w:left="660" w:right="3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Consistent with this guidance, any resulting changes to the provisional estimates and amounts not yet estimated will be recognized as an adjustment to tax expense in the reporting period that the amounts are determined.</w:t>
      </w:r>
    </w:p>
    <w:p>
      <w:pPr>
        <w:spacing w:after="0" w:line="19" w:lineRule="exact"/>
        <w:rPr>
          <w:rFonts w:ascii="Arial" w:cs="Arial" w:eastAsia="Arial" w:hAnsi="Arial"/>
          <w:sz w:val="18"/>
          <w:szCs w:val="18"/>
          <w:b w:val="1"/>
          <w:bCs w:val="1"/>
          <w:color w:val="auto"/>
        </w:rPr>
      </w:pPr>
    </w:p>
    <w:p>
      <w:pPr>
        <w:ind w:left="66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provisional amounts recognized as a result of the Tax Act may differ due to, among other things, additional analysis, changes in interpretations and assumptions that the Company has made, additional regulatory guidance issued, and any additional actions the Company may take as a result of the Tax Act. The accounting for the Tax Act is expected to be complete when the fiscal 2018 federal income tax return is filed in fiscal 2019. The Company has not recognized any provisional income tax adjustments as a result of the Tax Act in the current-year period.</w:t>
      </w:r>
    </w:p>
    <w:p>
      <w:pPr>
        <w:spacing w:after="0" w:line="100"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May 5, 2018, was 17.9%, compared to 15.0% for the thirteen weeks ended April 29, 2017. The year-over-year effective tax rate increase was primarily due to the relative impact of discrete items in the current-year period compared to the prior-year period, primarily as a result of tax shortfalls from stock-based compensation, partially offset by a decreased annual effective tax rate as a result of the reduction in the U.S. corporate income tax rate.</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171" w:lineRule="exact"/>
        <w:rPr>
          <w:rFonts w:ascii="Arial" w:cs="Arial" w:eastAsia="Arial" w:hAnsi="Arial"/>
          <w:sz w:val="18"/>
          <w:szCs w:val="18"/>
          <w:b w:val="1"/>
          <w:bCs w:val="1"/>
          <w:color w:val="auto"/>
        </w:rPr>
      </w:pPr>
    </w:p>
    <w:p>
      <w:pPr>
        <w:ind w:left="6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May 5, 2018, the Company granted 409,145 time-based and performance-based restricted stock units with an aggregate fair value of $4.3 million to certain employees and non-employee directors under the 2010 Equity and Incentive Plan compared to a total of 506,572 time-based and performance-based restricted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stock units with an aggregate fair value of $4.7 million granted in the same period of the prior year. The Company determined the fair value of the awards based on the closing price of the Company’s common stock on the grant date.</w:t>
      </w:r>
    </w:p>
    <w:p>
      <w:pPr>
        <w:spacing w:after="0" w:line="116"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restricted stock unit activity for the thirteen weeks ended May 5, 2018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3, 2018</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May 5, 2018</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424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As of May 5, 2018, there was $5.6 million of total unrecognized compensation cost, net of estimated forfeitures, related to nonvested restricted stock units. That cost is expected to be recognized over a weighted-average period of 2.0 years, subject to meeting performance conditions.</w:t>
      </w:r>
    </w:p>
    <w:p>
      <w:pPr>
        <w:spacing w:after="0" w:line="359" w:lineRule="exact"/>
        <w:rPr>
          <w:sz w:val="20"/>
          <w:szCs w:val="20"/>
          <w:color w:val="auto"/>
        </w:rPr>
      </w:pPr>
    </w:p>
    <w:p>
      <w:pPr>
        <w:ind w:left="660" w:right="8200" w:hanging="652"/>
        <w:spacing w:after="0" w:line="346"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Payment Card Incident </w:t>
      </w:r>
      <w:r>
        <w:rPr>
          <w:rFonts w:ascii="Arial" w:cs="Arial" w:eastAsia="Arial" w:hAnsi="Arial"/>
          <w:sz w:val="18"/>
          <w:szCs w:val="18"/>
          <w:i w:val="1"/>
          <w:iCs w:val="1"/>
          <w:color w:val="auto"/>
        </w:rPr>
        <w:t>Description of Event</w:t>
      </w: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15, 2016, the Company received information from law enforcement regarding a potential data security issue related to its retail store network. Findings from the investigation showed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4"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timely resolved this incident and continues to work with a computer security firm to further strengthen the security of its systems to help prevent events of this nature from happening in the future. The Company continues to support law enforcement’s investigation and also promptly notified the payment card networks so that the banks that issue payment cards could initiate heightened monitoring on the affected cards. Claims have been received from some, but not all, of the payment card networks for this incident which is expected to be covered by the Company's insurance, as described below.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During the thirteen weeks ended May 5, 2018 and April 29, 2017, the Company recorded an immaterial amount of expense relating to remediation activities as a result of the Payment Card Incident. There were no incremental expenses associated with the claims received in fiscal 2019 or fiscal 2018 as they were reimbursed under the Company's insurance coverage.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Additional payment card companies and associations may require the Company to reimburse them for unauthorized card charges and costs to replace cards and may also impose fines or penalties in connection with the Payment Card Incident, and enforcement authorities may also impose fines or other remedies against the Company. At this time, the Company cannot reasonably estimate the potential loss or range of loss related to the additional fines or penalties that may be assessed, if any. The Payment Card Incident, including customer response and any possible third party claims or additional assessments from payment card companies, could materially adversely affect the Company's financial condition and operating results. However, the Company expects its insurance coverage will offset most of the expenses for the investigation and other legal and professional services associated with the incident, possible third party claims, as well as fines, penalties, or other expenses, if any additional, imposed by payment card companies as discussed above.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maintains $15.0 million of cyber security insurance coverage above a $0.1 million deductible.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Commitments and Contingencies</w:t>
      </w:r>
    </w:p>
    <w:p>
      <w:pPr>
        <w:spacing w:after="0" w:line="9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Company is also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w:t>
      </w:r>
    </w:p>
    <w:p>
      <w:pPr>
        <w:spacing w:after="0" w:line="51" w:lineRule="exact"/>
        <w:rPr>
          <w:rFonts w:ascii="Arial" w:cs="Arial" w:eastAsia="Arial" w:hAnsi="Arial"/>
          <w:sz w:val="18"/>
          <w:szCs w:val="18"/>
          <w:b w:val="1"/>
          <w:bCs w:val="1"/>
          <w:color w:val="auto"/>
        </w:rPr>
      </w:pPr>
    </w:p>
    <w:p>
      <w:pPr>
        <w:jc w:val="both"/>
        <w:ind w:left="660"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did not make share purchases under the 2015 Share Repurchase Program during the thirteen weeks ended May 5, 2018. As of May 5, 2018, there was $13.4 million remaining available to repurchase shares of the Company's common stock under the 2015 Share Repurchase Program.</w:t>
      </w:r>
    </w:p>
    <w:p>
      <w:pPr>
        <w:spacing w:after="0" w:line="69"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May 5, 2018, the Company held as treasury shares 5,642,485 shares of its common stock at an average price of $13.57 per share, excluding commissions, for an aggregate carrying amount of $76.6 million. The Company’s treasury shares may be issued under the 2010 Equity and Incentive Plan or for other corporate purposes.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Vision 20/20 Restructuring and Other Charges</w:t>
      </w:r>
    </w:p>
    <w:p>
      <w:pPr>
        <w:spacing w:after="0" w:line="94"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Vision 20/20 Initiatives and Charges</w:t>
      </w:r>
      <w:r>
        <w:rPr>
          <w:rFonts w:ascii="Arial" w:cs="Arial" w:eastAsia="Arial" w:hAnsi="Arial"/>
          <w:sz w:val="18"/>
          <w:szCs w:val="18"/>
          <w:color w:val="auto"/>
        </w:rPr>
        <w:t>. During fiscal 2018, the Company launched its Vision 20/20 strategic plan, which involves a more aggressive</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turn around its business over the period ending in fiscal 2021. The plan is primarily focused on product and pricing initiatives, as well as selling, general, and administrative (“SG&amp;A”) expense reduction initiatives. The product and pricing initiatives include restoring the Company's full-price business by significantly reducing the amount of clearance merchandise offered on verabradley.com and in its full-line stores, streamlining current product offerings by eliminating unproductive or incongruent categories and SKUs from its assortment, and introducing tighter guardrails around new product categories, patterns, and pricing.</w:t>
      </w:r>
    </w:p>
    <w:p>
      <w:pPr>
        <w:spacing w:after="0" w:line="58" w:lineRule="exact"/>
        <w:rPr>
          <w:rFonts w:ascii="Arial" w:cs="Arial" w:eastAsia="Arial" w:hAnsi="Arial"/>
          <w:sz w:val="18"/>
          <w:szCs w:val="18"/>
          <w:b w:val="1"/>
          <w:bCs w:val="1"/>
          <w:color w:val="auto"/>
        </w:rPr>
      </w:pPr>
    </w:p>
    <w:p>
      <w:pPr>
        <w:ind w:left="66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SG&amp;A expense reductions include right-sizing the Company’s corporate infrastructure to better align with the size of the business, lowering marketing spending by focusing on efficiencies, and taking a more aggressive stance on closing underperforming full-line stores. These SG&amp;A expense reductions began in the third quarter of fiscal 2018, largely aimed at right-sizing the corporate infrastructure. The majority of the product and pricing initiatives are being completed in the current fiscal year. There have been $16.7 million of pre-tax Vision 20/20-related charges ($10.6 million after the associated tax benefit) since inception, all of which were recognized during fiscal 2018. There were no Vision 20/20-related charges during the thirteen weeks ended May 5, 2018 or April 29, 2017.</w:t>
      </w:r>
    </w:p>
    <w:p>
      <w:pPr>
        <w:spacing w:after="0" w:line="4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liabilities associated with the Vision 20/20 initiatives is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Asset</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Strategic</w:t>
            </w:r>
          </w:p>
        </w:tc>
        <w:tc>
          <w:tcPr>
            <w:tcW w:w="1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Inventory-</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Consulting</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Related</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Charges</w:t>
            </w:r>
          </w:p>
        </w:tc>
        <w:tc>
          <w:tcPr>
            <w:tcW w:w="26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Charges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Charges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Charges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Charges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as of February 3,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Fiscal 2019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Non-cash charges</w:t>
            </w:r>
          </w:p>
        </w:tc>
        <w:tc>
          <w:tcPr>
            <w:tcW w:w="12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Liability as of May 5, 2018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80" w:right="1740" w:firstLine="3"/>
        <w:spacing w:after="0" w:line="277" w:lineRule="auto"/>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remaining liability associated with severance charges is included within accrued employment costs in the Condensed Consolidated Balance Sheets</w:t>
      </w:r>
    </w:p>
    <w:p>
      <w:pPr>
        <w:spacing w:after="0" w:line="143" w:lineRule="exact"/>
        <w:rPr>
          <w:sz w:val="20"/>
          <w:szCs w:val="20"/>
          <w:color w:val="auto"/>
        </w:rPr>
      </w:pPr>
    </w:p>
    <w:p>
      <w:pPr>
        <w:jc w:val="both"/>
        <w:ind w:left="660" w:right="180"/>
        <w:spacing w:after="0" w:line="342" w:lineRule="auto"/>
        <w:rPr>
          <w:sz w:val="20"/>
          <w:szCs w:val="20"/>
          <w:color w:val="auto"/>
        </w:rPr>
      </w:pPr>
      <w:r>
        <w:rPr>
          <w:rFonts w:ascii="Arial" w:cs="Arial" w:eastAsia="Arial" w:hAnsi="Arial"/>
          <w:sz w:val="16"/>
          <w:szCs w:val="16"/>
          <w:i w:val="1"/>
          <w:iCs w:val="1"/>
          <w:color w:val="auto"/>
        </w:rPr>
        <w:t>Other Charges</w:t>
      </w:r>
      <w:r>
        <w:rPr>
          <w:rFonts w:ascii="Arial" w:cs="Arial" w:eastAsia="Arial" w:hAnsi="Arial"/>
          <w:sz w:val="16"/>
          <w:szCs w:val="16"/>
          <w:color w:val="auto"/>
        </w:rPr>
        <w:t>. Severance charges recognized in SG&amp;A expenses within corporate unallocated expenses during the thirteen weeks ended April 29,</w:t>
      </w:r>
      <w:r>
        <w:rPr>
          <w:rFonts w:ascii="Arial" w:cs="Arial" w:eastAsia="Arial" w:hAnsi="Arial"/>
          <w:sz w:val="16"/>
          <w:szCs w:val="16"/>
          <w:i w:val="1"/>
          <w:iCs w:val="1"/>
          <w:color w:val="auto"/>
        </w:rPr>
        <w:t xml:space="preserve"> </w:t>
      </w:r>
      <w:r>
        <w:rPr>
          <w:rFonts w:ascii="Arial" w:cs="Arial" w:eastAsia="Arial" w:hAnsi="Arial"/>
          <w:sz w:val="16"/>
          <w:szCs w:val="16"/>
          <w:color w:val="auto"/>
        </w:rPr>
        <w:t>2017 totaled $1.3 million ($0.8 million after the associated tax benefit). These charges were recognized before the implementation of Vision 20/20.</w:t>
      </w:r>
    </w:p>
    <w:p>
      <w:pPr>
        <w:spacing w:after="0" w:line="201" w:lineRule="exact"/>
        <w:rPr>
          <w:sz w:val="20"/>
          <w:szCs w:val="20"/>
          <w:color w:val="auto"/>
        </w:rPr>
      </w:pPr>
    </w:p>
    <w:p>
      <w:pPr>
        <w:ind w:left="660" w:right="9500" w:hanging="652"/>
        <w:spacing w:after="0" w:line="390"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Cash Equivalents</w:t>
      </w:r>
    </w:p>
    <w:p>
      <w:pPr>
        <w:ind w:left="660" w:right="2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Investments classified as cash equivalents relate to highly-liquid investments with a maturity of three months or less at the date of purchase. As of May 5, 2018 and February 3, 2018, these investments in the Company's portfolio consisted of commercial paper, a money market fund, and municipal securities.</w:t>
      </w:r>
    </w:p>
    <w:p>
      <w:pPr>
        <w:spacing w:after="0" w:line="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Short-Term Investments</w:t>
      </w:r>
    </w:p>
    <w:p>
      <w:pPr>
        <w:spacing w:after="0" w:line="171" w:lineRule="exact"/>
        <w:rPr>
          <w:rFonts w:ascii="Arial" w:cs="Arial" w:eastAsia="Arial" w:hAnsi="Arial"/>
          <w:sz w:val="16"/>
          <w:szCs w:val="16"/>
          <w:b w:val="1"/>
          <w:bCs w:val="1"/>
          <w:color w:val="auto"/>
        </w:rPr>
      </w:pPr>
    </w:p>
    <w:p>
      <w:pPr>
        <w:ind w:left="660" w:right="1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As of May 5, 2018 and February 3, 2018, short-term investments consisted of a certificate of deposit, U.S. and non-U.S. corporate debt securities, municipal securities, and commercial paper with a maturity within one year of the balance sheet date. The balance as of May 5, 2018, also included U.S. treasury securities. These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Company held $59.9 million and $54.2 million in short-term investments as of May 5, 2018 and February 3, 2018, respectively. The following table summarizes the Company's short-term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5, 2018</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February 3, 2018</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25,032</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12,942</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6,451</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998</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54,150</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171"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As of May 5, 2018 and February 3, 2018, long-term investments consisted of U.S. and non-U.S. corporate debt securities and municipal securities with a maturity greater than one year from the balance sheet date. The balance as of February 3, 2018 also included U.S. treasury securities. These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00"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Company held $11.0 million and $15.5 million in long-term investments as of May 5, 2018 and February 3, 2018, respectively. The following table summarizes the Company's long-term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5, 2018</w:t>
            </w:r>
          </w:p>
        </w:tc>
        <w:tc>
          <w:tcPr>
            <w:tcW w:w="22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February 3, 2018</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5,098</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U.S. corporate debt securities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4,543</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3,099</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15,515</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gross unrealized gains or losses on available-for-sale securities as of May 5, 2018 and February 3, 2018.</w:t>
      </w:r>
    </w:p>
    <w:p>
      <w:pPr>
        <w:spacing w:after="0" w:line="30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4" w:lineRule="exact"/>
        <w:rPr>
          <w:rFonts w:ascii="Arial" w:cs="Arial" w:eastAsia="Arial" w:hAnsi="Arial"/>
          <w:sz w:val="18"/>
          <w:szCs w:val="18"/>
          <w:b w:val="1"/>
          <w:bCs w:val="1"/>
          <w:color w:val="auto"/>
        </w:rPr>
      </w:pPr>
    </w:p>
    <w:p>
      <w:pPr>
        <w:ind w:left="660" w:right="2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typically determined by an estimated discounted cash flow analysis of the asset. There were no impairment charges recorded during the thirteen weeks ended May 5, 2018 and April 29, 2017.</w:t>
      </w:r>
    </w:p>
    <w:p>
      <w:pPr>
        <w:spacing w:after="0" w:line="249" w:lineRule="exact"/>
        <w:rPr>
          <w:rFonts w:ascii="Arial" w:cs="Arial" w:eastAsia="Arial" w:hAnsi="Arial"/>
          <w:sz w:val="18"/>
          <w:szCs w:val="18"/>
          <w:b w:val="1"/>
          <w:bCs w:val="1"/>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 segment includes the Company’s full-line and factory outlet stores; the Company’s website, verabradley.com; the Company’s online outlet site; direct-to-consumer eBay sales; and the annual outlet sale. Revenues generated from this segment are driven through the sale of Company-branded products from Vera Bradley to end consumers.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2,400 locations, substantially all of which are located in the United States; key accounts, which include department stores, national accounts, third-party e-commerce sites, and third-party inventory liquidators; and royalties recognized through licensing agreements.</w:t>
      </w:r>
    </w:p>
    <w:p>
      <w:pPr>
        <w:spacing w:after="0" w:line="12"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All intercompany-related activities are eliminated in consolidation and are excluded from the segment reporting.</w:t>
      </w:r>
    </w:p>
    <w:p>
      <w:pPr>
        <w:spacing w:after="0" w:line="30"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(loss) information for the Company’s reportable segments during the thirteen weeks ended May 5, 2018 and April 29, 2017, respectively, consisted of the following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May 5,</w:t>
            </w:r>
          </w:p>
        </w:tc>
        <w:tc>
          <w:tcPr>
            <w:tcW w:w="320" w:type="dxa"/>
            <w:vAlign w:val="bottom"/>
          </w:tcPr>
          <w:p>
            <w:pPr>
              <w:spacing w:after="0"/>
              <w:rPr>
                <w:sz w:val="13"/>
                <w:szCs w:val="13"/>
                <w:color w:val="auto"/>
              </w:rPr>
            </w:pPr>
          </w:p>
        </w:tc>
        <w:tc>
          <w:tcPr>
            <w:tcW w:w="12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65,532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68,837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27,298</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96,135</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16,258</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3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16,258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the Company as of and for the thirteen weeks ended May 5, 2018 and April 29, 2017. The following discussion should be read in conjunction with our Annual Report on Form 10-K for the fiscal year ended February 3, 2018, and our unaudited condensed consolidated financial statements and the related notes included in Item 1 of this Quarterly Report. The results of operations for the thirteen weeks ended May 5, 2018, are not necessarily indicative of the results to be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first quarter of fiscal 2019:</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reduced the clearance activity in our full-line stores and on verabradley.com (excluding our online outlet site) by over 75% compared to the prior-year period and hosted three flash sale events on our online outlet site during the quarter.</w:t>
      </w:r>
    </w:p>
    <w:p>
      <w:pPr>
        <w:spacing w:after="0" w:line="3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increased comparable full-price selling in our full-line stores and on verabradey.com (excluding our online outlet site) in the high-single digit percentage range.</w:t>
      </w:r>
    </w:p>
    <w:p>
      <w:pPr>
        <w:spacing w:after="0" w:line="3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continued to focus on increasing brand awareness through our “digital first” strategy by focusing our marketing on high-quality placements and targeted digital efforts, with an emphasis on full-price offerings. Total marketing impressions increased over 20 million to nearly 300 million impressions during the quarter.</w:t>
      </w:r>
    </w:p>
    <w:p>
      <w:pPr>
        <w:spacing w:after="0" w:line="46"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foster loyalty and engagement, we piloted a “customer journeys” program during the quarter, where our best customers receive special recognition throughout the year; we will continue to refine and expand the program.</w:t>
      </w:r>
    </w:p>
    <w:p>
      <w:pPr>
        <w:spacing w:after="0" w:line="3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first quarter, we strengthened our store base by opening four factory outlet stores in Lake George, New York; Gulfport, Mississippi; Baraboo, Wisconsin; and Charleston, South Carolina and closing four underperforming full-line stores.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increased our cash and investment balance by over $30 million to over $130 million compared to the first quarter of fiscal 2018.</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first quarter of fiscal 2018)</w:t>
      </w:r>
    </w:p>
    <w:p>
      <w:pPr>
        <w:spacing w:after="0" w:line="9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revenues decreased 9.9% to $86.6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segment sales decreased 4.8% to $65.5 million. Comparable sales decreased 8.5%.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Indirect segment sales decreased 22.9% to $21.1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profit was $48.6 million, or 56.1%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loss was $(1.9) million and net loss was $(1.4) million, or $(0.04)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$3.7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and investments were $132.3 million at May 5,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Net revenues reflect sales of our merchandise and revenue from distribution and shipping and handling fees, less returns and discounts. Revenues for the Direct segment reflect sales through our full-line and factory outlet stores; verabradley.com; our online outlet site; direct-to-consumer eBay sales; and our annual outlet sale in Fort Wayne, Indiana. Revenues for the Indirect segment reflect sales to specialty retail partners; department stores; national accounts; third-party e-commerce sites; third-party inventory liquidators; and royalties recognized through licensing agreements.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current-year period associated with the 53rd week in fiscal 2018.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is equal to gross profit less SG&amp;A expenses plus other income. Operating loss excludes interest income, interest expense, and income taxes.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loss is equal to operating loss plus net interest income less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May 5,</w:t>
            </w:r>
          </w:p>
        </w:tc>
        <w:tc>
          <w:tcPr>
            <w:tcW w:w="320" w:type="dxa"/>
            <w:vAlign w:val="bottom"/>
          </w:tcPr>
          <w:p>
            <w:pPr>
              <w:spacing w:after="0"/>
              <w:rPr>
                <w:sz w:val="13"/>
                <w:szCs w:val="13"/>
                <w:color w:val="auto"/>
              </w:rPr>
            </w:pPr>
          </w:p>
        </w:tc>
        <w:tc>
          <w:tcPr>
            <w:tcW w:w="1280" w:type="dxa"/>
            <w:vAlign w:val="bottom"/>
          </w:tcPr>
          <w:p>
            <w:pPr>
              <w:jc w:val="right"/>
              <w:ind w:right="452"/>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86,591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96,135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37,975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43,435</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48,616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52,700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50,705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57,771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267</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Operating loss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(4,804)</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(4,765)</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(716)</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(4,049)</w:t>
            </w:r>
          </w:p>
        </w:tc>
      </w:tr>
      <w:tr>
        <w:trPr>
          <w:trHeight w:val="67"/>
        </w:trPr>
        <w:tc>
          <w:tcPr>
            <w:tcW w:w="8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45.2 %</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54.8 %</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60.1 %</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May 5,</w:t>
            </w:r>
          </w:p>
        </w:tc>
        <w:tc>
          <w:tcPr>
            <w:tcW w:w="300" w:type="dxa"/>
            <w:vAlign w:val="bottom"/>
          </w:tcPr>
          <w:p>
            <w:pPr>
              <w:spacing w:after="0"/>
              <w:rPr>
                <w:sz w:val="13"/>
                <w:szCs w:val="13"/>
                <w:color w:val="auto"/>
              </w:rPr>
            </w:pPr>
          </w:p>
        </w:tc>
        <w:tc>
          <w:tcPr>
            <w:tcW w:w="126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r>
      <w:tr>
        <w:trPr>
          <w:trHeight w:val="230"/>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65,532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68,837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21,059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27,298</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86,591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96,135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
        </w:trPr>
        <w:tc>
          <w:tcPr>
            <w:tcW w:w="8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Indirect</w:t>
            </w:r>
          </w:p>
        </w:tc>
        <w:tc>
          <w:tcPr>
            <w:tcW w:w="15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8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May 5,</w:t>
            </w:r>
          </w:p>
        </w:tc>
        <w:tc>
          <w:tcPr>
            <w:tcW w:w="320" w:type="dxa"/>
            <w:vAlign w:val="bottom"/>
          </w:tcPr>
          <w:p>
            <w:pPr>
              <w:spacing w:after="0"/>
              <w:rPr>
                <w:sz w:val="13"/>
                <w:szCs w:val="13"/>
                <w:color w:val="auto"/>
              </w:rPr>
            </w:pPr>
          </w:p>
        </w:tc>
        <w:tc>
          <w:tcPr>
            <w:tcW w:w="12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by Segment:</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6,812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9,446</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(17,486)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(21,062)</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(4,804)</w:t>
            </w:r>
          </w:p>
        </w:tc>
      </w:tr>
      <w:tr>
        <w:trPr>
          <w:trHeight w:val="67"/>
        </w:trPr>
        <w:tc>
          <w:tcPr>
            <w:tcW w:w="8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as a Percentage of Net Revenues by Segment: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opened during period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stores closed during period</w:t>
            </w:r>
          </w:p>
        </w:tc>
        <w:tc>
          <w:tcPr>
            <w:tcW w:w="34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162</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383,570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377,740</w:t>
            </w:r>
          </w:p>
        </w:tc>
      </w:tr>
      <w:tr>
        <w:trPr>
          <w:trHeight w:val="341"/>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118</w:t>
            </w:r>
          </w:p>
        </w:tc>
      </w:tr>
    </w:tbl>
    <w:p>
      <w:pPr>
        <w:spacing w:after="0" w:line="130"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ind w:left="540" w:right="180" w:hanging="532"/>
        <w:spacing w:after="0" w:line="28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more than one week of the current or comparable prior period, in which case the non-comparable temporary closure periods are not included, or the remodel resulted in a significant change in square footage.</w:t>
      </w:r>
    </w:p>
    <w:p>
      <w:pPr>
        <w:spacing w:after="0" w:line="2" w:lineRule="exact"/>
        <w:rPr>
          <w:rFonts w:ascii="Arial" w:cs="Arial" w:eastAsia="Arial" w:hAnsi="Arial"/>
          <w:sz w:val="16"/>
          <w:szCs w:val="16"/>
          <w:color w:val="auto"/>
        </w:rPr>
      </w:pPr>
    </w:p>
    <w:p>
      <w:pPr>
        <w:ind w:left="540" w:right="40" w:hanging="532"/>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Card Incident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15, 2016, we received information from law enforcement regarding a potential data security issue related to our retail store network. Findings from the investigation showed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timely resolved this incident and continue to work with a computer security firm to further strengthen the security of our system to help prevent events of this nature from happening in the future. We continue to support law enforcement’s investigation and also promptly notified the payment card networks so that the banks that issue payment cards could initiate heightened monitoring on the affected cards. Claims have been received from some, but not all, of the payment card networks for this incident which is expected to be covered by our insurance, as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thirteen weeks ended May 5, 2018 and April 29, 2017, we recorded an immaterial amount of expense relating to remediation activities as a result of the Payment Card Incident. There were no incremental expenses associated with the claims received in fiscal 2019 or fiscal 2018 as they were reimbursed under our insurance coverage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 payment card companies and associations may require us to reimburse them for unauthorized card charges and costs to replace cards and may also impose fines or penalties in connection with the Payment Card Incident, and enforcement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authorities may also impose fines or other remedies against us. At this time, we cannot reasonably estimate the potential loss or range of loss related to the additional fines or penalties that may be assessed, if any. The Payment Card Incident, including customer response and any possible third party claims or additional assessments from payment card companies, could materially adversely affect our financial condition and operating results. However, we expect our insurance coverage will offset most of the expenses for the investigation and other legal and professional services associated with the incident, possible third party claims, as well as fines, penalties, or other expenses, if any additional, imposed by payment card companies as discussed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maintain $15.0 million of cyber security insurance coverage above a $0.1 million deductible.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During fiscal 2018, we launched our Vision 20/20 strategic plan, which involves a more aggressive approach to turn around our business over the period ending in fiscal 2021. This plan is primarily focused on product and pricing initiatives, as well as SG&amp;A expense reduction initiatives.</w:t>
      </w:r>
    </w:p>
    <w:p>
      <w:pPr>
        <w:spacing w:after="0" w:line="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product and pricing initiatives include restoring our full-price business by significantly reducing the amount of clearance merchandise offered on verabradley.com and in our full-line stores; streamlining current product offerings by eliminating unproductive or incongruent categories and SKUs from our assortment; and introducing tighter guardrails around new categories, patterns, and pricing. We expect fiscal 2019 revenues will be negatively impacted by these initiatives by $30.0 million to $50.0 million from fiscal 2018 levels.</w:t>
      </w:r>
    </w:p>
    <w:p>
      <w:pPr>
        <w:spacing w:after="0" w:line="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SG&amp;A expense reduction initiatives include right sizing our corporate infrastructure to better align with the size of the business, lowering our marketing spending by focusing on efficiencies while keeping our most loyal customer engaged, and taking a more aggressive stance on reducing store operating costs and closing underperforming full-line stores. We expect to reduce annual SG&amp;A expenses by up to $30.0 million (off of our fiscal 2017 base level and excluding severance, store impairment, and Vision 20/20 charges from all periods). We expect that $20.0 million to $25.0 million of the annualized SG&amp;A expense reductions will be made by the end of fiscal 2019. We are forecasting to close up to 45 full-line stores by the end of fiscal 2021, primarily as leases expire. We have closed nine full-line stores since fiscal 2018.</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implementation of the plan began in the third quarter of fiscal 2018, with the majority of the product and pricing initiatives being completed in the current fiscal year. The SG&amp;A expense reductions began in the third quarter of fiscal 2018, largely aimed at right sizing our corporate infrastructure. There have been $16.7 million of pre-tax Vision 20/20-related charges ($10.6 million after the associated tax benefit) since inception, all of which were recognized during fiscal 2018. There were no Vision 20/20-related charges during the thirteen weeks ended May 5, 2018 or April 29, 2017.</w:t>
      </w:r>
    </w:p>
    <w:p>
      <w:pPr>
        <w:spacing w:after="0" w:line="194" w:lineRule="exact"/>
        <w:rPr>
          <w:sz w:val="20"/>
          <w:szCs w:val="20"/>
          <w:color w:val="auto"/>
        </w:rPr>
      </w:pPr>
    </w:p>
    <w:p>
      <w:pPr>
        <w:ind w:right="3560"/>
        <w:spacing w:after="0" w:line="346" w:lineRule="auto"/>
        <w:rPr>
          <w:sz w:val="20"/>
          <w:szCs w:val="20"/>
          <w:color w:val="auto"/>
        </w:rPr>
      </w:pPr>
      <w:r>
        <w:rPr>
          <w:rFonts w:ascii="Arial" w:cs="Arial" w:eastAsia="Arial" w:hAnsi="Arial"/>
          <w:sz w:val="18"/>
          <w:szCs w:val="18"/>
          <w:b w:val="1"/>
          <w:bCs w:val="1"/>
          <w:color w:val="auto"/>
        </w:rPr>
        <w:t xml:space="preserve">Other Charges Affecting Comparability of the Thirteen Weeks Ended May 5, 2018, and April 29, 2017 </w:t>
      </w:r>
      <w:r>
        <w:rPr>
          <w:rFonts w:ascii="Arial" w:cs="Arial" w:eastAsia="Arial" w:hAnsi="Arial"/>
          <w:sz w:val="18"/>
          <w:szCs w:val="18"/>
          <w:i w:val="1"/>
          <w:iCs w:val="1"/>
          <w:color w:val="auto"/>
        </w:rPr>
        <w:t>Thirteen Weeks Ended April 29, 2017</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Severance charges recognized in SG&amp;A expenses within corporate unallocated expenses during the thirteen weeks ended April 29, 2017 totaled $1.3 million ($0.8 million after the associated tax benefit). These charges were recognized before the implementation of Vision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Act</w:t>
      </w:r>
    </w:p>
    <w:p>
      <w:pPr>
        <w:spacing w:after="0" w:line="9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December 22, 2017, the Tax Cuts and Jobs Act (the “Tax Act”) was signed into law. The Tax Act includes, among other things, a corporate tax rate decrease from 35% to 21% effective for tax years beginning after December 31, 2017, bonus depreciation that will allow for full expensing of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Any resulting changes to the provisional estimates and amounts not yet estimated will be recognized as an adjustment to tax expense in the reporting period that the amounts are determined. Refer to Note 6 to the Notes to the Condensed Consolidated Financial Statements herein for additional information regarding the Tax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adopted Accounting Standards Codification (“ASC”) Topic 606 beginning in the first quarter of fiscal 2019 using the modified retrospective adoption method. The adoption of this standard impacted fiscal 2019 beginning retained earnings by $0.5 million. As a result of the adoption of ASC Topic 606 using the modified retrospective method, the financial statements from the prior-year periods are not reported under ASC Topic 606 which affects the comparability of the Condensed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Consolidated Financial Statements. The primary impacts from the adoption of the standard are that we are no longer reversing sales associated with shipments not yet received by customers, gift card breakage revenue recognition is accelerated, a change in the method of recognizing minimum guaranteed royalties in certain licensing agreements, and the re-classification of certain liabilities for estimated product returns to other accrued liabilities from a contra-asset within accounts receivable, net, in the current-year period. Refer to Note 2 to the Notes to the Condensed Consolidated Financial Statements herein for additional information, as well as what the reported financial results would have been under prior accounting principles generally accepted in the United States (“GAAP”).</w:t>
      </w:r>
    </w:p>
    <w:p>
      <w:pPr>
        <w:spacing w:after="0" w:line="216" w:lineRule="exact"/>
        <w:rPr>
          <w:sz w:val="20"/>
          <w:szCs w:val="20"/>
          <w:color w:val="auto"/>
        </w:rPr>
      </w:pPr>
    </w:p>
    <w:p>
      <w:pPr>
        <w:ind w:right="4640"/>
        <w:spacing w:after="0" w:line="346" w:lineRule="auto"/>
        <w:rPr>
          <w:sz w:val="20"/>
          <w:szCs w:val="20"/>
          <w:color w:val="auto"/>
        </w:rPr>
      </w:pPr>
      <w:r>
        <w:rPr>
          <w:rFonts w:ascii="Arial" w:cs="Arial" w:eastAsia="Arial" w:hAnsi="Arial"/>
          <w:sz w:val="18"/>
          <w:szCs w:val="18"/>
          <w:b w:val="1"/>
          <w:bCs w:val="1"/>
          <w:color w:val="auto"/>
        </w:rPr>
        <w:t xml:space="preserve">Thirteen Weeks Ended May 5, 2018, Compared to Thirteen Weeks Ended April 29, 2017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thirteen weeks ended May 5, 2018, net revenues decreased $9.5 million, or 9.9%, to $86.6 million, from $96.1 million in the comparable prior-year period. The adoption of ASC 606 benefited the current-year period by $1.6 million.</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May 5, 2018, net revenues in the Direct segment decreased $3.3 million, or 4.8%, to $65.5 million, from $68.8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comparable prior-year period. This change resulted from a $1.9 million contribution of revenue from our non-comparable stores, including four additional factory outlet stores opened in the current fiscal year, which was more than offset by a comparable sales decrease of $5.2 million, or 8.5%. The decrease in comparable sales includes a 21.0% decrease in e-commerce sales and a 3.8% decrease in comparable store sales. First quarter comparable sales (particularly for verabradley.com) were negatively impacted by the planned reduction in clearance activity.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immaterially impacted Direct segment net revenues in the current-year period.</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May 5, 2018, net revenues in the Indirect segment decreased $6.2 million, or 22.9%, to $21.1 million, from $27.3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a decline in orders from the Company's specialty retail accounts and certain key accounts.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adoption of ASC 606 benefited Indirect segment net revenues in the current-year period by $1.8 million primarily due to the timing of shipments to customers as a result of changes in the frequency of product launches compared to the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the thirteen weeks ended May 5, 2018, gross profit decreased $4.1 million, or 7.7%, to $48.6 million, from $52.7 million in the comparable prior-year period. As a percentage of net revenues, gross profit increased to 56.1% for the thirteen weeks ended May 5, 2018, from 54.8% in the comparable prior-year period. The increase as a percentage of net revenues was primarily due to reduced clearance activity and increased full-price selling on verabradley.com and in our full-line stores, channel mix changes, a reduction in product costs, and freight savings. These improvements were partially offset by flash sale events on our online outlet site and increased promotional activity at our factory outlet stores.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gross profit by $1.0 million primarily due to the factors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thirteen weeks ended May 5, 2018, SG&amp;A expenses decreased $7.1 million, or 12.2%, to $50.7 million, from $57.8 million in the comparable prior-year period. As a percentage of net revenues, SG&amp;A expenses decreased to 58.6% for the thirteen weeks ended May 5, 2018, from 60.1% in the comparable prior-year period. The decrease in SG&amp;A expenses for the thirteen weeks ended May 5, 2018 was primarily due to a reduction in employee-related expenses, $1.3 million in severance charges from the prior-year period that did not recur in the current-year period, a reduction in advertising expenses, and other expense reductions due in part to expense management strategies associated with Vision 20/20. These expense savings were partially offset by new store expenses, including factory outlet stores that opened during the first quarter, and incremental expenses associated with the annualization of stores opened during fiscal 2018. SG&amp;A expenses as a percentage of net revenues decreased primarily due to the aforementioned expense savings, partially offset by SG&amp;A expense deleverage associated with lower sales and new store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thirteen weeks ended May 5, 2018, other income decreased $0.1 million, or 33.7%, to $0.2 million, from $0.3 million in the comparable prior-year period, primarily due to a decrease in participation in the co-op mailer program.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thirteen weeks ended May 5, 2018, operating loss decreased $2.9 million, or 60.2%, to $(1.9) million in the current-year period, from $(4.8) million in the comparable prior-year period. As a percentage of net revenues, operating loss was (2.2)% and (5.0)% for the thirteen weeks ended May 5, 2018 and April 29, 2017, respectively. Operating loss decreased due to the factors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operating loss by $1.0 million due to the factors described above.</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May 5, 2018, operating income in the Direct segment increased $0.5 million, or 7.0%, to $7.3 million from $6.8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As a percentage of Direct segment net revenues, operating income in the Direct segment was 11.1% and 9.9% for the thirteen weeks ended May 5, 2018 and April 29, 2017, respectively. The increase in operating income as a percentage of Direct segment net revenues was primarily due to a reduction in employee-related expenses and other expense savings, partially offset by new store expenses, as described above, and deleverage of SG&amp;A expenses as a result of lower sales.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had an immaterial impact on Direct segment operating income in the current-year period.</w:t>
      </w:r>
    </w:p>
    <w:p>
      <w:pPr>
        <w:spacing w:after="0" w:line="17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May 5, 2018, operating income in the Indirect segment decreased $1.1 million, or 12.3%, to $8.3 million from $9.4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Indirect segment net revenues, operating income in the Indirect segment was 39.3% and</w:t>
      </w:r>
    </w:p>
    <w:p>
      <w:pPr>
        <w:jc w:val="both"/>
        <w:ind w:right="120"/>
        <w:spacing w:after="0" w:line="255" w:lineRule="auto"/>
        <w:rPr>
          <w:sz w:val="20"/>
          <w:szCs w:val="20"/>
          <w:color w:val="auto"/>
        </w:rPr>
      </w:pPr>
      <w:r>
        <w:rPr>
          <w:rFonts w:ascii="Arial" w:cs="Arial" w:eastAsia="Arial" w:hAnsi="Arial"/>
          <w:sz w:val="18"/>
          <w:szCs w:val="18"/>
          <w:color w:val="auto"/>
        </w:rPr>
        <w:t>34.6% for the thirteen weeks ended May 5, 2018 and April 29, 2017, respectively. The increase in operating income as a percentage of Indirect segment net revenues was primarily due to an increase in gross margin as a percentage of net revenues and a reduction in employee-related expenses, as described above, partially offset by deleverage of SG&amp;A expenses as a result of lower sales.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ASC 606 benefited the current-year period Indirect segment operating income by $1.1 million due to the factors described above.</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thirteen weeks ended May 5, 2018, unallocated expenses decreased $3.6 million, or 17.0%, to $17.5 million from $21.1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The decrease in unallocated expenses was primarily due to $1.3 million in severance charges from the prior-year period that did not recur in the current-year period, a reduction in advertising expenses, and other expense savings primarily as a result of expense management strategies associated with Vision 20/20, including a reduction in employee-related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effective tax rate for the thirteen weeks ended May 5, 2018, was 17.9%, compared to 15.0% for the thirteen weeks ended April 29, 2017. The year-over year effective tax rate increase was primarily due to the relative impact of discrete items in the current-year period compared to the prior-year period, primarily as a result of tax shortfalls from stock-based compensation, partially offset by a decreased annual effective tax rate as a result of the reduction in the U.S. corporate income tax rate to 21% from 35%.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thirteen weeks ended May 5, 2018, net loss decreased $2.6 million, or 66.2%, to $(1.4) million from $(4.0) million in the comparable prior-year period. The prior-year period included severance charges of $1.3 million ($0.8 million after the associated tax benefit) that did not recur in the current-year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net loss by $0.8 million due to the factors described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primary sources of liquidity are cash on hand and cash equivalents, investments, and cash flow from operations. We also have access to additional liquidity, if needed, through borrowings under our $125.0 million second amended and restated credit agreement. There were no borrowings under this agreement during the thirteen weeks ended May 5, 2018, and there was no debt outstanding as of May 5, 2018.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Investments classified as cash equivalents relate to highly-liquid investments with a maturity of three months or less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As of May 5, 2018 and February 3, 2018, these investments in our portfolio consisted of commercial paper, a money market fund, and municipal securities.</w:t>
      </w:r>
    </w:p>
    <w:p>
      <w:pPr>
        <w:spacing w:after="0" w:line="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May 5, 2018 and February 3, 2018, short-term investments consisted of a certificate of deposit, U.S. and non-U.S.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municipal securities, and commercial paper with a maturity within one year of the balance sheet date. The balance as of May 5, 2018 also included U.S. treasury securities.</w:t>
      </w:r>
    </w:p>
    <w:p>
      <w:pPr>
        <w:spacing w:after="0" w:line="127"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May 5, 2018 and February 3, 2018, long-term investments consisted of U.S. and non-U.S. corporate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securities with a maturity greater than one year from the balance sheet date. The balance as of February 3, 2018 also included U.S. treasury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 “Investments” within Item 1 “Financial Statements” of this Quarterly Report on Form 10-Q for additional detail regarding investments.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5,</w:t>
            </w:r>
          </w:p>
        </w:tc>
        <w:tc>
          <w:tcPr>
            <w:tcW w:w="280" w:type="dxa"/>
            <w:vAlign w:val="bottom"/>
          </w:tcPr>
          <w:p>
            <w:pPr>
              <w:spacing w:after="0"/>
              <w:rPr>
                <w:sz w:val="13"/>
                <w:szCs w:val="13"/>
                <w:color w:val="auto"/>
              </w:rPr>
            </w:pPr>
          </w:p>
        </w:tc>
        <w:tc>
          <w:tcPr>
            <w:tcW w:w="12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7"/>
        </w:trPr>
        <w:tc>
          <w:tcPr>
            <w:tcW w:w="8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used in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Net cash used in operating activities for the thirteen weeks ended May 5, 2018, was $1.8 million compared to $9.9 million for the thirteen weeks ended April 29, 2017. The decrease in cash used in operating activities was primarily a result of the change in accounts payable, inventories, and income taxes, partially offset by the change in accrued and other liabilities. The accounts payable change resulted in a use of cash of $0.1 million in the current-year period as compared to $6.0 million in the comparable prior-year period. In addition, the change in inventories resulted in a source of cash of $1.4 million as compared to a use of cash of $3.1 million in the comparable prior-year period. The decrease in cash used for accounts payable and inventories was primarily due to a reduction in inventory purchases, as well as timing of inventory purchases. The change in income taxes resulted in a use of cash of $0.1 million as compared to $2.3 million in the comparable prior-year period, which was primarily due to timing of income tax payments. These decreases in operating cash usage were partially offset by the change in accrued and other liabilities which resulted in a use of cash of $5.8 million as compared to $1.5 million in the comparable prior-year period. This change was primarily a result of the shifting of a payroll week into the first quarter as compared to the second quarter in the comparable prior-year period, $1.3 million of Vision 20/20 severance charges paid during the first quarter of the current year, as well as an increase in prior-year earned incentive compensation paid in the current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used in investing activities was $5.0 million and $0.3 million for the thirteen weeks ended May 5, 2018 and April 29, 2017, respectively. The increase in cash used in investing activities was primarily a result of net investment activity in the current-year period compared to the comparable prior-year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2019 are expected to be approximately $10.0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was $0.5 million and $1.7 million for the thirteen weeks ended May 5, 2018 and April 29, 2017, respectively. The decrease in cash used in financing activities was primarily due to $1.1 million of cash purchases of our common stock under the 2015 Share Repurchase Plan in the prior-year period which did not recur in the current-year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May 5, 2018, the Company had no borrowings outstanding and availability of $125.0 million under the agreement.</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On October 20, 2017, VBD entered into Amendment No. 2 (the “Amendment”) to the Credit Agreement. The Amendment modifies the ratio requirements of certain financial covenants in the Credit Agreement including the maximum leverage ratio and the minimum ratio of EBITDAR to the sum of interest expense plus rentals (as defined in the Credit Agreement). The Amendment also modifies certain restrictive covenants including the acquisition of investments and the limit of investments in foreign subsidiaries. The Company was in compliance with these covenants as of May 5, 2018.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3, 2018. In addition to these policies, refer to Note 1 “Description of the Company and Basis of Presentation” and Note 2 “Revenue from Contracts with Customers” within Item 1 “Financial Statements” of this Quarterly Report on Form 10-Q for a discussion of the Company's revenue accounting policy under the recently adopted Accounting Standards Codification Topic 606.</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3, 2018. With the exception of revenue recognition, there were no significant changes to any of the critical accounting policies and estimates described in the Annual Report as of May 5,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May 5, 2018, there was no material change in the market risks described in “Quantitative and Qualitative Disclosures About Market Risks” in the Company’s Annual Report on Form 10-K for the fiscal year ended February 3, 2018.</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5, 2018.</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240" w:top="121" w:right="5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February 3, 2018.</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share purchases under the 2015 Share Repurchase Program during the thirteen weeks ended May 5,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May 5, 2018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Under the Plans or Program</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4, 2018 - March 3, 2018</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13,422,471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March 4, 2018 - April 7, 2018</w:t>
            </w: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13,422,471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8, 2018 - May 5, 2018</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13,422,471</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jc w:val="right"/>
              <w:spacing w:after="0"/>
              <w:rPr>
                <w:rFonts w:ascii="Arial" w:cs="Arial" w:eastAsia="Arial" w:hAnsi="Arial"/>
                <w:sz w:val="18"/>
                <w:szCs w:val="18"/>
                <w:color w:val="0000FF"/>
                <w:w w:val="96"/>
              </w:rPr>
            </w:pPr>
            <w:hyperlink w:anchor="page3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6"/>
          </w:tcPr>
          <w:p>
            <w:pPr>
              <w:ind w:left="40"/>
              <w:spacing w:after="0"/>
              <w:rPr>
                <w:rFonts w:ascii="Arial" w:cs="Arial" w:eastAsia="Arial" w:hAnsi="Arial"/>
                <w:sz w:val="18"/>
                <w:szCs w:val="18"/>
                <w:color w:val="0000FF"/>
              </w:rPr>
            </w:pPr>
            <w:hyperlink w:anchor="page37">
              <w:r>
                <w:rPr>
                  <w:rFonts w:ascii="Arial" w:cs="Arial" w:eastAsia="Arial" w:hAnsi="Arial"/>
                  <w:sz w:val="18"/>
                  <w:szCs w:val="18"/>
                  <w:color w:val="0000FF"/>
                </w:rPr>
                <w:t>Fiscal 2019 Annual Incentive Compensation Plan (Executives)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Arial" w:cs="Arial" w:eastAsia="Arial" w:hAnsi="Arial"/>
                <w:sz w:val="18"/>
                <w:szCs w:val="18"/>
                <w:color w:val="0000FF"/>
              </w:rPr>
            </w:pPr>
            <w:hyperlink w:anchor="page41">
              <w:r>
                <w:rPr>
                  <w:rFonts w:ascii="Arial" w:cs="Arial" w:eastAsia="Arial" w:hAnsi="Arial"/>
                  <w:sz w:val="18"/>
                  <w:szCs w:val="18"/>
                  <w:color w:val="0000FF"/>
                </w:rPr>
                <w:t>Form of Restricted Stock Unit/Performance Unit Terms and Conditions (Revised Fiscal 2019)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60" w:type="dxa"/>
            <w:vAlign w:val="bottom"/>
            <w:tcBorders>
              <w:left w:val="single" w:sz="8" w:color="0000FF"/>
            </w:tcBorders>
            <w:gridSpan w:val="2"/>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Arial" w:cs="Arial" w:eastAsia="Arial" w:hAnsi="Arial"/>
                <w:sz w:val="18"/>
                <w:szCs w:val="18"/>
                <w:color w:val="0000FF"/>
              </w:rPr>
            </w:pPr>
            <w:hyperlink w:anchor="page45">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6">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Arial" w:cs="Arial" w:eastAsia="Arial" w:hAnsi="Arial"/>
                <w:sz w:val="18"/>
                <w:szCs w:val="18"/>
                <w:color w:val="0000FF"/>
              </w:rPr>
            </w:pPr>
            <w:hyperlink w:anchor="page46">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7">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Arial" w:cs="Arial" w:eastAsia="Arial" w:hAnsi="Arial"/>
                <w:sz w:val="18"/>
                <w:szCs w:val="18"/>
                <w:color w:val="0000FF"/>
              </w:rPr>
            </w:pPr>
            <w:hyperlink w:anchor="page47">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140" w:hanging="1265"/>
        <w:spacing w:after="0" w:line="25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materials from Vera Bradley, Inc.’s Quarterly Report on Form 10-Q for the quarter ended May 5, 2018 formatted in Extensible Business Reporting Language (XBRL): (i) Condensed Consolidated Statements of Operations for the Thirteen Weeks ended May 5, 2018 and April 29, 2017; (ii) Condensed Consolidated Statements of Comprehensive Income for the Thirteen Weeks ended May 5, 2018 and April 29, 2017; (iii) Condensed Consolidated Balance Sheets as of May 5, 2018 and February 3, 2018; (iv) Condensed Consolidated Statements of Cash Flows for the Thirteen Weeks ended May 5, 2018 and April 29, 2017, and (v) Notes to Condensed Consolidated Financial Statements. **</w:t>
      </w:r>
    </w:p>
    <w:p>
      <w:pPr>
        <w:spacing w:after="0" w:line="153" w:lineRule="exact"/>
        <w:rPr>
          <w:sz w:val="20"/>
          <w:szCs w:val="20"/>
          <w:color w:val="auto"/>
        </w:rPr>
      </w:pPr>
    </w:p>
    <w:p>
      <w:pPr>
        <w:ind w:left="740" w:hanging="705"/>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13, 2018</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121" w:right="43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Officer Annual Incentive Compensation Plan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2019</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Overview</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Awards under this Annual Incentive Compensation Plan ("Annual Plan") are granted under and governed by the terms and conditions of the Vera Bradley,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Equity and Incentive Plan (the “2010 Plan”), as amended. Any term capitalized herein but not defined will have the meaning set forth in the 2010 Plan.</w:t>
      </w:r>
    </w:p>
    <w:p>
      <w:pPr>
        <w:spacing w:after="0" w:line="24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This Annual Plan is designed to give each eligible Participant (as defined in the attached Administrative Guidelines) an opportunity to share in the Company's success for the fiscal year ending February 2, 2019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two to three independent performance measures: (1) Corporate Performance (made up of net revenue and operating income), (2) Corporate Strategic Objectives, and (3) Individual Financial Goals. Collectively, these are referred to as the “FY19 Performance Measures.”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Incentive Opportunity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incentive opportunity for each Participant is determined based on a percentage of each Participant's Base Salary (as defined below)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Participant’s level:</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00" w:type="dxa"/>
            <w:vAlign w:val="bottom"/>
            <w:tcBorders>
              <w:top w:val="single" w:sz="8" w:color="auto"/>
              <w:left w:val="single" w:sz="8" w:color="auto"/>
              <w:right w:val="single" w:sz="8" w:color="auto"/>
            </w:tcBorders>
          </w:tcPr>
          <w:p>
            <w:pPr>
              <w:spacing w:after="0"/>
              <w:rPr>
                <w:sz w:val="22"/>
                <w:szCs w:val="22"/>
                <w:color w:val="auto"/>
              </w:rPr>
            </w:pPr>
          </w:p>
        </w:tc>
        <w:tc>
          <w:tcPr>
            <w:tcW w:w="43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Incentive Opportunity as a Percentage of Base Salary</w:t>
            </w:r>
          </w:p>
        </w:tc>
      </w:tr>
      <w:tr>
        <w:trPr>
          <w:trHeight w:val="27"/>
        </w:trPr>
        <w:tc>
          <w:tcPr>
            <w:tcW w:w="71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100" w:type="dxa"/>
            <w:vAlign w:val="bottom"/>
            <w:tcBorders>
              <w:left w:val="single" w:sz="8" w:color="auto"/>
              <w:right w:val="single" w:sz="8" w:color="auto"/>
            </w:tcBorders>
          </w:tcPr>
          <w:p>
            <w:pPr>
              <w:ind w:left="2880"/>
              <w:spacing w:after="0"/>
              <w:rPr>
                <w:sz w:val="20"/>
                <w:szCs w:val="20"/>
                <w:color w:val="auto"/>
              </w:rPr>
            </w:pPr>
            <w:r>
              <w:rPr>
                <w:rFonts w:ascii="Arial" w:cs="Arial" w:eastAsia="Arial" w:hAnsi="Arial"/>
                <w:sz w:val="18"/>
                <w:szCs w:val="18"/>
                <w:b w:val="1"/>
                <w:bCs w:val="1"/>
                <w:color w:val="auto"/>
              </w:rPr>
              <w:t>Participant Level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Excellence</w:t>
            </w:r>
          </w:p>
        </w:tc>
      </w:tr>
      <w:tr>
        <w:trPr>
          <w:trHeight w:val="27"/>
        </w:trPr>
        <w:tc>
          <w:tcPr>
            <w:tcW w:w="71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Functional Management 5-2 (Executive Officer)</w:t>
            </w:r>
          </w:p>
        </w:tc>
        <w:tc>
          <w:tcPr>
            <w:tcW w:w="162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60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70%</w:t>
            </w:r>
          </w:p>
        </w:tc>
      </w:tr>
      <w:tr>
        <w:trPr>
          <w:trHeight w:val="27"/>
        </w:trPr>
        <w:tc>
          <w:tcPr>
            <w:tcW w:w="71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Each Participant will have the opportunity to earn the incentive set forth above based on the level of achievement against the FY19 Performance Measures. The applicability and weighting of the FY19 Performance Measures relative to the total incentive opportunity is also based upon the Participant’s level as follows:</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060" w:type="dxa"/>
            <w:vAlign w:val="bottom"/>
            <w:tcBorders>
              <w:top w:val="single" w:sz="8" w:color="auto"/>
              <w:left w:val="single" w:sz="8" w:color="auto"/>
              <w:right w:val="single" w:sz="8" w:color="auto"/>
            </w:tcBorders>
          </w:tcPr>
          <w:p>
            <w:pPr>
              <w:spacing w:after="0"/>
              <w:rPr>
                <w:sz w:val="22"/>
                <w:szCs w:val="22"/>
                <w:color w:val="auto"/>
              </w:rPr>
            </w:pPr>
          </w:p>
        </w:tc>
        <w:tc>
          <w:tcPr>
            <w:tcW w:w="6380" w:type="dxa"/>
            <w:vAlign w:val="bottom"/>
            <w:tcBorders>
              <w:top w:val="single" w:sz="8" w:color="auto"/>
              <w:right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w w:val="99"/>
              </w:rPr>
              <w:t>As a Percentage of Total Target Incentive Opportunity Shown Above</w:t>
            </w:r>
          </w:p>
        </w:tc>
        <w:tc>
          <w:tcPr>
            <w:tcW w:w="0" w:type="dxa"/>
            <w:vAlign w:val="bottom"/>
          </w:tcPr>
          <w:p>
            <w:pPr>
              <w:spacing w:after="0"/>
              <w:rPr>
                <w:sz w:val="1"/>
                <w:szCs w:val="1"/>
                <w:color w:val="auto"/>
              </w:rPr>
            </w:pPr>
          </w:p>
        </w:tc>
      </w:tr>
      <w:tr>
        <w:trPr>
          <w:trHeight w:val="27"/>
        </w:trPr>
        <w:tc>
          <w:tcPr>
            <w:tcW w:w="5060" w:type="dxa"/>
            <w:vAlign w:val="bottom"/>
            <w:tcBorders>
              <w:left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60" w:type="dxa"/>
            <w:vAlign w:val="bottom"/>
            <w:tcBorders>
              <w:left w:val="single" w:sz="8" w:color="auto"/>
              <w:bottom w:val="single" w:sz="8" w:color="auto"/>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Corporate Performance</w:t>
            </w:r>
          </w:p>
        </w:tc>
        <w:tc>
          <w:tcPr>
            <w:tcW w:w="12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3"/>
              </w:rPr>
              <w:t>Individual Financial</w:t>
            </w:r>
          </w:p>
        </w:tc>
        <w:tc>
          <w:tcPr>
            <w:tcW w:w="0" w:type="dxa"/>
            <w:vAlign w:val="bottom"/>
          </w:tcPr>
          <w:p>
            <w:pPr>
              <w:spacing w:after="0"/>
              <w:rPr>
                <w:sz w:val="1"/>
                <w:szCs w:val="1"/>
                <w:color w:val="auto"/>
              </w:rPr>
            </w:pPr>
          </w:p>
        </w:tc>
      </w:tr>
      <w:tr>
        <w:trPr>
          <w:trHeight w:val="129"/>
        </w:trPr>
        <w:tc>
          <w:tcPr>
            <w:tcW w:w="5060" w:type="dxa"/>
            <w:vAlign w:val="bottom"/>
            <w:tcBorders>
              <w:left w:val="single" w:sz="8" w:color="auto"/>
              <w:right w:val="single" w:sz="8" w:color="auto"/>
            </w:tcBorders>
            <w:vMerge w:val="restart"/>
          </w:tcPr>
          <w:p>
            <w:pPr>
              <w:ind w:left="1260"/>
              <w:spacing w:after="0"/>
              <w:rPr>
                <w:sz w:val="20"/>
                <w:szCs w:val="20"/>
                <w:color w:val="auto"/>
              </w:rPr>
            </w:pPr>
            <w:r>
              <w:rPr>
                <w:rFonts w:ascii="Arial" w:cs="Arial" w:eastAsia="Arial" w:hAnsi="Arial"/>
                <w:sz w:val="18"/>
                <w:szCs w:val="18"/>
                <w:b w:val="1"/>
                <w:bCs w:val="1"/>
                <w:color w:val="auto"/>
              </w:rPr>
              <w:t>Participant Career Ladder Level</w:t>
            </w:r>
          </w:p>
        </w:tc>
        <w:tc>
          <w:tcPr>
            <w:tcW w:w="136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Goals</w:t>
            </w: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Functional Management 5-2 (Executive Officer)</w:t>
            </w:r>
          </w:p>
        </w:tc>
        <w:tc>
          <w:tcPr>
            <w:tcW w:w="13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25%</w:t>
            </w:r>
          </w:p>
        </w:tc>
        <w:tc>
          <w:tcPr>
            <w:tcW w:w="162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0"/>
                <w:szCs w:val="20"/>
                <w:color w:val="auto"/>
              </w:rPr>
            </w:pPr>
          </w:p>
        </w:tc>
        <w:tc>
          <w:tcPr>
            <w:tcW w:w="124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Performance</w:t>
      </w:r>
    </w:p>
    <w:p>
      <w:pPr>
        <w:spacing w:after="0" w:line="27"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Payouts for Corporate Performance are based on meeting two independent financial metrics, which are net revenue and operating income. Each financial metric is weighted at 50% of the Corporate Performance goal. Assuming at least threshold levels of performance against the Corporate Performance goals are met during the Performance Period, the actual payout levels will range from 25%-200% of target. The actual amount of Corporate Performance goals is considered to be confidential information and is not included in this document, but can be obtained from Human Resources.</w:t>
      </w:r>
    </w:p>
    <w:p>
      <w:pPr>
        <w:sectPr>
          <w:pgSz w:w="11900" w:h="16838" w:orient="portrait"/>
          <w:cols w:equalWidth="0" w:num="1">
            <w:col w:w="11440"/>
          </w:cols>
          <w:pgMar w:left="240" w:top="580" w:right="2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5040" w:type="dxa"/>
            <w:vAlign w:val="bottom"/>
            <w:vMerge w:val="restart"/>
          </w:tcPr>
          <w:p>
            <w:pPr>
              <w:jc w:val="center"/>
              <w:ind w:left="610"/>
              <w:spacing w:after="0"/>
              <w:rPr>
                <w:sz w:val="20"/>
                <w:szCs w:val="20"/>
                <w:color w:val="auto"/>
              </w:rPr>
            </w:pPr>
            <w:r>
              <w:rPr>
                <w:rFonts w:ascii="Arial" w:cs="Arial" w:eastAsia="Arial" w:hAnsi="Arial"/>
                <w:sz w:val="18"/>
                <w:szCs w:val="18"/>
                <w:b w:val="1"/>
                <w:bCs w:val="1"/>
                <w:color w:val="auto"/>
                <w:w w:val="90"/>
              </w:rPr>
              <w:t>Net Revenue Performance Level</w:t>
            </w:r>
          </w:p>
        </w:tc>
        <w:tc>
          <w:tcPr>
            <w:tcW w:w="6400" w:type="dxa"/>
            <w:vAlign w:val="bottom"/>
          </w:tcPr>
          <w:p>
            <w:pPr>
              <w:jc w:val="center"/>
              <w:ind w:left="570"/>
              <w:spacing w:after="0"/>
              <w:rPr>
                <w:sz w:val="20"/>
                <w:szCs w:val="20"/>
                <w:color w:val="auto"/>
              </w:rPr>
            </w:pPr>
            <w:r>
              <w:rPr>
                <w:rFonts w:ascii="Arial" w:cs="Arial" w:eastAsia="Arial" w:hAnsi="Arial"/>
                <w:sz w:val="18"/>
                <w:szCs w:val="18"/>
                <w:b w:val="1"/>
                <w:bCs w:val="1"/>
                <w:color w:val="auto"/>
                <w:w w:val="90"/>
              </w:rPr>
              <w:t>Payout as a Percentage of the Portion of Incentive Tied to Corporate</w:t>
            </w:r>
          </w:p>
        </w:tc>
        <w:tc>
          <w:tcPr>
            <w:tcW w:w="0" w:type="dxa"/>
            <w:vAlign w:val="bottom"/>
          </w:tcPr>
          <w:p>
            <w:pPr>
              <w:spacing w:after="0"/>
              <w:rPr>
                <w:sz w:val="1"/>
                <w:szCs w:val="1"/>
                <w:color w:val="auto"/>
              </w:rPr>
            </w:pPr>
          </w:p>
        </w:tc>
      </w:tr>
      <w:tr>
        <w:trPr>
          <w:trHeight w:val="126"/>
        </w:trPr>
        <w:tc>
          <w:tcPr>
            <w:tcW w:w="5040" w:type="dxa"/>
            <w:vAlign w:val="bottom"/>
            <w:vMerge w:val="continue"/>
          </w:tcPr>
          <w:p>
            <w:pPr>
              <w:spacing w:after="0"/>
              <w:rPr>
                <w:sz w:val="10"/>
                <w:szCs w:val="10"/>
                <w:color w:val="auto"/>
              </w:rPr>
            </w:pPr>
          </w:p>
        </w:tc>
        <w:tc>
          <w:tcPr>
            <w:tcW w:w="6400" w:type="dxa"/>
            <w:vAlign w:val="bottom"/>
            <w:vMerge w:val="restart"/>
          </w:tcPr>
          <w:p>
            <w:pPr>
              <w:jc w:val="center"/>
              <w:ind w:left="590"/>
              <w:spacing w:after="0"/>
              <w:rPr>
                <w:sz w:val="20"/>
                <w:szCs w:val="20"/>
                <w:color w:val="auto"/>
              </w:rPr>
            </w:pPr>
            <w:r>
              <w:rPr>
                <w:rFonts w:ascii="Arial" w:cs="Arial" w:eastAsia="Arial" w:hAnsi="Arial"/>
                <w:sz w:val="18"/>
                <w:szCs w:val="18"/>
                <w:b w:val="1"/>
                <w:bCs w:val="1"/>
                <w:color w:val="auto"/>
                <w:w w:val="92"/>
              </w:rPr>
              <w:t>Performance*</w:t>
            </w:r>
          </w:p>
        </w:tc>
        <w:tc>
          <w:tcPr>
            <w:tcW w:w="0" w:type="dxa"/>
            <w:vAlign w:val="bottom"/>
          </w:tcPr>
          <w:p>
            <w:pPr>
              <w:spacing w:after="0"/>
              <w:rPr>
                <w:sz w:val="1"/>
                <w:szCs w:val="1"/>
                <w:color w:val="auto"/>
              </w:rPr>
            </w:pPr>
          </w:p>
        </w:tc>
      </w:tr>
      <w:tr>
        <w:trPr>
          <w:trHeight w:val="108"/>
        </w:trPr>
        <w:tc>
          <w:tcPr>
            <w:tcW w:w="5040" w:type="dxa"/>
            <w:vAlign w:val="bottom"/>
          </w:tcPr>
          <w:p>
            <w:pPr>
              <w:spacing w:after="0"/>
              <w:rPr>
                <w:sz w:val="9"/>
                <w:szCs w:val="9"/>
                <w:color w:val="auto"/>
              </w:rPr>
            </w:pPr>
          </w:p>
        </w:tc>
        <w:tc>
          <w:tcPr>
            <w:tcW w:w="6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jc w:val="center"/>
              <w:ind w:left="610"/>
              <w:spacing w:after="0"/>
              <w:rPr>
                <w:sz w:val="20"/>
                <w:szCs w:val="20"/>
                <w:color w:val="auto"/>
              </w:rPr>
            </w:pPr>
            <w:r>
              <w:rPr>
                <w:rFonts w:ascii="Arial" w:cs="Arial" w:eastAsia="Arial" w:hAnsi="Arial"/>
                <w:sz w:val="18"/>
                <w:szCs w:val="18"/>
                <w:color w:val="auto"/>
                <w:w w:val="92"/>
              </w:rPr>
              <w:t>Threshold</w:t>
            </w:r>
          </w:p>
        </w:tc>
        <w:tc>
          <w:tcPr>
            <w:tcW w:w="6400" w:type="dxa"/>
            <w:vAlign w:val="bottom"/>
          </w:tcPr>
          <w:p>
            <w:pPr>
              <w:jc w:val="center"/>
              <w:ind w:left="59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jc w:val="center"/>
              <w:ind w:left="610"/>
              <w:spacing w:after="0"/>
              <w:rPr>
                <w:sz w:val="20"/>
                <w:szCs w:val="20"/>
                <w:color w:val="auto"/>
              </w:rPr>
            </w:pPr>
            <w:r>
              <w:rPr>
                <w:rFonts w:ascii="Arial" w:cs="Arial" w:eastAsia="Arial" w:hAnsi="Arial"/>
                <w:sz w:val="18"/>
                <w:szCs w:val="18"/>
                <w:color w:val="auto"/>
                <w:w w:val="88"/>
              </w:rPr>
              <w:t>Target</w:t>
            </w:r>
          </w:p>
        </w:tc>
        <w:tc>
          <w:tcPr>
            <w:tcW w:w="640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jc w:val="center"/>
              <w:ind w:left="610"/>
              <w:spacing w:after="0"/>
              <w:rPr>
                <w:sz w:val="20"/>
                <w:szCs w:val="20"/>
                <w:color w:val="auto"/>
              </w:rPr>
            </w:pPr>
            <w:r>
              <w:rPr>
                <w:rFonts w:ascii="Arial" w:cs="Arial" w:eastAsia="Arial" w:hAnsi="Arial"/>
                <w:sz w:val="18"/>
                <w:szCs w:val="18"/>
                <w:color w:val="auto"/>
                <w:w w:val="89"/>
              </w:rPr>
              <w:t>Excellence</w:t>
            </w:r>
          </w:p>
        </w:tc>
        <w:tc>
          <w:tcPr>
            <w:tcW w:w="6400" w:type="dxa"/>
            <w:vAlign w:val="bottom"/>
          </w:tcPr>
          <w:p>
            <w:pPr>
              <w:jc w:val="center"/>
              <w:ind w:left="57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54875" cy="172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7240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14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0"/>
              </w:rPr>
              <w:t>Operating Income Performance Level</w:t>
            </w:r>
          </w:p>
        </w:tc>
        <w:tc>
          <w:tcPr>
            <w:tcW w:w="630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Payout as a Percentage of the Portion of Incentive Tied to Corporate</w:t>
            </w:r>
          </w:p>
        </w:tc>
        <w:tc>
          <w:tcPr>
            <w:tcW w:w="0" w:type="dxa"/>
            <w:vAlign w:val="bottom"/>
          </w:tcPr>
          <w:p>
            <w:pPr>
              <w:spacing w:after="0"/>
              <w:rPr>
                <w:sz w:val="1"/>
                <w:szCs w:val="1"/>
                <w:color w:val="auto"/>
              </w:rPr>
            </w:pPr>
          </w:p>
        </w:tc>
      </w:tr>
      <w:tr>
        <w:trPr>
          <w:trHeight w:val="126"/>
        </w:trPr>
        <w:tc>
          <w:tcPr>
            <w:tcW w:w="5140" w:type="dxa"/>
            <w:vAlign w:val="bottom"/>
            <w:vMerge w:val="continue"/>
          </w:tcPr>
          <w:p>
            <w:pPr>
              <w:spacing w:after="0"/>
              <w:rPr>
                <w:sz w:val="10"/>
                <w:szCs w:val="10"/>
                <w:color w:val="auto"/>
              </w:rPr>
            </w:pPr>
          </w:p>
        </w:tc>
        <w:tc>
          <w:tcPr>
            <w:tcW w:w="630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2"/>
              </w:rPr>
              <w:t>Performance*</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6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jc w:val="center"/>
              <w:ind w:left="510"/>
              <w:spacing w:after="0"/>
              <w:rPr>
                <w:sz w:val="20"/>
                <w:szCs w:val="20"/>
                <w:color w:val="auto"/>
              </w:rPr>
            </w:pPr>
            <w:r>
              <w:rPr>
                <w:rFonts w:ascii="Arial" w:cs="Arial" w:eastAsia="Arial" w:hAnsi="Arial"/>
                <w:sz w:val="18"/>
                <w:szCs w:val="18"/>
                <w:color w:val="auto"/>
                <w:w w:val="92"/>
              </w:rPr>
              <w:t>Threshold</w:t>
            </w:r>
          </w:p>
        </w:tc>
        <w:tc>
          <w:tcPr>
            <w:tcW w:w="6300" w:type="dxa"/>
            <w:vAlign w:val="bottom"/>
          </w:tcPr>
          <w:p>
            <w:pPr>
              <w:jc w:val="center"/>
              <w:ind w:left="49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jc w:val="center"/>
              <w:ind w:left="510"/>
              <w:spacing w:after="0"/>
              <w:rPr>
                <w:sz w:val="20"/>
                <w:szCs w:val="20"/>
                <w:color w:val="auto"/>
              </w:rPr>
            </w:pPr>
            <w:r>
              <w:rPr>
                <w:rFonts w:ascii="Arial" w:cs="Arial" w:eastAsia="Arial" w:hAnsi="Arial"/>
                <w:sz w:val="18"/>
                <w:szCs w:val="18"/>
                <w:color w:val="auto"/>
                <w:w w:val="88"/>
              </w:rPr>
              <w:t>Target</w:t>
            </w:r>
          </w:p>
        </w:tc>
        <w:tc>
          <w:tcPr>
            <w:tcW w:w="630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jc w:val="center"/>
              <w:ind w:left="510"/>
              <w:spacing w:after="0"/>
              <w:rPr>
                <w:sz w:val="20"/>
                <w:szCs w:val="20"/>
                <w:color w:val="auto"/>
              </w:rPr>
            </w:pPr>
            <w:r>
              <w:rPr>
                <w:rFonts w:ascii="Arial" w:cs="Arial" w:eastAsia="Arial" w:hAnsi="Arial"/>
                <w:sz w:val="18"/>
                <w:szCs w:val="18"/>
                <w:color w:val="auto"/>
                <w:w w:val="89"/>
              </w:rPr>
              <w:t>Excellence</w:t>
            </w:r>
          </w:p>
        </w:tc>
        <w:tc>
          <w:tcPr>
            <w:tcW w:w="6300" w:type="dxa"/>
            <w:vAlign w:val="bottom"/>
          </w:tcPr>
          <w:p>
            <w:pPr>
              <w:jc w:val="center"/>
              <w:ind w:left="47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*Payout levels are determined using linear interpolation for results falling between the three performance levels.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Strategic Objectives</w:t>
      </w:r>
    </w:p>
    <w:p>
      <w:pPr>
        <w:spacing w:after="0" w:line="27"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Payouts for performance against the Corporate Strategic Objectives will be based on performance against the following objectives, with underlying success measures to be provided by your manager.</w:t>
      </w:r>
    </w:p>
    <w:p>
      <w:pPr>
        <w:spacing w:after="0" w:line="180" w:lineRule="exact"/>
        <w:rPr>
          <w:sz w:val="20"/>
          <w:szCs w:val="20"/>
          <w:color w:val="auto"/>
        </w:rPr>
      </w:pPr>
    </w:p>
    <w:p>
      <w:pPr>
        <w:ind w:right="340"/>
        <w:spacing w:after="0" w:line="375" w:lineRule="auto"/>
        <w:rPr>
          <w:sz w:val="20"/>
          <w:szCs w:val="20"/>
          <w:color w:val="auto"/>
        </w:rPr>
      </w:pPr>
      <w:r>
        <w:rPr>
          <w:rFonts w:ascii="Arial" w:cs="Arial" w:eastAsia="Arial" w:hAnsi="Arial"/>
          <w:sz w:val="18"/>
          <w:szCs w:val="18"/>
          <w:b w:val="1"/>
          <w:bCs w:val="1"/>
          <w:color w:val="auto"/>
        </w:rPr>
        <w:t xml:space="preserve">Reduce Core Expense Structure </w:t>
      </w:r>
      <w:r>
        <w:rPr>
          <w:rFonts w:ascii="Arial" w:cs="Arial" w:eastAsia="Arial" w:hAnsi="Arial"/>
          <w:sz w:val="18"/>
          <w:szCs w:val="18"/>
          <w:color w:val="auto"/>
        </w:rPr>
        <w:t>- Improve SG&amp;A and COGS for the Company and optimize the store network to improve the Company’s cost structure</w:t>
      </w:r>
      <w:r>
        <w:rPr>
          <w:rFonts w:ascii="Arial" w:cs="Arial" w:eastAsia="Arial" w:hAnsi="Arial"/>
          <w:sz w:val="18"/>
          <w:szCs w:val="18"/>
          <w:b w:val="1"/>
          <w:bCs w:val="1"/>
          <w:color w:val="auto"/>
        </w:rPr>
        <w:t xml:space="preserve"> Merchandising &amp; Pricing </w:t>
      </w:r>
      <w:r>
        <w:rPr>
          <w:rFonts w:ascii="Arial" w:cs="Arial" w:eastAsia="Arial" w:hAnsi="Arial"/>
          <w:sz w:val="18"/>
          <w:szCs w:val="18"/>
          <w:color w:val="auto"/>
        </w:rPr>
        <w:t>- Reduce clearance availability and enhance effectiveness of in-season promotions</w:t>
      </w:r>
    </w:p>
    <w:p>
      <w:pPr>
        <w:spacing w:after="0" w:line="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Marketing &amp; Customer Communications </w:t>
      </w:r>
      <w:r>
        <w:rPr>
          <w:rFonts w:ascii="Arial" w:cs="Arial" w:eastAsia="Arial" w:hAnsi="Arial"/>
          <w:sz w:val="18"/>
          <w:szCs w:val="18"/>
          <w:color w:val="auto"/>
        </w:rPr>
        <w:t>- Focus marketing spend on the highest-return vehicles in order to ensure continued customer acquisition &amp;</w:t>
      </w:r>
      <w:r>
        <w:rPr>
          <w:rFonts w:ascii="Arial" w:cs="Arial" w:eastAsia="Arial" w:hAnsi="Arial"/>
          <w:sz w:val="18"/>
          <w:szCs w:val="18"/>
          <w:b w:val="1"/>
          <w:bCs w:val="1"/>
          <w:color w:val="auto"/>
        </w:rPr>
        <w:t xml:space="preserve"> </w:t>
      </w:r>
      <w:r>
        <w:rPr>
          <w:rFonts w:ascii="Arial" w:cs="Arial" w:eastAsia="Arial" w:hAnsi="Arial"/>
          <w:sz w:val="18"/>
          <w:szCs w:val="18"/>
          <w:color w:val="auto"/>
        </w:rPr>
        <w:t>retention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Growth Channels - </w:t>
      </w:r>
      <w:r>
        <w:rPr>
          <w:rFonts w:ascii="Arial" w:cs="Arial" w:eastAsia="Arial" w:hAnsi="Arial"/>
          <w:sz w:val="18"/>
          <w:szCs w:val="18"/>
          <w:color w:val="auto"/>
        </w:rPr>
        <w:t>Increase net revenue in certain channels to help offset the reduction in clearance activity</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Assuming threshold levels are met, the actual payout levels for the Corporate Strategic Objectives range from 0%-150% of target. The Compensation Committee of the Board of Directors of the Company (the “Compensation Committee”) shall determine the level of performance achieved against the Corporate Objectives in its sole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Financial Goals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Payouts for performance against the Individual Financial Goals will be based on a Participant’s overall achievement of personal objectives, as determined by the Participant’s supervisor and approved by the Compensation Committee. Payout levels for achievement of the Individual Financial Goals range from 0%-125% of that portion of incentive tied to the Individual Financial Goals.</w:t>
      </w:r>
    </w:p>
    <w:p>
      <w:pPr>
        <w:sectPr>
          <w:pgSz w:w="11900" w:h="16838" w:orient="portrait"/>
          <w:cols w:equalWidth="0" w:num="1">
            <w:col w:w="11440"/>
          </w:cols>
          <w:pgMar w:left="240" w:top="756" w:right="21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Administrative Guidelines</w:t>
      </w:r>
    </w:p>
    <w:p>
      <w:pPr>
        <w:spacing w:after="0" w:line="229" w:lineRule="exact"/>
        <w:rPr>
          <w:sz w:val="20"/>
          <w:szCs w:val="20"/>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Final payout of any bonus under this Plan is subject to the final approval of the Chief Financial Officer and Vice President, Human Resources and as necessary the Compensation Committee.</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Participants placed on a Performance Improvement Plan or who are on Step 3 Probation within six months of when payment is made under this Plan will not be eligible for such payment.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 of Results. Before any Awards under the Annual Plan are deemed earned with respect to a Performance Period, the Compensation Committee shall certify, in accordance with Section 9.5 of the 2010 Plan, in writing (i) that the performance goals have been met for the Performance Period, and (ii) the calculation of "Operating Income" and "Net Revenue" for the Performance Period.</w:t>
      </w:r>
    </w:p>
    <w:p>
      <w:pPr>
        <w:jc w:val="both"/>
        <w:ind w:left="1300" w:hanging="320"/>
        <w:spacing w:after="0" w:line="25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183"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177"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22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w:t>
      </w:r>
    </w:p>
    <w:p>
      <w:pPr>
        <w:sectPr>
          <w:pgSz w:w="11900" w:h="16838" w:orient="portrait"/>
          <w:cols w:equalWidth="0" w:num="1">
            <w:col w:w="11420"/>
          </w:cols>
          <w:pgMar w:left="240" w:top="580" w:right="239" w:bottom="1440" w:gutter="0" w:footer="0" w:header="0"/>
        </w:sectPr>
      </w:pPr>
    </w:p>
    <w:bookmarkStart w:id="39" w:name="page40"/>
    <w:bookmarkEnd w:id="39"/>
    <w:p>
      <w:pPr>
        <w:jc w:val="both"/>
        <w:ind w:left="652"/>
        <w:spacing w:after="0" w:line="286" w:lineRule="auto"/>
        <w:rPr>
          <w:sz w:val="20"/>
          <w:szCs w:val="20"/>
          <w:color w:val="auto"/>
        </w:rPr>
      </w:pPr>
      <w:r>
        <w:rPr>
          <w:rFonts w:ascii="Arial" w:cs="Arial" w:eastAsia="Arial" w:hAnsi="Arial"/>
          <w:sz w:val="16"/>
          <w:szCs w:val="16"/>
          <w:color w:val="auto"/>
        </w:rPr>
        <w:t>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72" w:lineRule="exact"/>
        <w:rPr>
          <w:sz w:val="20"/>
          <w:szCs w:val="20"/>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Participants will receive an award that is prorated based on Base Salary earned during the Performance Period.</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that a Participant joins the Company at any time during the final three fiscal months of the Performance Period, such participant will not be eligible to participate in this Plan.</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Plan will be subject to review by third-party auditors, and by the Compensation Committee.</w:t>
      </w:r>
    </w:p>
    <w:p>
      <w:pPr>
        <w:spacing w:after="0" w:line="170" w:lineRule="exact"/>
        <w:rPr>
          <w:rFonts w:ascii="Arial" w:cs="Arial" w:eastAsia="Arial" w:hAnsi="Arial"/>
          <w:sz w:val="18"/>
          <w:szCs w:val="18"/>
          <w:color w:val="auto"/>
        </w:rPr>
      </w:pPr>
    </w:p>
    <w:p>
      <w:pPr>
        <w:jc w:val="both"/>
        <w:ind w:left="652" w:hanging="652"/>
        <w:spacing w:after="0" w:line="297" w:lineRule="auto"/>
        <w:tabs>
          <w:tab w:leader="none" w:pos="6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158" w:lineRule="exact"/>
        <w:rPr>
          <w:rFonts w:ascii="Arial" w:cs="Arial" w:eastAsia="Arial" w:hAnsi="Arial"/>
          <w:sz w:val="16"/>
          <w:szCs w:val="16"/>
          <w:color w:val="auto"/>
        </w:rPr>
      </w:pPr>
    </w:p>
    <w:p>
      <w:pPr>
        <w:ind w:left="652"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 or discontinue the plan at any time in its sole discretion.</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70" w:lineRule="exact"/>
        <w:rPr>
          <w:rFonts w:ascii="Arial" w:cs="Arial" w:eastAsia="Arial" w:hAnsi="Arial"/>
          <w:sz w:val="18"/>
          <w:szCs w:val="18"/>
          <w:color w:val="auto"/>
        </w:rPr>
      </w:pPr>
    </w:p>
    <w:p>
      <w:pPr>
        <w:ind w:left="652" w:hanging="652"/>
        <w:spacing w:after="0" w:line="342" w:lineRule="auto"/>
        <w:tabs>
          <w:tab w:leader="none" w:pos="6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ectPr>
          <w:pgSz w:w="11900" w:h="16838" w:orient="portrait"/>
          <w:cols w:equalWidth="0" w:num="1">
            <w:col w:w="11412"/>
          </w:cols>
          <w:pgMar w:left="248"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20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u w:val="single" w:color="auto"/>
          <w:color w:val="auto"/>
        </w:rPr>
        <w:t>LONG TERM INCENTIVE PLAN</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u w:val="single" w:color="auto"/>
          <w:color w:val="auto"/>
        </w:rPr>
        <w:t>RESTRICTED STOCK UNIT/PERFORMANCE UNIT</w:t>
      </w:r>
    </w:p>
    <w:p>
      <w:pPr>
        <w:spacing w:after="0" w:line="207" w:lineRule="exact"/>
        <w:rPr>
          <w:sz w:val="20"/>
          <w:szCs w:val="20"/>
          <w:color w:val="auto"/>
        </w:rPr>
      </w:pPr>
    </w:p>
    <w:p>
      <w:pPr>
        <w:ind w:left="3924"/>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56" w:lineRule="exact"/>
        <w:rPr>
          <w:sz w:val="20"/>
          <w:szCs w:val="20"/>
          <w:color w:val="auto"/>
        </w:rPr>
      </w:pPr>
    </w:p>
    <w:p>
      <w:pPr>
        <w:ind w:left="4" w:hanging="4"/>
        <w:spacing w:after="0" w:line="324" w:lineRule="auto"/>
        <w:tabs>
          <w:tab w:leader="none" w:pos="78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2010 Equity and Incentive Plan (the "Plan").</w:t>
      </w:r>
    </w:p>
    <w:p>
      <w:pPr>
        <w:spacing w:after="0" w:line="170" w:lineRule="exact"/>
        <w:rPr>
          <w:rFonts w:ascii="Arial" w:cs="Arial" w:eastAsia="Arial" w:hAnsi="Arial"/>
          <w:sz w:val="18"/>
          <w:szCs w:val="18"/>
          <w:color w:val="auto"/>
        </w:rPr>
      </w:pPr>
    </w:p>
    <w:p>
      <w:pPr>
        <w:ind w:left="784" w:hanging="784"/>
        <w:spacing w:after="0"/>
        <w:tabs>
          <w:tab w:leader="none" w:pos="78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66" w:lineRule="exact"/>
        <w:rPr>
          <w:sz w:val="20"/>
          <w:szCs w:val="20"/>
          <w:color w:val="auto"/>
        </w:rPr>
      </w:pPr>
    </w:p>
    <w:p>
      <w:pPr>
        <w:jc w:val="both"/>
        <w:ind w:left="4" w:hanging="4"/>
        <w:spacing w:after="0" w:line="306" w:lineRule="auto"/>
        <w:tabs>
          <w:tab w:leader="none" w:pos="8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86" w:lineRule="exact"/>
        <w:rPr>
          <w:rFonts w:ascii="Arial" w:cs="Arial" w:eastAsia="Arial" w:hAnsi="Arial"/>
          <w:sz w:val="18"/>
          <w:szCs w:val="18"/>
          <w:color w:val="auto"/>
        </w:rPr>
      </w:pPr>
    </w:p>
    <w:p>
      <w:pPr>
        <w:jc w:val="both"/>
        <w:ind w:left="4" w:hanging="4"/>
        <w:spacing w:after="0" w:line="311" w:lineRule="auto"/>
        <w:tabs>
          <w:tab w:leader="none" w:pos="8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Units will vest in accordance with the terms of the Award Agreement.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181" w:lineRule="exact"/>
        <w:rPr>
          <w:sz w:val="20"/>
          <w:szCs w:val="20"/>
          <w:color w:val="auto"/>
        </w:rPr>
      </w:pPr>
    </w:p>
    <w:p>
      <w:pPr>
        <w:ind w:left="784" w:hanging="784"/>
        <w:spacing w:after="0"/>
        <w:tabs>
          <w:tab w:leader="none" w:pos="78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266" w:lineRule="exact"/>
        <w:rPr>
          <w:sz w:val="20"/>
          <w:szCs w:val="20"/>
          <w:color w:val="auto"/>
        </w:rPr>
      </w:pPr>
    </w:p>
    <w:p>
      <w:pPr>
        <w:jc w:val="both"/>
        <w:ind w:left="4" w:hanging="4"/>
        <w:spacing w:after="0" w:line="306" w:lineRule="auto"/>
        <w:tabs>
          <w:tab w:leader="none" w:pos="8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186" w:lineRule="exact"/>
        <w:rPr>
          <w:rFonts w:ascii="Arial" w:cs="Arial" w:eastAsia="Arial" w:hAnsi="Arial"/>
          <w:sz w:val="18"/>
          <w:szCs w:val="18"/>
          <w:color w:val="auto"/>
        </w:rPr>
      </w:pPr>
    </w:p>
    <w:p>
      <w:pPr>
        <w:jc w:val="both"/>
        <w:ind w:left="4" w:hanging="4"/>
        <w:spacing w:after="0" w:line="304" w:lineRule="auto"/>
        <w:tabs>
          <w:tab w:leader="none" w:pos="8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RSUs granted under the Plan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188" w:lineRule="exact"/>
        <w:rPr>
          <w:rFonts w:ascii="Arial" w:cs="Arial" w:eastAsia="Arial" w:hAnsi="Arial"/>
          <w:sz w:val="18"/>
          <w:szCs w:val="18"/>
          <w:color w:val="auto"/>
        </w:rPr>
      </w:pPr>
    </w:p>
    <w:p>
      <w:pPr>
        <w:jc w:val="both"/>
        <w:ind w:left="644" w:firstLine="5"/>
        <w:spacing w:after="0" w:line="306" w:lineRule="auto"/>
        <w:tabs>
          <w:tab w:leader="none" w:pos="1462"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Results. </w:t>
      </w:r>
      <w:r>
        <w:rPr>
          <w:rFonts w:ascii="Arial" w:cs="Arial" w:eastAsia="Arial" w:hAnsi="Arial"/>
          <w:sz w:val="18"/>
          <w:szCs w:val="18"/>
          <w:color w:val="auto"/>
        </w:rPr>
        <w:t>Before any award of Performance RSUs is deemed earned with respect to a Performance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186" w:lineRule="exact"/>
        <w:rPr>
          <w:rFonts w:ascii="Arial" w:cs="Arial" w:eastAsia="Arial" w:hAnsi="Arial"/>
          <w:sz w:val="18"/>
          <w:szCs w:val="18"/>
          <w:color w:val="auto"/>
        </w:rPr>
      </w:pPr>
    </w:p>
    <w:p>
      <w:pPr>
        <w:jc w:val="both"/>
        <w:ind w:left="644" w:firstLine="5"/>
        <w:spacing w:after="0" w:line="302" w:lineRule="auto"/>
        <w:tabs>
          <w:tab w:leader="none" w:pos="1512"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"Earnings Per Share." </w:t>
      </w:r>
      <w:r>
        <w:rPr>
          <w:rFonts w:ascii="Arial" w:cs="Arial" w:eastAsia="Arial" w:hAnsi="Arial"/>
          <w:sz w:val="18"/>
          <w:szCs w:val="18"/>
          <w:color w:val="auto"/>
        </w:rPr>
        <w:t>For purposes of this Subsection 3(b), the term "Earnings Per Share"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189" w:lineRule="exact"/>
        <w:rPr>
          <w:rFonts w:ascii="Arial" w:cs="Arial" w:eastAsia="Arial" w:hAnsi="Arial"/>
          <w:sz w:val="18"/>
          <w:szCs w:val="18"/>
          <w:color w:val="auto"/>
        </w:rPr>
      </w:pPr>
    </w:p>
    <w:p>
      <w:pPr>
        <w:ind w:left="644" w:firstLine="5"/>
        <w:spacing w:after="0" w:line="324" w:lineRule="auto"/>
        <w:tabs>
          <w:tab w:leader="none" w:pos="1562"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"Performance Year." </w:t>
      </w:r>
      <w:r>
        <w:rPr>
          <w:rFonts w:ascii="Arial" w:cs="Arial" w:eastAsia="Arial" w:hAnsi="Arial"/>
          <w:sz w:val="18"/>
          <w:szCs w:val="18"/>
          <w:color w:val="auto"/>
        </w:rPr>
        <w:t>For purposes of this Subsection 3(b), the term "Performance Year"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each fiscal year of the Company ending within the Performance Period.</w:t>
      </w:r>
    </w:p>
    <w:p>
      <w:pPr>
        <w:spacing w:after="0" w:line="170" w:lineRule="exact"/>
        <w:rPr>
          <w:rFonts w:ascii="Arial" w:cs="Arial" w:eastAsia="Arial" w:hAnsi="Arial"/>
          <w:sz w:val="18"/>
          <w:szCs w:val="18"/>
          <w:color w:val="auto"/>
        </w:rPr>
      </w:pPr>
    </w:p>
    <w:p>
      <w:pPr>
        <w:ind w:left="644" w:firstLine="5"/>
        <w:spacing w:after="0" w:line="324" w:lineRule="auto"/>
        <w:tabs>
          <w:tab w:leader="none" w:pos="1552"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Finality of Committee Determinations. </w:t>
      </w:r>
      <w:r>
        <w:rPr>
          <w:rFonts w:ascii="Arial" w:cs="Arial" w:eastAsia="Arial" w:hAnsi="Arial"/>
          <w:sz w:val="18"/>
          <w:szCs w:val="18"/>
          <w:color w:val="auto"/>
        </w:rPr>
        <w:t>Any determination by the Committee of Earnings per Share and the level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 to the Award of Performance RSUs, and any interpretation, rule, or decision adopted</w:t>
      </w:r>
    </w:p>
    <w:p>
      <w:pPr>
        <w:sectPr>
          <w:pgSz w:w="11900" w:h="16838" w:orient="portrait"/>
          <w:cols w:equalWidth="0" w:num="1">
            <w:col w:w="10764"/>
          </w:cols>
          <w:pgMar w:left="896" w:top="580" w:right="239" w:bottom="1440" w:gutter="0" w:footer="0" w:header="0"/>
        </w:sectPr>
      </w:pPr>
    </w:p>
    <w:bookmarkStart w:id="41" w:name="page42"/>
    <w:bookmarkEnd w:id="41"/>
    <w:p>
      <w:pPr>
        <w:jc w:val="both"/>
        <w:ind w:left="644"/>
        <w:spacing w:after="0" w:line="349" w:lineRule="auto"/>
        <w:rPr>
          <w:sz w:val="20"/>
          <w:szCs w:val="20"/>
          <w:color w:val="auto"/>
        </w:rPr>
      </w:pPr>
      <w:r>
        <w:rPr>
          <w:rFonts w:ascii="Arial" w:cs="Arial" w:eastAsia="Arial" w:hAnsi="Arial"/>
          <w:sz w:val="16"/>
          <w:szCs w:val="16"/>
          <w:color w:val="auto"/>
        </w:rPr>
        <w:t>by the Committee under the Plan or in carrying out or administering the Plan, is final and binding for all purposes and upon all interested persons, their heirs, and personal representatives. The Committee may rely conclusively on determinations made by the Company and its auditors to determine Earnings per Share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w:t>
      </w:r>
    </w:p>
    <w:p>
      <w:pPr>
        <w:spacing w:after="0" w:line="161" w:lineRule="exact"/>
        <w:rPr>
          <w:sz w:val="20"/>
          <w:szCs w:val="20"/>
          <w:color w:val="auto"/>
        </w:rPr>
      </w:pPr>
    </w:p>
    <w:p>
      <w:pPr>
        <w:ind w:left="784" w:hanging="784"/>
        <w:spacing w:after="0"/>
        <w:tabs>
          <w:tab w:leader="none" w:pos="78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66" w:lineRule="exact"/>
        <w:rPr>
          <w:sz w:val="20"/>
          <w:szCs w:val="20"/>
          <w:color w:val="auto"/>
        </w:rPr>
      </w:pPr>
    </w:p>
    <w:p>
      <w:pPr>
        <w:jc w:val="both"/>
        <w:ind w:left="4" w:hanging="4"/>
        <w:spacing w:after="0" w:line="311" w:lineRule="auto"/>
        <w:tabs>
          <w:tab w:leader="none" w:pos="8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181" w:lineRule="exact"/>
        <w:rPr>
          <w:rFonts w:ascii="Arial" w:cs="Arial" w:eastAsia="Arial" w:hAnsi="Arial"/>
          <w:sz w:val="18"/>
          <w:szCs w:val="18"/>
          <w:color w:val="auto"/>
        </w:rPr>
      </w:pPr>
    </w:p>
    <w:p>
      <w:pPr>
        <w:jc w:val="both"/>
        <w:ind w:left="4" w:hanging="4"/>
        <w:spacing w:after="0" w:line="319" w:lineRule="auto"/>
        <w:tabs>
          <w:tab w:leader="none" w:pos="86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81" w:lineRule="exact"/>
        <w:rPr>
          <w:sz w:val="20"/>
          <w:szCs w:val="20"/>
          <w:color w:val="auto"/>
        </w:rPr>
      </w:pPr>
    </w:p>
    <w:p>
      <w:pPr>
        <w:jc w:val="both"/>
        <w:ind w:left="4" w:hanging="4"/>
        <w:spacing w:after="0" w:line="325" w:lineRule="auto"/>
        <w:tabs>
          <w:tab w:leader="none" w:pos="787"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Termination of Service; Change in Control</w:t>
      </w:r>
      <w:r>
        <w:rPr>
          <w:rFonts w:ascii="Arial" w:cs="Arial" w:eastAsia="Arial" w:hAnsi="Arial"/>
          <w:sz w:val="17"/>
          <w:szCs w:val="17"/>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49"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w:t>
      </w:r>
    </w:p>
    <w:p>
      <w:pPr>
        <w:spacing w:after="0" w:line="1" w:lineRule="exact"/>
        <w:rPr>
          <w:sz w:val="20"/>
          <w:szCs w:val="20"/>
          <w:color w:val="auto"/>
        </w:rPr>
      </w:pPr>
    </w:p>
    <w:p>
      <w:pPr>
        <w:jc w:val="both"/>
        <w:ind w:left="4" w:hanging="4"/>
        <w:spacing w:after="0" w:line="271" w:lineRule="auto"/>
        <w:tabs>
          <w:tab w:leader="none" w:pos="2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06" w:lineRule="exact"/>
        <w:rPr>
          <w:sz w:val="20"/>
          <w:szCs w:val="20"/>
          <w:color w:val="auto"/>
        </w:rPr>
      </w:pPr>
    </w:p>
    <w:p>
      <w:pPr>
        <w:jc w:val="both"/>
        <w:ind w:left="4" w:right="20" w:hanging="4"/>
        <w:spacing w:after="0" w:line="334" w:lineRule="auto"/>
        <w:tabs>
          <w:tab w:leader="none" w:pos="787"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Timing and Form of Payment</w:t>
      </w:r>
      <w:r>
        <w:rPr>
          <w:rFonts w:ascii="Arial" w:cs="Arial" w:eastAsia="Arial" w:hAnsi="Arial"/>
          <w:sz w:val="16"/>
          <w:szCs w:val="16"/>
          <w:color w:val="auto"/>
        </w:rPr>
        <w:t>. Except as provided in this Section or in clauses 2(b) or 3(b) or Section 5, above, once a Restricted Stock Unit vests or a Performance RSU is earned and vested, as applicable, the Participant will be entitled to receive a Share in its place. Delivery of the</w:t>
      </w:r>
    </w:p>
    <w:p>
      <w:pPr>
        <w:spacing w:after="0" w:line="1" w:lineRule="exact"/>
        <w:rPr>
          <w:rFonts w:ascii="Arial" w:cs="Arial" w:eastAsia="Arial" w:hAnsi="Arial"/>
          <w:sz w:val="16"/>
          <w:szCs w:val="16"/>
          <w:color w:val="auto"/>
        </w:rPr>
      </w:pPr>
    </w:p>
    <w:p>
      <w:pPr>
        <w:jc w:val="both"/>
        <w:ind w:left="4"/>
        <w:spacing w:after="0" w:line="289" w:lineRule="auto"/>
        <w:rPr>
          <w:rFonts w:ascii="Arial" w:cs="Arial" w:eastAsia="Arial" w:hAnsi="Arial"/>
          <w:sz w:val="16"/>
          <w:szCs w:val="16"/>
          <w:color w:val="auto"/>
        </w:rPr>
      </w:pPr>
      <w:r>
        <w:rPr>
          <w:rFonts w:ascii="Arial" w:cs="Arial" w:eastAsia="Arial" w:hAnsi="Arial"/>
          <w:sz w:val="17"/>
          <w:szCs w:val="17"/>
          <w:color w:val="auto"/>
        </w:rPr>
        <w:t>Share will 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ectPr>
          <w:pgSz w:w="11900" w:h="16838" w:orient="portrait"/>
          <w:cols w:equalWidth="0" w:num="1">
            <w:col w:w="10764"/>
          </w:cols>
          <w:pgMar w:left="896" w:top="611" w:right="239" w:bottom="1440" w:gutter="0" w:footer="0" w:header="0"/>
        </w:sectPr>
      </w:pPr>
    </w:p>
    <w:bookmarkStart w:id="42" w:name="page43"/>
    <w:bookmarkEnd w:id="42"/>
    <w:p>
      <w:pPr>
        <w:ind w:left="4" w:right="20" w:hanging="4"/>
        <w:spacing w:after="0" w:line="324" w:lineRule="auto"/>
        <w:tabs>
          <w:tab w:leader="none" w:pos="78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70" w:lineRule="exact"/>
        <w:rPr>
          <w:rFonts w:ascii="Arial" w:cs="Arial" w:eastAsia="Arial" w:hAnsi="Arial"/>
          <w:sz w:val="18"/>
          <w:szCs w:val="18"/>
          <w:color w:val="auto"/>
        </w:rPr>
      </w:pPr>
    </w:p>
    <w:p>
      <w:pPr>
        <w:jc w:val="both"/>
        <w:ind w:left="4" w:hanging="4"/>
        <w:spacing w:after="0" w:line="329" w:lineRule="auto"/>
        <w:tabs>
          <w:tab w:leader="none" w:pos="78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Withholding Tax</w:t>
      </w:r>
      <w:r>
        <w:rPr>
          <w:rFonts w:ascii="Arial" w:cs="Arial" w:eastAsia="Arial" w:hAnsi="Arial"/>
          <w:sz w:val="17"/>
          <w:szCs w:val="17"/>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170" w:lineRule="exact"/>
        <w:rPr>
          <w:rFonts w:ascii="Arial" w:cs="Arial" w:eastAsia="Arial" w:hAnsi="Arial"/>
          <w:sz w:val="17"/>
          <w:szCs w:val="17"/>
          <w:color w:val="auto"/>
        </w:rPr>
      </w:pPr>
    </w:p>
    <w:p>
      <w:pPr>
        <w:ind w:left="784" w:hanging="784"/>
        <w:spacing w:after="0"/>
        <w:tabs>
          <w:tab w:leader="none" w:pos="78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66" w:lineRule="exact"/>
        <w:rPr>
          <w:sz w:val="20"/>
          <w:szCs w:val="20"/>
          <w:color w:val="auto"/>
        </w:rPr>
      </w:pPr>
    </w:p>
    <w:p>
      <w:pPr>
        <w:jc w:val="both"/>
        <w:ind w:left="4" w:hanging="4"/>
        <w:spacing w:after="0" w:line="349" w:lineRule="auto"/>
        <w:tabs>
          <w:tab w:leader="none" w:pos="8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161" w:lineRule="exact"/>
        <w:rPr>
          <w:rFonts w:ascii="Arial" w:cs="Arial" w:eastAsia="Arial" w:hAnsi="Arial"/>
          <w:sz w:val="16"/>
          <w:szCs w:val="16"/>
          <w:color w:val="auto"/>
        </w:rPr>
      </w:pPr>
    </w:p>
    <w:p>
      <w:pPr>
        <w:jc w:val="both"/>
        <w:ind w:left="4" w:hanging="4"/>
        <w:spacing w:after="0" w:line="321" w:lineRule="auto"/>
        <w:tabs>
          <w:tab w:leader="none" w:pos="862"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77" w:lineRule="exact"/>
        <w:rPr>
          <w:sz w:val="20"/>
          <w:szCs w:val="20"/>
          <w:color w:val="auto"/>
        </w:rPr>
      </w:pPr>
    </w:p>
    <w:p>
      <w:pPr>
        <w:jc w:val="both"/>
        <w:ind w:left="4" w:hanging="4"/>
        <w:spacing w:after="0" w:line="336" w:lineRule="auto"/>
        <w:tabs>
          <w:tab w:leader="none" w:pos="87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 Limitation on Rights of the Company</w:t>
      </w:r>
      <w:r>
        <w:rPr>
          <w:rFonts w:ascii="Arial" w:cs="Arial" w:eastAsia="Arial" w:hAnsi="Arial"/>
          <w:sz w:val="17"/>
          <w:szCs w:val="17"/>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64" w:lineRule="exact"/>
        <w:rPr>
          <w:rFonts w:ascii="Arial" w:cs="Arial" w:eastAsia="Arial" w:hAnsi="Arial"/>
          <w:sz w:val="17"/>
          <w:szCs w:val="17"/>
          <w:color w:val="auto"/>
        </w:rPr>
      </w:pPr>
    </w:p>
    <w:p>
      <w:pPr>
        <w:jc w:val="both"/>
        <w:ind w:left="4" w:hanging="4"/>
        <w:spacing w:after="0" w:line="302" w:lineRule="auto"/>
        <w:tabs>
          <w:tab w:leader="none" w:pos="87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Plan, Restricted Stock Units, Performance RSUs and Award Not a Contract of Employment</w:t>
      </w:r>
      <w:r>
        <w:rPr>
          <w:rFonts w:ascii="Arial" w:cs="Arial" w:eastAsia="Arial" w:hAnsi="Arial"/>
          <w:sz w:val="18"/>
          <w:szCs w:val="18"/>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89" w:lineRule="exact"/>
        <w:rPr>
          <w:rFonts w:ascii="Arial" w:cs="Arial" w:eastAsia="Arial" w:hAnsi="Arial"/>
          <w:sz w:val="18"/>
          <w:szCs w:val="18"/>
          <w:color w:val="auto"/>
        </w:rPr>
      </w:pPr>
    </w:p>
    <w:p>
      <w:pPr>
        <w:jc w:val="both"/>
        <w:ind w:left="4" w:hanging="4"/>
        <w:spacing w:after="0" w:line="311" w:lineRule="auto"/>
        <w:tabs>
          <w:tab w:leader="none" w:pos="87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81" w:lineRule="exact"/>
        <w:rPr>
          <w:rFonts w:ascii="Arial" w:cs="Arial" w:eastAsia="Arial" w:hAnsi="Arial"/>
          <w:sz w:val="18"/>
          <w:szCs w:val="18"/>
          <w:color w:val="auto"/>
        </w:rPr>
      </w:pPr>
    </w:p>
    <w:p>
      <w:pPr>
        <w:jc w:val="both"/>
        <w:ind w:left="4" w:hanging="4"/>
        <w:spacing w:after="0" w:line="329" w:lineRule="auto"/>
        <w:tabs>
          <w:tab w:leader="none" w:pos="87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170" w:lineRule="exact"/>
        <w:rPr>
          <w:rFonts w:ascii="Arial" w:cs="Arial" w:eastAsia="Arial" w:hAnsi="Arial"/>
          <w:sz w:val="17"/>
          <w:szCs w:val="17"/>
          <w:color w:val="auto"/>
        </w:rPr>
      </w:pPr>
    </w:p>
    <w:p>
      <w:pPr>
        <w:ind w:left="4" w:hanging="4"/>
        <w:spacing w:after="0" w:line="324" w:lineRule="auto"/>
        <w:tabs>
          <w:tab w:leader="none" w:pos="87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ectPr>
          <w:pgSz w:w="11900" w:h="16838" w:orient="portrait"/>
          <w:cols w:equalWidth="0" w:num="1">
            <w:col w:w="10764"/>
          </w:cols>
          <w:pgMar w:left="896" w:top="827" w:right="239" w:bottom="1440" w:gutter="0" w:footer="0" w:header="0"/>
        </w:sectPr>
      </w:pPr>
    </w:p>
    <w:bookmarkStart w:id="43" w:name="page44"/>
    <w:bookmarkEnd w:id="43"/>
    <w:p>
      <w:pPr>
        <w:jc w:val="both"/>
        <w:ind w:left="4" w:hanging="4"/>
        <w:spacing w:after="0" w:line="329" w:lineRule="auto"/>
        <w:tabs>
          <w:tab w:leader="none" w:pos="87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70" w:lineRule="exact"/>
        <w:rPr>
          <w:rFonts w:ascii="Arial" w:cs="Arial" w:eastAsia="Arial" w:hAnsi="Arial"/>
          <w:sz w:val="17"/>
          <w:szCs w:val="17"/>
          <w:color w:val="auto"/>
        </w:rPr>
      </w:pPr>
    </w:p>
    <w:p>
      <w:pPr>
        <w:jc w:val="both"/>
        <w:ind w:left="4" w:hanging="4"/>
        <w:spacing w:after="0" w:line="311" w:lineRule="auto"/>
        <w:tabs>
          <w:tab w:leader="none" w:pos="87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0764"/>
          </w:cols>
          <w:pgMar w:left="896" w:top="61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13, 2018</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13, 2018</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May 5,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May 5,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
      <w:numFmt w:val="bullet"/>
      <w:start w:val="1"/>
    </w:lvl>
  </w:abstractNum>
  <w:abstractNum w:abstractNumId="3">
    <w:nsid w:val="2D1D5AE9"/>
    <w:multiLevelType w:val="hybridMultilevel"/>
    <w:lvl w:ilvl="0">
      <w:lvlJc w:val="left"/>
      <w:lvlText w:val="%1."/>
      <w:numFmt w:val="decimal"/>
      <w:start w:val="1"/>
    </w:lvl>
    <w:lvl w:ilvl="1">
      <w:lvlJc w:val="left"/>
      <w:lvlText w:val="(%2)"/>
      <w:numFmt w:val="lowerRoman"/>
      <w:start w:val="2"/>
    </w:lvl>
  </w:abstractNum>
  <w:abstractNum w:abstractNumId="4">
    <w:nsid w:val="6763845E"/>
    <w:multiLevelType w:val="hybridMultilevel"/>
    <w:lvl w:ilvl="0">
      <w:lvlJc w:val="left"/>
      <w:lvlText w:val="%1"/>
      <w:numFmt w:val="decimal"/>
      <w:start w:val="1"/>
    </w:lvl>
    <w:lvl w:ilvl="1">
      <w:lvlJc w:val="left"/>
      <w:lvlText w:val="(%2)"/>
      <w:numFmt w:val="lowerRoman"/>
      <w:start w:val="5"/>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1."/>
      <w:numFmt w:val="decimal"/>
      <w:start w:val="4"/>
    </w:lvl>
    <w:lvl w:ilvl="1">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1."/>
      <w:numFmt w:val="decimal"/>
      <w:start w:val="6"/>
    </w:lvl>
  </w:abstractNum>
  <w:abstractNum w:abstractNumId="12">
    <w:nsid w:val="71F32454"/>
    <w:multiLevelType w:val="hybridMultilevel"/>
    <w:lvl w:ilvl="0">
      <w:lvlJc w:val="left"/>
      <w:lvlText w:val="%1."/>
      <w:numFmt w:val="decimal"/>
      <w:start w:val="8"/>
    </w:lvl>
  </w:abstractNum>
  <w:abstractNum w:abstractNumId="13">
    <w:nsid w:val="2CA88611"/>
    <w:multiLevelType w:val="hybridMultilevel"/>
    <w:lvl w:ilvl="0">
      <w:lvlJc w:val="left"/>
      <w:lvlText w:val="%1."/>
      <w:numFmt w:val="decimal"/>
      <w:start w:val="9"/>
    </w:lvl>
  </w:abstractNum>
  <w:abstractNum w:abstractNumId="14">
    <w:nsid w:val="836C40E"/>
    <w:multiLevelType w:val="hybridMultilevel"/>
    <w:lvl w:ilvl="0">
      <w:lvlJc w:val="left"/>
      <w:lvlText w:val="%1."/>
      <w:numFmt w:val="decimal"/>
      <w:start w:val="10"/>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1"/>
    </w:lvl>
  </w:abstractNum>
  <w:abstractNum w:abstractNumId="17">
    <w:nsid w:val="8138641"/>
    <w:multiLevelType w:val="hybridMultilevel"/>
    <w:lvl w:ilvl="0">
      <w:lvlJc w:val="left"/>
      <w:lvlText w:val="%1."/>
      <w:numFmt w:val="decimal"/>
      <w:start w:val="12"/>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0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419AC241"/>
    <w:multiLevelType w:val="hybridMultilevel"/>
    <w:lvl w:ilvl="0">
      <w:lvlJc w:val="left"/>
      <w:lvlText w:val="%1."/>
      <w:numFmt w:val="decimal"/>
      <w:start w:val="8"/>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decimal"/>
      <w:start w:val="3"/>
    </w:lvl>
  </w:abstractNum>
  <w:abstractNum w:abstractNumId="30">
    <w:nsid w:val="3804823E"/>
    <w:multiLevelType w:val="hybridMultilevel"/>
    <w:lvl w:ilvl="0">
      <w:lvlJc w:val="left"/>
      <w:lvlText w:val="(%1)"/>
      <w:numFmt w:val="lowerLetter"/>
      <w:start w:val="1"/>
    </w:lvl>
    <w:lvl w:ilvl="1">
      <w:lvlJc w:val="left"/>
      <w:lvlText w:val="(%2)"/>
      <w:numFmt w:val="lowerRoman"/>
      <w:start w:val="1"/>
    </w:lvl>
  </w:abstractNum>
  <w:abstractNum w:abstractNumId="31">
    <w:nsid w:val="77465F01"/>
    <w:multiLevelType w:val="hybridMultilevel"/>
    <w:lvl w:ilvl="0">
      <w:lvlJc w:val="left"/>
      <w:lvlText w:val="%1."/>
      <w:numFmt w:val="decimal"/>
      <w:start w:val="4"/>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decimal"/>
      <w:start w:val="5"/>
    </w:lvl>
  </w:abstractNum>
  <w:abstractNum w:abstractNumId="34">
    <w:nsid w:val="2463B9EA"/>
    <w:multiLevelType w:val="hybridMultilevel"/>
    <w:lvl w:ilvl="0">
      <w:lvlJc w:val="left"/>
      <w:lvlText w:val="(%1)"/>
      <w:numFmt w:val="lowerLetter"/>
      <w:start w:val="3"/>
    </w:lvl>
  </w:abstractNum>
  <w:abstractNum w:abstractNumId="35">
    <w:nsid w:val="5E884ADC"/>
    <w:multiLevelType w:val="hybridMultilevel"/>
    <w:lvl w:ilvl="0">
      <w:lvlJc w:val="left"/>
      <w:lvlText w:val="%1."/>
      <w:numFmt w:val="decimal"/>
      <w:start w:val="6"/>
    </w:lvl>
  </w:abstractNum>
  <w:abstractNum w:abstractNumId="36">
    <w:nsid w:val="51EAD36B"/>
    <w:multiLevelType w:val="hybridMultilevel"/>
    <w:lvl w:ilvl="0">
      <w:lvlJc w:val="left"/>
      <w:lvlText w:val="%1."/>
      <w:numFmt w:val="decimal"/>
      <w:start w:val="7"/>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0"/>
    </w:lvl>
  </w:abstractNum>
  <w:abstractNum w:abstractNumId="39">
    <w:nsid w:val="153EA438"/>
    <w:multiLevelType w:val="hybridMultilevel"/>
    <w:lvl w:ilvl="0">
      <w:lvlJc w:val="left"/>
      <w:lvlText w:val="%1."/>
      <w:numFmt w:val="decimal"/>
      <w:start w:val="15"/>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2019-12-28T21:32:31Z</dcterms:created>
  <dcterms:modified xsi:type="dcterms:W3CDTF">2019-12-28T21:32:31Z</dcterms:modified>
</cp:coreProperties>
</file>