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420370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386080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ind w:left="44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235"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July 31, 2021</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245" w:lineRule="exact"/>
        <w:rPr>
          <w:sz w:val="24"/>
          <w:szCs w:val="24"/>
          <w:color w:val="auto"/>
        </w:rPr>
      </w:pPr>
    </w:p>
    <w:p>
      <w:pPr>
        <w:ind w:left="336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-7620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1268730" cy="128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VERA BRADLEY, INC.</w:t>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25"/>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5"/>
              </w:rPr>
              <w:t>Indiana</w:t>
            </w:r>
          </w:p>
        </w:tc>
        <w:tc>
          <w:tcPr>
            <w:tcW w:w="5100" w:type="dxa"/>
            <w:vAlign w:val="bottom"/>
          </w:tcPr>
          <w:p>
            <w:pPr>
              <w:jc w:val="right"/>
              <w:ind w:right="60"/>
              <w:spacing w:after="0"/>
              <w:rPr>
                <w:sz w:val="20"/>
                <w:szCs w:val="20"/>
                <w:color w:val="auto"/>
              </w:rPr>
            </w:pPr>
            <w:r>
              <w:rPr>
                <w:rFonts w:ascii="Arial" w:cs="Arial" w:eastAsia="Arial" w:hAnsi="Arial"/>
                <w:sz w:val="18"/>
                <w:szCs w:val="18"/>
                <w:b w:val="1"/>
                <w:bCs w:val="1"/>
                <w:color w:val="auto"/>
              </w:rPr>
              <w:t>27-2935063</w:t>
            </w:r>
          </w:p>
        </w:tc>
        <w:tc>
          <w:tcPr>
            <w:tcW w:w="0" w:type="dxa"/>
            <w:vAlign w:val="bottom"/>
          </w:tcPr>
          <w:p>
            <w:pPr>
              <w:spacing w:after="0"/>
              <w:rPr>
                <w:sz w:val="1"/>
                <w:szCs w:val="1"/>
                <w:color w:val="auto"/>
              </w:rPr>
            </w:pPr>
          </w:p>
        </w:tc>
      </w:tr>
      <w:tr>
        <w:trPr>
          <w:trHeight w:val="144"/>
        </w:trPr>
        <w:tc>
          <w:tcPr>
            <w:tcW w:w="2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900"/>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00" w:type="dxa"/>
            <w:vAlign w:val="bottom"/>
          </w:tcPr>
          <w:p>
            <w:pPr>
              <w:jc w:val="center"/>
              <w:ind w:left="388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48"/>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12420 Stonebridge Road,</w:t>
            </w:r>
          </w:p>
        </w:tc>
        <w:tc>
          <w:tcPr>
            <w:tcW w:w="5100" w:type="dxa"/>
            <w:vAlign w:val="bottom"/>
            <w:vMerge w:val="restart"/>
          </w:tcPr>
          <w:p>
            <w:pPr>
              <w:jc w:val="right"/>
              <w:ind w:right="260"/>
              <w:spacing w:after="0"/>
              <w:rPr>
                <w:sz w:val="20"/>
                <w:szCs w:val="20"/>
                <w:color w:val="auto"/>
              </w:rPr>
            </w:pPr>
            <w:r>
              <w:rPr>
                <w:rFonts w:ascii="Arial" w:cs="Arial" w:eastAsia="Arial" w:hAnsi="Arial"/>
                <w:sz w:val="18"/>
                <w:szCs w:val="18"/>
                <w:b w:val="1"/>
                <w:bCs w:val="1"/>
                <w:color w:val="auto"/>
              </w:rPr>
              <w:t>46783</w:t>
            </w:r>
          </w:p>
        </w:tc>
        <w:tc>
          <w:tcPr>
            <w:tcW w:w="0" w:type="dxa"/>
            <w:vAlign w:val="bottom"/>
          </w:tcPr>
          <w:p>
            <w:pPr>
              <w:spacing w:after="0"/>
              <w:rPr>
                <w:sz w:val="1"/>
                <w:szCs w:val="1"/>
                <w:color w:val="auto"/>
              </w:rPr>
            </w:pPr>
          </w:p>
        </w:tc>
      </w:tr>
      <w:tr>
        <w:trPr>
          <w:trHeight w:val="220"/>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Roanoke, Indiana</w:t>
            </w: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00" w:type="dxa"/>
            <w:vAlign w:val="bottom"/>
          </w:tcPr>
          <w:p>
            <w:pPr>
              <w:jc w:val="center"/>
              <w:ind w:left="388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462"/>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Arial" w:cs="Arial" w:eastAsia="Arial" w:hAnsi="Arial"/>
                <w:sz w:val="18"/>
                <w:szCs w:val="18"/>
                <w:b w:val="1"/>
                <w:bCs w:val="1"/>
                <w:color w:val="auto"/>
              </w:rPr>
              <w:t>(877) 708-8372</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VRA</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42"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2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60"/>
          </w:cols>
          <w:pgMar w:left="320" w:top="229" w:right="31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500"/>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4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99"/>
        </w:trPr>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9" w:lineRule="exact"/>
        <w:rPr>
          <w:sz w:val="20"/>
          <w:szCs w:val="20"/>
          <w:color w:val="auto"/>
        </w:rPr>
      </w:pPr>
    </w:p>
    <w:p>
      <w:pPr>
        <w:jc w:val="both"/>
        <w:ind w:left="2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1" w:lineRule="exact"/>
        <w:rPr>
          <w:sz w:val="20"/>
          <w:szCs w:val="20"/>
          <w:color w:val="auto"/>
        </w:rPr>
      </w:pPr>
    </w:p>
    <w:p>
      <w:pPr>
        <w:ind w:right="166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 registrant had 34,021,330 shares of its common stock outstanding as of September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913765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00"/>
          </w:cols>
          <w:pgMar w:left="320" w:top="322"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22"/>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gridSpan w:val="9"/>
          </w:tcPr>
          <w:p>
            <w:pPr>
              <w:ind w:left="13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000" w:type="dxa"/>
            <w:vAlign w:val="bottom"/>
            <w:gridSpan w:val="21"/>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FINANCIAL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08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as of July 31, 2021, and January 30, 2021</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0"/>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Condensed Consolidated Statements of Operations for the Thirteen and Twenty-Six Weeks Ended July 31, 2021, and August 1,</w:t>
              </w:r>
            </w:hyperlink>
          </w:p>
        </w:tc>
        <w:tc>
          <w:tcPr>
            <w:tcW w:w="80" w:type="dxa"/>
            <w:vAlign w:val="bottom"/>
            <w:vMerge w:val="restart"/>
          </w:tcPr>
          <w:p>
            <w:pPr>
              <w:spacing w:after="0"/>
              <w:rPr>
                <w:sz w:val="22"/>
                <w:szCs w:val="22"/>
                <w:color w:val="auto"/>
              </w:rPr>
            </w:pPr>
          </w:p>
        </w:tc>
        <w:tc>
          <w:tcPr>
            <w:tcW w:w="100" w:type="dxa"/>
            <w:vAlign w:val="bottom"/>
            <w:vMerge w:val="restart"/>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2020</w:t>
              </w:r>
            </w:hyperlink>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Comprehensive Income for the Thirteen and Twenty-Six Weeks Ended July 31, 2021,</w:t>
              </w:r>
            </w:hyperlink>
          </w:p>
        </w:tc>
        <w:tc>
          <w:tcPr>
            <w:tcW w:w="80" w:type="dxa"/>
            <w:vAlign w:val="bottom"/>
            <w:vMerge w:val="restart"/>
          </w:tcPr>
          <w:p>
            <w:pPr>
              <w:spacing w:after="0"/>
              <w:rPr>
                <w:sz w:val="22"/>
                <w:szCs w:val="22"/>
                <w:color w:val="auto"/>
              </w:rPr>
            </w:pPr>
          </w:p>
        </w:tc>
        <w:tc>
          <w:tcPr>
            <w:tcW w:w="100" w:type="dxa"/>
            <w:vAlign w:val="bottom"/>
            <w:vMerge w:val="restart"/>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8"/>
              </w:rPr>
            </w:pPr>
            <w:hyperlink w:anchor="page6">
              <w:r>
                <w:rPr>
                  <w:rFonts w:ascii="Arial" w:cs="Arial" w:eastAsia="Arial" w:hAnsi="Arial"/>
                  <w:sz w:val="18"/>
                  <w:szCs w:val="18"/>
                  <w:color w:val="0000FF"/>
                  <w:w w:val="88"/>
                </w:rPr>
                <w:t>and August 1, 2020</w:t>
              </w:r>
            </w:hyperlink>
          </w:p>
        </w:tc>
        <w:tc>
          <w:tcPr>
            <w:tcW w:w="7620" w:type="dxa"/>
            <w:vAlign w:val="bottom"/>
            <w:tcBorders>
              <w:top w:val="single" w:sz="8" w:color="0000FF"/>
            </w:tcBorders>
            <w:gridSpan w:val="10"/>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0"/>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Condensed Consolidated Statements of Shareholders' Equity for the Thirteen and Twenty-Six Weeks Ended July 31, 2021, and</w:t>
              </w:r>
            </w:hyperlink>
          </w:p>
        </w:tc>
        <w:tc>
          <w:tcPr>
            <w:tcW w:w="80" w:type="dxa"/>
            <w:vAlign w:val="bottom"/>
            <w:vMerge w:val="restart"/>
          </w:tcPr>
          <w:p>
            <w:pPr>
              <w:spacing w:after="0"/>
              <w:rPr>
                <w:sz w:val="22"/>
                <w:szCs w:val="22"/>
                <w:color w:val="auto"/>
              </w:rPr>
            </w:pPr>
          </w:p>
        </w:tc>
        <w:tc>
          <w:tcPr>
            <w:tcW w:w="100" w:type="dxa"/>
            <w:vAlign w:val="bottom"/>
            <w:vMerge w:val="restart"/>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w:anchor="page7">
              <w:r>
                <w:rPr>
                  <w:rFonts w:ascii="Arial" w:cs="Arial" w:eastAsia="Arial" w:hAnsi="Arial"/>
                  <w:sz w:val="18"/>
                  <w:szCs w:val="18"/>
                  <w:color w:val="0000FF"/>
                  <w:w w:val="89"/>
                </w:rPr>
                <w:t>August 1, 2020</w:t>
              </w:r>
            </w:hyperlink>
          </w:p>
        </w:tc>
        <w:tc>
          <w:tcPr>
            <w:tcW w:w="8020" w:type="dxa"/>
            <w:vAlign w:val="bottom"/>
            <w:tcBorders>
              <w:top w:val="single" w:sz="8" w:color="0000FF"/>
            </w:tcBorders>
            <w:gridSpan w:val="13"/>
          </w:tcPr>
          <w:p>
            <w:pPr>
              <w:spacing w:after="0"/>
              <w:rPr>
                <w:sz w:val="13"/>
                <w:szCs w:val="13"/>
                <w:color w:val="auto"/>
              </w:rPr>
            </w:pPr>
          </w:p>
        </w:tc>
        <w:tc>
          <w:tcPr>
            <w:tcW w:w="960" w:type="dxa"/>
            <w:vAlign w:val="bottom"/>
            <w:gridSpan w:val="2"/>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0"/>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 for the Twenty-Six Weeks Ended July 31, 2021, and August 1, 2020</w:t>
              </w:r>
            </w:hyperlink>
          </w:p>
        </w:tc>
        <w:tc>
          <w:tcPr>
            <w:tcW w:w="180" w:type="dxa"/>
            <w:vAlign w:val="bottom"/>
            <w:gridSpan w:val="2"/>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40" w:type="dxa"/>
            <w:vAlign w:val="bottom"/>
            <w:gridSpan w:val="16"/>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the Condensed Consolidated Financial Statements</w:t>
              </w:r>
            </w:hyperlink>
          </w:p>
        </w:tc>
        <w:tc>
          <w:tcPr>
            <w:tcW w:w="1440" w:type="dxa"/>
            <w:vAlign w:val="bottom"/>
            <w:gridSpan w:val="4"/>
          </w:tcPr>
          <w:p>
            <w:pPr>
              <w:spacing w:after="0"/>
              <w:rPr>
                <w:sz w:val="22"/>
                <w:szCs w:val="22"/>
                <w:color w:val="auto"/>
              </w:rPr>
            </w:pPr>
          </w:p>
        </w:tc>
        <w:tc>
          <w:tcPr>
            <w:tcW w:w="180" w:type="dxa"/>
            <w:vAlign w:val="bottom"/>
            <w:gridSpan w:val="2"/>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080" w:type="dxa"/>
            <w:vAlign w:val="bottom"/>
            <w:gridSpan w:val="20"/>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26</w:t>
              </w:r>
            </w:hyperlink>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Quantitative and Qualitative Disclosures About Market Risk</w:t>
              </w:r>
            </w:hyperlink>
          </w:p>
        </w:tc>
        <w:tc>
          <w:tcPr>
            <w:tcW w:w="3640" w:type="dxa"/>
            <w:vAlign w:val="bottom"/>
            <w:gridSpan w:val="5"/>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Controls and Procedures</w:t>
              </w:r>
            </w:hyperlink>
          </w:p>
        </w:tc>
        <w:tc>
          <w:tcPr>
            <w:tcW w:w="2580" w:type="dxa"/>
            <w:vAlign w:val="bottom"/>
            <w:tcBorders>
              <w:top w:val="single" w:sz="8" w:color="0000FF"/>
            </w:tcBorders>
            <w:gridSpan w:val="5"/>
          </w:tcPr>
          <w:p>
            <w:pPr>
              <w:spacing w:after="0"/>
              <w:rPr>
                <w:sz w:val="22"/>
                <w:szCs w:val="22"/>
                <w:color w:val="auto"/>
              </w:rPr>
            </w:pPr>
          </w:p>
        </w:tc>
        <w:tc>
          <w:tcPr>
            <w:tcW w:w="5740" w:type="dxa"/>
            <w:vAlign w:val="bottom"/>
            <w:gridSpan w:val="7"/>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000" w:type="dxa"/>
            <w:vAlign w:val="bottom"/>
            <w:gridSpan w:val="21"/>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 OTHER INFORMATION</w:t>
              </w:r>
            </w:hyperlink>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840" w:type="dxa"/>
            <w:vAlign w:val="bottom"/>
            <w:tcBorders>
              <w:top w:val="single" w:sz="8" w:color="0000FF"/>
            </w:tcBorders>
            <w:gridSpan w:val="9"/>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8240" w:type="dxa"/>
            <w:vAlign w:val="bottom"/>
            <w:gridSpan w:val="11"/>
          </w:tcPr>
          <w:p>
            <w:pPr>
              <w:spacing w:after="0"/>
              <w:rPr>
                <w:sz w:val="22"/>
                <w:szCs w:val="22"/>
                <w:color w:val="auto"/>
              </w:rPr>
            </w:pPr>
          </w:p>
        </w:tc>
        <w:tc>
          <w:tcPr>
            <w:tcW w:w="180" w:type="dxa"/>
            <w:vAlign w:val="bottom"/>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39</w:t>
              </w:r>
            </w:hyperlink>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7"/>
              </w:rPr>
            </w:pPr>
            <w:hyperlink w:anchor="page40">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2"/>
                <w:szCs w:val="22"/>
                <w:color w:val="auto"/>
              </w:rPr>
            </w:pPr>
          </w:p>
        </w:tc>
        <w:tc>
          <w:tcPr>
            <w:tcW w:w="8760" w:type="dxa"/>
            <w:vAlign w:val="bottom"/>
            <w:gridSpan w:val="14"/>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39</w:t>
              </w:r>
            </w:hyperlink>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Unregistered Sales of Equity Securities and Use of Proceeds</w:t>
              </w:r>
            </w:hyperlink>
          </w:p>
        </w:tc>
        <w:tc>
          <w:tcPr>
            <w:tcW w:w="5740" w:type="dxa"/>
            <w:vAlign w:val="bottom"/>
            <w:gridSpan w:val="7"/>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Exhibits</w:t>
              </w:r>
            </w:hyperlink>
          </w:p>
        </w:tc>
        <w:tc>
          <w:tcPr>
            <w:tcW w:w="9480" w:type="dxa"/>
            <w:vAlign w:val="bottom"/>
            <w:gridSpan w:val="17"/>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64" w:lineRule="exact"/>
        <w:rPr>
          <w:sz w:val="20"/>
          <w:szCs w:val="20"/>
          <w:color w:val="auto"/>
        </w:rPr>
      </w:pPr>
    </w:p>
    <w:p>
      <w:pPr>
        <w:ind w:left="660" w:right="1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health pandemics, including the continued outbreak of the novel coronavirus (COVID-19) and actions to contain the spread of the virus by governmental or other actors;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declines in our comparable sales;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10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 including as may be related to the continued outbreak of COVID-19;</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associates or inability to attract and retain the talent required for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disruptions in our supply chain;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new or increased tariffs on our products that could lead to increased product costs and lower profit margins; and</w:t>
      </w:r>
    </w:p>
    <w:p>
      <w:pPr>
        <w:spacing w:after="0" w:line="103"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integration strategies related to the Pura Vida business and possible inability to derive expected benefits from or to successfully integrate any future business acquisition.</w:t>
      </w:r>
    </w:p>
    <w:p>
      <w:pPr>
        <w:spacing w:after="0" w:line="11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a discussion of the above described risks and uncertainties and other risks and uncertainties that could cause actual results to differ materially from those contained in our forward-looking statements, please refer to “Risk Factors” in Item 1A of our Annual Report on Form 10-K for the fiscal year ended January 30, 2021, as well as in Item 1A herein.</w:t>
      </w:r>
    </w:p>
    <w:p>
      <w:pPr>
        <w:spacing w:after="0" w:line="13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31,</w:t>
            </w:r>
          </w:p>
        </w:tc>
        <w:tc>
          <w:tcPr>
            <w:tcW w:w="220" w:type="dxa"/>
            <w:vAlign w:val="bottom"/>
          </w:tcPr>
          <w:p>
            <w:pPr>
              <w:spacing w:after="0"/>
              <w:rPr>
                <w:sz w:val="14"/>
                <w:szCs w:val="14"/>
                <w:color w:val="auto"/>
              </w:rPr>
            </w:pPr>
          </w:p>
        </w:tc>
        <w:tc>
          <w:tcPr>
            <w:tcW w:w="1220" w:type="dxa"/>
            <w:vAlign w:val="bottom"/>
          </w:tcPr>
          <w:p>
            <w:pPr>
              <w:jc w:val="right"/>
              <w:ind w:right="280"/>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64,175</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148,048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141,416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receivable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7,372</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17,882</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259,683</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Operating right-of-use assets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86,617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88,730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63,952</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45,759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47,296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3,530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6,342</w:t>
            </w:r>
          </w:p>
        </w:tc>
        <w:tc>
          <w:tcPr>
            <w:tcW w:w="0" w:type="dxa"/>
            <w:vAlign w:val="bottom"/>
          </w:tcPr>
          <w:p>
            <w:pPr>
              <w:spacing w:after="0"/>
              <w:rPr>
                <w:sz w:val="1"/>
                <w:szCs w:val="1"/>
                <w:color w:val="auto"/>
              </w:rPr>
            </w:pPr>
          </w:p>
        </w:tc>
      </w:tr>
      <w:tr>
        <w:trPr>
          <w:trHeight w:val="206"/>
        </w:trPr>
        <w:tc>
          <w:tcPr>
            <w:tcW w:w="824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525,059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513,787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Redeemable Noncontrolling Interest, and Shareholders’ Equity</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Accrued employment costs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13,648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operating lease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22,321</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Other accrued liabilities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17,522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14,043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6"/>
        </w:trPr>
        <w:tc>
          <w:tcPr>
            <w:tcW w:w="824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83,818</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77,426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91,536</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171,873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169,071</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29,809</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5,000 shares authorized, no shares issued or outstanding</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240" w:type="dxa"/>
            <w:vAlign w:val="bottom"/>
          </w:tcPr>
          <w:p>
            <w:pPr>
              <w:ind w:left="220"/>
              <w:spacing w:after="0" w:line="166" w:lineRule="exact"/>
              <w:rPr>
                <w:sz w:val="20"/>
                <w:szCs w:val="20"/>
                <w:color w:val="auto"/>
              </w:rPr>
            </w:pPr>
            <w:r>
              <w:rPr>
                <w:rFonts w:ascii="Arial" w:cs="Arial" w:eastAsia="Arial" w:hAnsi="Arial"/>
                <w:sz w:val="16"/>
                <w:szCs w:val="16"/>
                <w:color w:val="auto"/>
                <w:w w:val="94"/>
              </w:rPr>
              <w:t>Common stock, without par value; 200,000 shares authorized, 42,415 and 41,808 shares issued and 34,021 and 33,414</w:t>
            </w:r>
          </w:p>
        </w:tc>
        <w:tc>
          <w:tcPr>
            <w:tcW w:w="30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240" w:type="dxa"/>
            <w:vAlign w:val="bottom"/>
          </w:tcPr>
          <w:p>
            <w:pPr>
              <w:ind w:left="220"/>
              <w:spacing w:after="0"/>
              <w:rPr>
                <w:sz w:val="20"/>
                <w:szCs w:val="20"/>
                <w:color w:val="auto"/>
              </w:rPr>
            </w:pPr>
            <w:r>
              <w:rPr>
                <w:rFonts w:ascii="Arial" w:cs="Arial" w:eastAsia="Arial" w:hAnsi="Arial"/>
                <w:sz w:val="16"/>
                <w:szCs w:val="16"/>
                <w:color w:val="auto"/>
              </w:rPr>
              <w:t>shares outstanding, respectively</w:t>
            </w:r>
          </w:p>
        </w:tc>
        <w:tc>
          <w:tcPr>
            <w:tcW w:w="3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paid-in-capital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105,433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323,431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316,526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Treasury stock</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(107,060)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(107,060)</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shareholders’ equity of Vera Bradley, Inc.</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322,822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314,907</w:t>
            </w:r>
          </w:p>
        </w:tc>
        <w:tc>
          <w:tcPr>
            <w:tcW w:w="0" w:type="dxa"/>
            <w:vAlign w:val="bottom"/>
          </w:tcPr>
          <w:p>
            <w:pPr>
              <w:spacing w:after="0"/>
              <w:rPr>
                <w:sz w:val="1"/>
                <w:szCs w:val="1"/>
                <w:color w:val="auto"/>
              </w:rPr>
            </w:pPr>
          </w:p>
        </w:tc>
      </w:tr>
      <w:tr>
        <w:trPr>
          <w:trHeight w:val="206"/>
        </w:trPr>
        <w:tc>
          <w:tcPr>
            <w:tcW w:w="8240" w:type="dxa"/>
            <w:vAlign w:val="bottom"/>
          </w:tcPr>
          <w:p>
            <w:pPr>
              <w:ind w:left="480"/>
              <w:spacing w:after="0"/>
              <w:rPr>
                <w:sz w:val="20"/>
                <w:szCs w:val="20"/>
                <w:color w:val="auto"/>
              </w:rPr>
            </w:pPr>
            <w:r>
              <w:rPr>
                <w:rFonts w:ascii="Arial" w:cs="Arial" w:eastAsia="Arial" w:hAnsi="Arial"/>
                <w:sz w:val="16"/>
                <w:szCs w:val="16"/>
                <w:color w:val="auto"/>
              </w:rPr>
              <w:t>Total liabilities, redeemable noncontrolling interest, and shareholders’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525,059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513,787</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300" w:type="dxa"/>
            <w:vAlign w:val="bottom"/>
          </w:tcPr>
          <w:p>
            <w:pPr>
              <w:spacing w:after="0"/>
              <w:rPr>
                <w:sz w:val="16"/>
                <w:szCs w:val="16"/>
                <w:color w:val="auto"/>
              </w:rPr>
            </w:pPr>
          </w:p>
        </w:tc>
        <w:tc>
          <w:tcPr>
            <w:tcW w:w="268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34"/>
        </w:trPr>
        <w:tc>
          <w:tcPr>
            <w:tcW w:w="5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rPr>
              <w:t>July 31,</w:t>
            </w: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32"/>
              <w:spacing w:after="0" w:line="135" w:lineRule="exact"/>
              <w:rPr>
                <w:sz w:val="20"/>
                <w:szCs w:val="20"/>
                <w:color w:val="auto"/>
              </w:rPr>
            </w:pPr>
            <w:r>
              <w:rPr>
                <w:rFonts w:ascii="Arial" w:cs="Arial" w:eastAsia="Arial" w:hAnsi="Arial"/>
                <w:sz w:val="14"/>
                <w:szCs w:val="14"/>
                <w:b w:val="1"/>
                <w:bCs w:val="1"/>
                <w:color w:val="auto"/>
              </w:rPr>
              <w:t>August 1,</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rPr>
              <w:t>July 31,</w:t>
            </w: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32"/>
              <w:spacing w:after="0" w:line="135" w:lineRule="exact"/>
              <w:rPr>
                <w:sz w:val="20"/>
                <w:szCs w:val="20"/>
                <w:color w:val="auto"/>
              </w:rPr>
            </w:pPr>
            <w:r>
              <w:rPr>
                <w:rFonts w:ascii="Arial" w:cs="Arial" w:eastAsia="Arial" w:hAnsi="Arial"/>
                <w:sz w:val="14"/>
                <w:szCs w:val="14"/>
                <w:b w:val="1"/>
                <w:bCs w:val="1"/>
                <w:color w:val="auto"/>
              </w:rPr>
              <w:t>August 1,</w:t>
            </w:r>
          </w:p>
        </w:tc>
        <w:tc>
          <w:tcPr>
            <w:tcW w:w="0" w:type="dxa"/>
            <w:vAlign w:val="bottom"/>
          </w:tcPr>
          <w:p>
            <w:pPr>
              <w:spacing w:after="0"/>
              <w:rPr>
                <w:sz w:val="1"/>
                <w:szCs w:val="1"/>
                <w:color w:val="auto"/>
              </w:rPr>
            </w:pPr>
          </w:p>
        </w:tc>
      </w:tr>
      <w:tr>
        <w:trPr>
          <w:trHeight w:val="188"/>
        </w:trPr>
        <w:tc>
          <w:tcPr>
            <w:tcW w:w="5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201,054</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87,245</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113,809</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68,729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62,155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129,625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121,937</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(8,632)</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Less: Net income attributable to redeemable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Net income (loss) attributable to Vera Bradley, Inc.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33,367</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33,367</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Basic net income (loss) per share available to Vera Bradley, Inc.</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shareholders</w:t>
            </w:r>
          </w:p>
        </w:tc>
        <w:tc>
          <w:tcPr>
            <w:tcW w:w="28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20" w:type="dxa"/>
            <w:vAlign w:val="bottom"/>
          </w:tcPr>
          <w:p>
            <w:pPr>
              <w:ind w:left="20"/>
              <w:spacing w:after="0" w:line="176" w:lineRule="exact"/>
              <w:rPr>
                <w:sz w:val="20"/>
                <w:szCs w:val="20"/>
                <w:color w:val="auto"/>
              </w:rPr>
            </w:pPr>
            <w:r>
              <w:rPr>
                <w:rFonts w:ascii="Arial" w:cs="Arial" w:eastAsia="Arial" w:hAnsi="Arial"/>
                <w:sz w:val="18"/>
                <w:szCs w:val="18"/>
                <w:color w:val="auto"/>
                <w:w w:val="98"/>
              </w:rPr>
              <w:t>Diluted net income (loss) per share available to Vera Bradley, Inc.</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common shareholders</w:t>
            </w:r>
          </w:p>
        </w:tc>
        <w:tc>
          <w:tcPr>
            <w:tcW w:w="2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22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2"/>
              </w:rPr>
              <w:t>Reconciliation of net income (loss) available to Vera Bradley, Inc.</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common shareholders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Vera Bradley, Inc.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0" w:type="dxa"/>
            <w:vAlign w:val="bottom"/>
          </w:tcPr>
          <w:p>
            <w:pPr>
              <w:spacing w:after="0"/>
              <w:rPr>
                <w:sz w:val="1"/>
                <w:szCs w:val="1"/>
                <w:color w:val="auto"/>
              </w:rPr>
            </w:pPr>
          </w:p>
        </w:tc>
      </w:tr>
      <w:tr>
        <w:trPr>
          <w:trHeight w:val="175"/>
        </w:trPr>
        <w:tc>
          <w:tcPr>
            <w:tcW w:w="5220" w:type="dxa"/>
            <w:vAlign w:val="bottom"/>
          </w:tcPr>
          <w:p>
            <w:pPr>
              <w:ind w:left="20"/>
              <w:spacing w:after="0" w:line="176" w:lineRule="exact"/>
              <w:rPr>
                <w:sz w:val="20"/>
                <w:szCs w:val="20"/>
                <w:color w:val="auto"/>
              </w:rPr>
            </w:pPr>
            <w:r>
              <w:rPr>
                <w:rFonts w:ascii="Arial" w:cs="Arial" w:eastAsia="Arial" w:hAnsi="Arial"/>
                <w:sz w:val="18"/>
                <w:szCs w:val="18"/>
                <w:color w:val="auto"/>
              </w:rPr>
              <w:t>Excess portion of redeemable noncontrolling interest redemption</w:t>
            </w:r>
          </w:p>
        </w:tc>
        <w:tc>
          <w:tcPr>
            <w:tcW w:w="28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value adjustment</w:t>
            </w:r>
          </w:p>
        </w:tc>
        <w:tc>
          <w:tcPr>
            <w:tcW w:w="2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220" w:type="dxa"/>
            <w:vAlign w:val="bottom"/>
            <w:tcBorders>
              <w:top w:val="single" w:sz="8" w:color="CCEEFF"/>
            </w:tcBorders>
            <w:shd w:val="clear" w:color="auto" w:fill="CCEEFF"/>
          </w:tcPr>
          <w:p>
            <w:pPr>
              <w:ind w:left="240"/>
              <w:spacing w:after="0" w:line="156" w:lineRule="exact"/>
              <w:rPr>
                <w:sz w:val="20"/>
                <w:szCs w:val="20"/>
                <w:color w:val="auto"/>
              </w:rPr>
            </w:pPr>
            <w:r>
              <w:rPr>
                <w:rFonts w:ascii="Arial" w:cs="Arial" w:eastAsia="Arial" w:hAnsi="Arial"/>
                <w:sz w:val="18"/>
                <w:szCs w:val="18"/>
                <w:color w:val="auto"/>
              </w:rPr>
              <w:t>Net income (loss) available to Vera Bradley, Inc. common</w:t>
            </w: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14,016</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shd w:val="clear" w:color="auto" w:fill="CCEEFF"/>
          </w:tcPr>
          <w:p>
            <w:pPr>
              <w:ind w:left="240"/>
              <w:spacing w:after="0" w:line="202" w:lineRule="exact"/>
              <w:rPr>
                <w:sz w:val="20"/>
                <w:szCs w:val="20"/>
                <w:color w:val="auto"/>
              </w:rPr>
            </w:pPr>
            <w:r>
              <w:rPr>
                <w:rFonts w:ascii="Arial" w:cs="Arial" w:eastAsia="Arial" w:hAnsi="Arial"/>
                <w:sz w:val="18"/>
                <w:szCs w:val="18"/>
                <w:color w:val="auto"/>
              </w:rPr>
              <w:t>shareholders</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280" w:type="dxa"/>
            <w:vAlign w:val="bottom"/>
          </w:tcPr>
          <w:p>
            <w:pPr>
              <w:spacing w:after="0"/>
              <w:rPr>
                <w:sz w:val="16"/>
                <w:szCs w:val="16"/>
                <w:color w:val="auto"/>
              </w:rPr>
            </w:pPr>
          </w:p>
        </w:tc>
        <w:tc>
          <w:tcPr>
            <w:tcW w:w="266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rPr>
              <w:t>July 31,</w:t>
            </w: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35"/>
              <w:spacing w:after="0" w:line="135" w:lineRule="exact"/>
              <w:rPr>
                <w:sz w:val="20"/>
                <w:szCs w:val="20"/>
                <w:color w:val="auto"/>
              </w:rPr>
            </w:pPr>
            <w:r>
              <w:rPr>
                <w:rFonts w:ascii="Arial" w:cs="Arial" w:eastAsia="Arial" w:hAnsi="Arial"/>
                <w:sz w:val="14"/>
                <w:szCs w:val="14"/>
                <w:b w:val="1"/>
                <w:bCs w:val="1"/>
                <w:color w:val="auto"/>
              </w:rPr>
              <w:t>August 1,</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rPr>
              <w:t>July 31,</w:t>
            </w: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35"/>
              <w:spacing w:after="0" w:line="135" w:lineRule="exact"/>
              <w:rPr>
                <w:sz w:val="20"/>
                <w:szCs w:val="20"/>
                <w:color w:val="auto"/>
              </w:rPr>
            </w:pPr>
            <w:r>
              <w:rPr>
                <w:rFonts w:ascii="Arial" w:cs="Arial" w:eastAsia="Arial" w:hAnsi="Arial"/>
                <w:sz w:val="14"/>
                <w:szCs w:val="14"/>
                <w:b w:val="1"/>
                <w:bCs w:val="1"/>
                <w:color w:val="auto"/>
              </w:rPr>
              <w:t>August 1,</w:t>
            </w:r>
          </w:p>
        </w:tc>
        <w:tc>
          <w:tcPr>
            <w:tcW w:w="0" w:type="dxa"/>
            <w:vAlign w:val="bottom"/>
          </w:tcPr>
          <w:p>
            <w:pPr>
              <w:spacing w:after="0"/>
              <w:rPr>
                <w:sz w:val="1"/>
                <w:szCs w:val="1"/>
                <w:color w:val="auto"/>
              </w:rPr>
            </w:pPr>
          </w:p>
        </w:tc>
      </w:tr>
      <w:tr>
        <w:trPr>
          <w:trHeight w:val="188"/>
        </w:trPr>
        <w:tc>
          <w:tcPr>
            <w:tcW w:w="5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Unrealized (loss) gain on available-for-sale debt investments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Comprehensive income (loss), net of tax</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(7,370)</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Comprehensive income attributable to redeemable</w:t>
            </w:r>
          </w:p>
        </w:tc>
        <w:tc>
          <w:tcPr>
            <w:tcW w:w="2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w w:val="99"/>
              </w:rPr>
              <w:t>Comprehensive income (loss) attributable to Vera Bradley, Inc.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53"/>
              <w:spacing w:after="0" w:line="12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9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1"/>
                <w:szCs w:val="11"/>
                <w:color w:val="auto"/>
              </w:rPr>
            </w:pPr>
          </w:p>
        </w:tc>
        <w:tc>
          <w:tcPr>
            <w:tcW w:w="76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w w:val="96"/>
              </w:rPr>
              <w:t>Equity of</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2"/>
            <w:vMerge w:val="continue"/>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6"/>
              </w:rPr>
              <w:t>Vera Bradley,</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60" w:type="dxa"/>
            <w:vAlign w:val="bottom"/>
          </w:tcPr>
          <w:p>
            <w:pPr>
              <w:jc w:val="center"/>
              <w:ind w:right="73"/>
              <w:spacing w:after="0"/>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224"/>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30,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33,414,490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8,393,207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105,433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316,526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 (107,060)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314,907</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Net loss attributable to Vera Bradley, Inc.</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w w:val="97"/>
              </w:rPr>
              <w:t>Unrealized loss on available-for-sale debt investments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570,562</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May 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33,985,052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8,393,207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105,076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314,381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 xml:space="preserve"> (107,060)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312,397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income attributable to Vera Bradley, Inc.</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9,050</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ind w:left="60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9,050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w w:val="97"/>
              </w:rPr>
              <w:t>Unrealized loss on available-for-sale debt investments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36,278</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July 31,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34,021,330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8,393,207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106,455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323,431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 xml:space="preserve"> (107,060)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322,822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53"/>
              <w:spacing w:after="0" w:line="12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9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1"/>
                <w:szCs w:val="11"/>
                <w:color w:val="auto"/>
              </w:rPr>
            </w:pPr>
          </w:p>
        </w:tc>
        <w:tc>
          <w:tcPr>
            <w:tcW w:w="76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w w:val="96"/>
              </w:rPr>
              <w:t>Equity of</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2"/>
            <w:vMerge w:val="continue"/>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6"/>
              </w:rPr>
              <w:t>Vera Bradley,</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940" w:type="dxa"/>
            <w:vAlign w:val="bottom"/>
            <w:gridSpan w:val="2"/>
          </w:tcPr>
          <w:p>
            <w:pPr>
              <w:ind w:left="2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760" w:type="dxa"/>
            <w:vAlign w:val="bottom"/>
          </w:tcPr>
          <w:p>
            <w:pPr>
              <w:jc w:val="center"/>
              <w:ind w:right="73"/>
              <w:spacing w:after="0"/>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224"/>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February 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33,503,249</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8,011,372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100,357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307,414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(104,159)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303,770</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Net loss attributable to Vera Bradley, Inc.</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(15,337)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w w:val="97"/>
              </w:rPr>
              <w:t>Unrealized loss on available-for-sale debt investments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277,687</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purchased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(381,835)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176"/>
        </w:trPr>
        <w:tc>
          <w:tcPr>
            <w:tcW w:w="4240" w:type="dxa"/>
            <w:vAlign w:val="bottom"/>
          </w:tcPr>
          <w:p>
            <w:pPr>
              <w:spacing w:after="0" w:line="176" w:lineRule="exact"/>
              <w:rPr>
                <w:sz w:val="20"/>
                <w:szCs w:val="20"/>
                <w:color w:val="auto"/>
              </w:rPr>
            </w:pPr>
            <w:r>
              <w:rPr>
                <w:rFonts w:ascii="Arial" w:cs="Arial" w:eastAsia="Arial" w:hAnsi="Arial"/>
                <w:sz w:val="18"/>
                <w:szCs w:val="18"/>
                <w:color w:val="auto"/>
                <w:w w:val="99"/>
              </w:rPr>
              <w:t>Redeemable noncontrolling interest redemption value</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(9,305)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adjustment</w:t>
            </w:r>
          </w:p>
        </w:tc>
        <w:tc>
          <w:tcPr>
            <w:tcW w:w="104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May 2,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33,399,101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8,393,207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99,879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282,772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(107,060)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275,574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income attributable to Vera Bradley, Inc.</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7,216</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ind w:left="60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7,216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w w:val="97"/>
              </w:rPr>
              <w:t>Unrealized gain on available-for-sale debt investments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Redeemable noncontrolling interest redemption value</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04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b w:val="1"/>
                <w:bCs w:val="1"/>
                <w:color w:val="auto"/>
              </w:rPr>
              <w:t>Balance at August 1,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33,409,326</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8,393,207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101,112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299,724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(107,060)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293,774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Twenty-Six Weeks Ended</w:t>
            </w:r>
          </w:p>
        </w:tc>
      </w:tr>
      <w:tr>
        <w:trPr>
          <w:trHeight w:val="135"/>
        </w:trPr>
        <w:tc>
          <w:tcPr>
            <w:tcW w:w="8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July 31,</w:t>
            </w:r>
          </w:p>
        </w:tc>
        <w:tc>
          <w:tcPr>
            <w:tcW w:w="260" w:type="dxa"/>
            <w:vAlign w:val="bottom"/>
          </w:tcPr>
          <w:p>
            <w:pPr>
              <w:spacing w:after="0"/>
              <w:rPr>
                <w:sz w:val="11"/>
                <w:szCs w:val="11"/>
                <w:color w:val="auto"/>
              </w:rPr>
            </w:pPr>
          </w:p>
        </w:tc>
        <w:tc>
          <w:tcPr>
            <w:tcW w:w="1180" w:type="dxa"/>
            <w:vAlign w:val="bottom"/>
          </w:tcPr>
          <w:p>
            <w:pPr>
              <w:jc w:val="right"/>
              <w:ind w:right="368"/>
              <w:spacing w:after="0" w:line="135" w:lineRule="exact"/>
              <w:rPr>
                <w:sz w:val="20"/>
                <w:szCs w:val="20"/>
                <w:color w:val="auto"/>
              </w:rPr>
            </w:pPr>
            <w:r>
              <w:rPr>
                <w:rFonts w:ascii="Arial" w:cs="Arial" w:eastAsia="Arial" w:hAnsi="Arial"/>
                <w:sz w:val="14"/>
                <w:szCs w:val="14"/>
                <w:b w:val="1"/>
                <w:bCs w:val="1"/>
                <w:color w:val="auto"/>
              </w:rPr>
              <w:t>August 1,</w:t>
            </w:r>
          </w:p>
        </w:tc>
      </w:tr>
      <w:tr>
        <w:trPr>
          <w:trHeight w:val="188"/>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6"/>
        </w:trPr>
        <w:tc>
          <w:tcPr>
            <w:tcW w:w="82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8,339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(7,210)</w:t>
            </w: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Depreciation of property, plant, and equipment</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8,380</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operating right-of-use assets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10,843</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Impairment charges</w:t>
            </w:r>
          </w:p>
        </w:tc>
        <w:tc>
          <w:tcPr>
            <w:tcW w:w="2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3,806</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4,714</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Provision for doubtful accounts</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1,622</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1,760</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investments</w:t>
            </w:r>
          </w:p>
        </w:tc>
        <w:tc>
          <w:tcPr>
            <w:tcW w:w="2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Adjustment of earn-out liability</w:t>
            </w:r>
          </w:p>
        </w:tc>
        <w:tc>
          <w:tcPr>
            <w:tcW w:w="2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non-cash gain, net</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Changes in assets and liabilities: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2"/>
        </w:trPr>
        <w:tc>
          <w:tcPr>
            <w:tcW w:w="8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(6,631)</w:t>
            </w:r>
          </w:p>
        </w:tc>
      </w:tr>
      <w:tr>
        <w:trPr>
          <w:trHeight w:val="186"/>
        </w:trPr>
        <w:tc>
          <w:tcPr>
            <w:tcW w:w="8240" w:type="dxa"/>
            <w:vAlign w:val="bottom"/>
          </w:tcPr>
          <w:p>
            <w:pPr>
              <w:ind w:left="480"/>
              <w:spacing w:after="0"/>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(12,613)</w:t>
            </w:r>
          </w:p>
        </w:tc>
      </w:tr>
      <w:tr>
        <w:trPr>
          <w:trHeight w:val="192"/>
        </w:trPr>
        <w:tc>
          <w:tcPr>
            <w:tcW w:w="8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(4,703)</w:t>
            </w:r>
          </w:p>
        </w:tc>
      </w:tr>
      <w:tr>
        <w:trPr>
          <w:trHeight w:val="186"/>
        </w:trPr>
        <w:tc>
          <w:tcPr>
            <w:tcW w:w="824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7,070</w:t>
            </w:r>
          </w:p>
        </w:tc>
      </w:tr>
      <w:tr>
        <w:trPr>
          <w:trHeight w:val="192"/>
        </w:trPr>
        <w:tc>
          <w:tcPr>
            <w:tcW w:w="8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taxes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(6,193)</w:t>
            </w:r>
          </w:p>
        </w:tc>
      </w:tr>
      <w:tr>
        <w:trPr>
          <w:trHeight w:val="186"/>
        </w:trPr>
        <w:tc>
          <w:tcPr>
            <w:tcW w:w="8240" w:type="dxa"/>
            <w:vAlign w:val="bottom"/>
          </w:tcPr>
          <w:p>
            <w:pPr>
              <w:ind w:left="480"/>
              <w:spacing w:after="0"/>
              <w:rPr>
                <w:sz w:val="20"/>
                <w:szCs w:val="20"/>
                <w:color w:val="auto"/>
              </w:rPr>
            </w:pPr>
            <w:r>
              <w:rPr>
                <w:rFonts w:ascii="Arial" w:cs="Arial" w:eastAsia="Arial" w:hAnsi="Arial"/>
                <w:sz w:val="14"/>
                <w:szCs w:val="14"/>
                <w:color w:val="auto"/>
              </w:rPr>
              <w:t>Operating lease liabilities, net</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(13,202)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(7,726)</w:t>
            </w:r>
          </w:p>
        </w:tc>
      </w:tr>
      <w:tr>
        <w:trPr>
          <w:trHeight w:val="192"/>
        </w:trPr>
        <w:tc>
          <w:tcPr>
            <w:tcW w:w="8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Accrued and other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5,274</w:t>
            </w:r>
          </w:p>
        </w:tc>
      </w:tr>
      <w:tr>
        <w:trPr>
          <w:trHeight w:val="17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16,487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r>
      <w:tr>
        <w:trPr>
          <w:trHeight w:val="17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(4,272)</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investments</w:t>
            </w:r>
          </w:p>
        </w:tc>
        <w:tc>
          <w:tcPr>
            <w:tcW w:w="2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Proceeds from maturities and sales of investments</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23,031</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received for business acquisition</w:t>
            </w:r>
          </w:p>
        </w:tc>
        <w:tc>
          <w:tcPr>
            <w:tcW w:w="2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r>
      <w:tr>
        <w:trPr>
          <w:trHeight w:val="186"/>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Proceeds from disposal of property, plant, and equipment</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18,901</w:t>
            </w:r>
          </w:p>
        </w:tc>
      </w:tr>
      <w:tr>
        <w:trPr>
          <w:trHeight w:val="168"/>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0"/>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withholdings for equity compensation</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2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(3,077)</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Distributions to redeemable noncontrolling interest</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Borrowings under asset-based revolving credit agreement</w:t>
            </w:r>
          </w:p>
        </w:tc>
        <w:tc>
          <w:tcPr>
            <w:tcW w:w="2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60,000</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Repayment of borrowings under asset-based revolving credit agreement</w:t>
            </w:r>
          </w:p>
        </w:tc>
        <w:tc>
          <w:tcPr>
            <w:tcW w:w="2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Payment of contingent consideration for business acquisition</w:t>
            </w:r>
          </w:p>
        </w:tc>
        <w:tc>
          <w:tcPr>
            <w:tcW w:w="2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(18,677)</w:t>
            </w:r>
          </w:p>
        </w:tc>
      </w:tr>
      <w:tr>
        <w:trPr>
          <w:trHeight w:val="186"/>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(3,229)</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6,816</w:t>
            </w:r>
          </w:p>
        </w:tc>
      </w:tr>
      <w:tr>
        <w:trPr>
          <w:trHeight w:val="17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25,651</w:t>
            </w:r>
          </w:p>
        </w:tc>
      </w:tr>
      <w:tr>
        <w:trPr>
          <w:trHeight w:val="18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64,175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49,917</w:t>
            </w: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75,753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75,568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34"/>
        </w:trPr>
        <w:tc>
          <w:tcPr>
            <w:tcW w:w="8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July 31,</w:t>
            </w:r>
          </w:p>
        </w:tc>
        <w:tc>
          <w:tcPr>
            <w:tcW w:w="260" w:type="dxa"/>
            <w:vAlign w:val="bottom"/>
          </w:tcPr>
          <w:p>
            <w:pPr>
              <w:spacing w:after="0"/>
              <w:rPr>
                <w:sz w:val="11"/>
                <w:szCs w:val="11"/>
                <w:color w:val="auto"/>
              </w:rPr>
            </w:pPr>
          </w:p>
        </w:tc>
        <w:tc>
          <w:tcPr>
            <w:tcW w:w="1180" w:type="dxa"/>
            <w:vAlign w:val="bottom"/>
          </w:tcPr>
          <w:p>
            <w:pPr>
              <w:jc w:val="right"/>
              <w:ind w:right="368"/>
              <w:spacing w:after="0" w:line="135" w:lineRule="exact"/>
              <w:rPr>
                <w:sz w:val="20"/>
                <w:szCs w:val="20"/>
                <w:color w:val="auto"/>
              </w:rPr>
            </w:pPr>
            <w:r>
              <w:rPr>
                <w:rFonts w:ascii="Arial" w:cs="Arial" w:eastAsia="Arial" w:hAnsi="Arial"/>
                <w:sz w:val="14"/>
                <w:szCs w:val="14"/>
                <w:b w:val="1"/>
                <w:bCs w:val="1"/>
                <w:color w:val="auto"/>
              </w:rPr>
              <w:t>August 1,</w:t>
            </w:r>
          </w:p>
        </w:tc>
        <w:tc>
          <w:tcPr>
            <w:tcW w:w="0" w:type="dxa"/>
            <w:vAlign w:val="bottom"/>
          </w:tcPr>
          <w:p>
            <w:pPr>
              <w:spacing w:after="0"/>
              <w:rPr>
                <w:sz w:val="1"/>
                <w:szCs w:val="1"/>
                <w:color w:val="auto"/>
              </w:rPr>
            </w:pPr>
          </w:p>
        </w:tc>
      </w:tr>
      <w:tr>
        <w:trPr>
          <w:trHeight w:val="188"/>
        </w:trPr>
        <w:tc>
          <w:tcPr>
            <w:tcW w:w="8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color w:val="auto"/>
              </w:rPr>
              <w:t>Cash paid for income taxes, net</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3,009</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Supplemental disclosure of non-cash activity</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color w:val="auto"/>
              </w:rPr>
              <w:t>Non-cash operating, investing, and financing activities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common stock</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0" w:type="dxa"/>
            <w:vAlign w:val="bottom"/>
          </w:tcPr>
          <w:p>
            <w:pPr>
              <w:ind w:left="460"/>
              <w:spacing w:after="0"/>
              <w:rPr>
                <w:sz w:val="20"/>
                <w:szCs w:val="20"/>
                <w:color w:val="auto"/>
              </w:rPr>
            </w:pPr>
            <w:r>
              <w:rPr>
                <w:rFonts w:ascii="Arial" w:cs="Arial" w:eastAsia="Arial" w:hAnsi="Arial"/>
                <w:sz w:val="14"/>
                <w:szCs w:val="14"/>
                <w:color w:val="auto"/>
              </w:rPr>
              <w:t>Expenditures incurred but not yet paid as of July 31, 2021 and August 1, 2020</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Expenditures incurred but not yet paid as of January 30, 2021 and February 1, 2020</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2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8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Expenditures incurred but not yet paid as of July 31, 2021 and August 1, 2020</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4"/>
                <w:szCs w:val="14"/>
                <w:color w:val="auto"/>
              </w:rPr>
              <w:t>Expenditures incurred but not yet paid as of January 30, 2021 and February 1, 2020</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00" w:type="dxa"/>
            <w:vAlign w:val="bottom"/>
            <w:vMerge w:val="continue"/>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 to Note 3 herein for supplemental cash flow information regarding the Company’s leases.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107" w:lineRule="exact"/>
        <w:rPr>
          <w:rFonts w:ascii="Arial" w:cs="Arial" w:eastAsia="Arial" w:hAnsi="Arial"/>
          <w:sz w:val="18"/>
          <w:szCs w:val="18"/>
          <w:b w:val="1"/>
          <w:bCs w:val="1"/>
          <w:color w:val="auto"/>
        </w:rPr>
      </w:pPr>
    </w:p>
    <w:p>
      <w:pPr>
        <w:ind w:left="6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 “Company” refers to Vera Bradley, Inc. and its wholly and majority owned subsidiaries, except where the context requires otherwise or where otherwise indicated.</w:t>
      </w:r>
    </w:p>
    <w:p>
      <w:pPr>
        <w:spacing w:after="0" w:line="35" w:lineRule="exact"/>
        <w:rPr>
          <w:rFonts w:ascii="Arial" w:cs="Arial" w:eastAsia="Arial" w:hAnsi="Arial"/>
          <w:sz w:val="18"/>
          <w:szCs w:val="18"/>
          <w:b w:val="1"/>
          <w:bCs w:val="1"/>
          <w:color w:val="auto"/>
        </w:rPr>
      </w:pPr>
    </w:p>
    <w:p>
      <w:pPr>
        <w:ind w:left="6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Vera Bradley, Inc. operates two unique lifestyle brands – Vera Bradley and Pura Vida. We believe Vera Bradley and Pura Vida are complementary businesses, both with devoted, emotionally-connected, and multi-generational female customer bases; alignment as causal,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66" w:lineRule="exact"/>
        <w:rPr>
          <w:rFonts w:ascii="Arial" w:cs="Arial" w:eastAsia="Arial" w:hAnsi="Arial"/>
          <w:sz w:val="18"/>
          <w:szCs w:val="18"/>
          <w:b w:val="1"/>
          <w:bCs w:val="1"/>
          <w:color w:val="auto"/>
        </w:rPr>
      </w:pPr>
    </w:p>
    <w:p>
      <w:pPr>
        <w:ind w:left="660"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62" w:lineRule="exact"/>
        <w:rPr>
          <w:rFonts w:ascii="Arial" w:cs="Arial" w:eastAsia="Arial" w:hAnsi="Arial"/>
          <w:sz w:val="18"/>
          <w:szCs w:val="18"/>
          <w:b w:val="1"/>
          <w:bCs w:val="1"/>
          <w:color w:val="auto"/>
        </w:rPr>
      </w:pPr>
    </w:p>
    <w:p>
      <w:pPr>
        <w:ind w:left="660" w:right="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In July 2019, Vera Bradley, Inc. acquired a 75% interest in Creative Genius, Inc., which also operates under the name Pura Vida Bracelets (“Pura Vida”). Pura Vida, based in La Jolla, California, is a rapidly growing, digitally native lifestyle brand that we believe deeply resonates with its loyal consumer following. The Pura Vida brand has a differentiated and expanding offering of bracelets, jewelry, and other lifestyle accessories.</w:t>
      </w:r>
    </w:p>
    <w:p>
      <w:pPr>
        <w:spacing w:after="0" w:line="1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Company has three reportable segments: Vera Bradley Direct (“VB Direct”), Vera Bradley Indirect (“VB Indirect”), and Pura Vida.</w:t>
      </w:r>
    </w:p>
    <w:p>
      <w:pPr>
        <w:spacing w:after="0" w:line="115" w:lineRule="exact"/>
        <w:rPr>
          <w:rFonts w:ascii="Arial" w:cs="Arial" w:eastAsia="Arial" w:hAnsi="Arial"/>
          <w:sz w:val="18"/>
          <w:szCs w:val="18"/>
          <w:b w:val="1"/>
          <w:bCs w:val="1"/>
          <w:color w:val="auto"/>
        </w:rPr>
      </w:pPr>
    </w:p>
    <w:p>
      <w:pPr>
        <w:ind w:left="980" w:right="200" w:hanging="324"/>
        <w:spacing w:after="0" w:line="259" w:lineRule="auto"/>
        <w:tabs>
          <w:tab w:leader="none" w:pos="97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VB Direct business consists of sales of Vera Bradley products through Vera Bradley full-line and factory outlet stores in the United States; verabradley.com; the Vera Bradley online outlet site; and typically the Vera Bradley annual outlet sale in Fort Wayne, Indiana. As of July 31, 2021, the Company operated 72 full-line stores and 73 factory outlet stores. In light of the COVID-19 pandemic, the Company cancelled its calendar year 2021 and 2020 annual outlet sales.</w:t>
      </w:r>
    </w:p>
    <w:p>
      <w:pPr>
        <w:spacing w:after="0" w:line="65" w:lineRule="exact"/>
        <w:rPr>
          <w:rFonts w:ascii="Arial" w:cs="Arial" w:eastAsia="Arial" w:hAnsi="Arial"/>
          <w:sz w:val="18"/>
          <w:szCs w:val="18"/>
          <w:color w:val="auto"/>
        </w:rPr>
      </w:pPr>
    </w:p>
    <w:p>
      <w:pPr>
        <w:ind w:left="980" w:right="300" w:hanging="324"/>
        <w:spacing w:after="0" w:line="286" w:lineRule="auto"/>
        <w:tabs>
          <w:tab w:leader="none" w:pos="975"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VB Indirect business consists of sales of Vera Bradley products to approximately 2,000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30" w:lineRule="exact"/>
        <w:rPr>
          <w:rFonts w:ascii="Arial" w:cs="Arial" w:eastAsia="Arial" w:hAnsi="Arial"/>
          <w:sz w:val="17"/>
          <w:szCs w:val="17"/>
          <w:color w:val="auto"/>
        </w:rPr>
      </w:pPr>
    </w:p>
    <w:p>
      <w:pPr>
        <w:ind w:left="980" w:right="80" w:hanging="324"/>
        <w:spacing w:after="0" w:line="263" w:lineRule="auto"/>
        <w:tabs>
          <w:tab w:leader="none" w:pos="97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Pura Vida segment represents revenues generated through the Pura Vida websites, www.puravidabracelets.com, www.puravidabracelets.eu, and www.puravidabracelets.ca, and through the distribution of Pura Vida-branded products to wholesale retailers, substantially all of which are located in the United States.</w:t>
      </w:r>
    </w:p>
    <w:p>
      <w:pPr>
        <w:spacing w:after="0" w:line="62"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January 30, 2021, filed with the SEC.</w:t>
      </w:r>
    </w:p>
    <w:p>
      <w:pPr>
        <w:spacing w:after="0" w:line="71" w:lineRule="exact"/>
        <w:rPr>
          <w:sz w:val="20"/>
          <w:szCs w:val="20"/>
          <w:color w:val="auto"/>
        </w:rPr>
      </w:pPr>
    </w:p>
    <w:p>
      <w:pPr>
        <w:ind w:left="660" w:right="120"/>
        <w:spacing w:after="0" w:line="257" w:lineRule="auto"/>
        <w:rPr>
          <w:sz w:val="20"/>
          <w:szCs w:val="20"/>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twenty-six weeks ended July 31, 2021, are not necessarily indicative of the results to be expected for the full fiscal year. Further, the Company cannot predict the future impact that the COVID-19 pandemic and related matters could have on its future liquidity, operating results, and financial condition, but it could have a significant adverse affect on these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its wholly owned subsidiaries, and its majority owned subsidiary, Pura Vida. The Company has eliminated intercompany balances and transactions in consolidation.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108"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The Company’s fiscal year ends on the Saturday closest to January 31. References to the fiscal quarters ended July 31, 2021 and August 1, 2020 refer to the thirteen week periods ended on those dates.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08" w:lineRule="exact"/>
        <w:rPr>
          <w:sz w:val="20"/>
          <w:szCs w:val="20"/>
          <w:color w:val="auto"/>
        </w:rPr>
      </w:pPr>
    </w:p>
    <w:p>
      <w:pPr>
        <w:ind w:left="660" w:right="120"/>
        <w:spacing w:after="0" w:line="27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this update remove certain exceptions to the general principals in Topic 740, as well as simplify GAAP for certain areas and improve consistency within the topic. This guidance is effective for interim and annual periods beginning on or after December 15, 2020 (fiscal 2022). Early adoption is permitted, with all amendments required to be adopted in the same period. The adoption of this standard in the first quarter of fiscal 2022 did not have a material impact on the Company's consolidated financial statements.</w:t>
      </w:r>
    </w:p>
    <w:p>
      <w:pPr>
        <w:spacing w:after="0" w:line="19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5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Disaggregation of Revenue</w:t>
      </w:r>
    </w:p>
    <w:p>
      <w:pPr>
        <w:spacing w:after="0" w:line="107"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presents the Company's net revenues disaggregated by product category for the thirteen and twenty-six weeks ended July 31, 2021 and August 1, 2020 (in thousands):</w:t>
      </w:r>
    </w:p>
    <w:p>
      <w:pPr>
        <w:spacing w:after="0" w:line="6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July 31, 2021</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0" w:lineRule="exact"/>
              <w:rPr>
                <w:sz w:val="20"/>
                <w:szCs w:val="20"/>
                <w:color w:val="auto"/>
              </w:rPr>
            </w:pPr>
            <w:r>
              <w:rPr>
                <w:rFonts w:ascii="Arial" w:cs="Arial" w:eastAsia="Arial" w:hAnsi="Arial"/>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Bags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41,250</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8,883</w:t>
            </w:r>
          </w:p>
        </w:tc>
        <w:tc>
          <w:tcPr>
            <w:tcW w:w="32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574</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50,707</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23,837</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27,162</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18,298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2,597</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30,448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51,343</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line="230" w:lineRule="exact"/>
              <w:rPr>
                <w:sz w:val="20"/>
                <w:szCs w:val="20"/>
                <w:color w:val="auto"/>
              </w:rPr>
            </w:pPr>
            <w:r>
              <w:rPr>
                <w:rFonts w:ascii="Arial" w:cs="Arial" w:eastAsia="Arial" w:hAnsi="Arial"/>
                <w:sz w:val="18"/>
                <w:szCs w:val="18"/>
                <w:color w:val="auto"/>
              </w:rPr>
              <w:t>Apparel/Footwear</w:t>
            </w:r>
            <w:r>
              <w:rPr>
                <w:rFonts w:ascii="Arial" w:cs="Arial" w:eastAsia="Arial" w:hAnsi="Arial"/>
                <w:sz w:val="23"/>
                <w:szCs w:val="23"/>
                <w:color w:val="auto"/>
                <w:vertAlign w:val="superscript"/>
              </w:rPr>
              <w:t>(6)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97,138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16,832</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33,078</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147,048</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Primarily includes net revenues from stationery, freight, and gift card breakage.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and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840" w:hanging="6"/>
        <w:spacing w:after="0" w:line="234" w:lineRule="auto"/>
        <w:tabs>
          <w:tab w:leader="none" w:pos="935" w:val="left"/>
        </w:tabs>
        <w:numPr>
          <w:ilvl w:val="0"/>
          <w:numId w:val="6"/>
        </w:numPr>
        <w:rPr>
          <w:rFonts w:ascii="Arial" w:cs="Arial" w:eastAsia="Arial" w:hAnsi="Arial"/>
          <w:sz w:val="18"/>
          <w:szCs w:val="18"/>
          <w:color w:val="auto"/>
        </w:rPr>
      </w:pPr>
      <w:r>
        <w:rPr>
          <w:rFonts w:ascii="Arial" w:cs="Arial" w:eastAsia="Arial" w:hAnsi="Arial"/>
          <w:sz w:val="18"/>
          <w:szCs w:val="18"/>
          <w:color w:val="auto"/>
        </w:rPr>
        <w:t>$15.9 million of net revenues related to product sales recognized at a point in time and $0.9 million of net revenues related to sales-based royalties recognized over time.</w:t>
      </w:r>
    </w:p>
    <w:p>
      <w:pPr>
        <w:spacing w:after="0" w:line="1"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mask sales.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August 1, 2020</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0" w:lineRule="exact"/>
              <w:rPr>
                <w:sz w:val="20"/>
                <w:szCs w:val="20"/>
                <w:color w:val="auto"/>
              </w:rPr>
            </w:pPr>
            <w:r>
              <w:rPr>
                <w:rFonts w:ascii="Arial" w:cs="Arial" w:eastAsia="Arial" w:hAnsi="Arial"/>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Bags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29,060</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7,183</w:t>
            </w:r>
          </w:p>
        </w:tc>
        <w:tc>
          <w:tcPr>
            <w:tcW w:w="32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36,243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16,127</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13,027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2,238</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31,080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46,345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line="230" w:lineRule="exact"/>
              <w:rPr>
                <w:sz w:val="20"/>
                <w:szCs w:val="20"/>
                <w:color w:val="auto"/>
              </w:rPr>
            </w:pPr>
            <w:r>
              <w:rPr>
                <w:rFonts w:ascii="Arial" w:cs="Arial" w:eastAsia="Arial" w:hAnsi="Arial"/>
                <w:sz w:val="18"/>
                <w:szCs w:val="18"/>
                <w:color w:val="auto"/>
              </w:rPr>
              <w:t>Apparel/Footwear</w:t>
            </w:r>
            <w:r>
              <w:rPr>
                <w:rFonts w:ascii="Arial" w:cs="Arial" w:eastAsia="Arial" w:hAnsi="Arial"/>
                <w:sz w:val="23"/>
                <w:szCs w:val="23"/>
                <w:color w:val="auto"/>
                <w:vertAlign w:val="superscript"/>
              </w:rPr>
              <w:t>(6)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15,901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4,680</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20,819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81,233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17,730</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32,807</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131,770</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freight, stationery, and gift card breakage.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and merchandising.</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120" w:hanging="6"/>
        <w:spacing w:after="0" w:line="234" w:lineRule="auto"/>
        <w:tabs>
          <w:tab w:leader="none" w:pos="935" w:val="left"/>
        </w:tabs>
        <w:numPr>
          <w:ilvl w:val="0"/>
          <w:numId w:val="7"/>
        </w:numPr>
        <w:rPr>
          <w:rFonts w:ascii="Arial" w:cs="Arial" w:eastAsia="Arial" w:hAnsi="Arial"/>
          <w:sz w:val="18"/>
          <w:szCs w:val="18"/>
          <w:color w:val="auto"/>
        </w:rPr>
      </w:pPr>
      <w:r>
        <w:rPr>
          <w:rFonts w:ascii="Arial" w:cs="Arial" w:eastAsia="Arial" w:hAnsi="Arial"/>
          <w:sz w:val="18"/>
          <w:szCs w:val="18"/>
          <w:color w:val="auto"/>
        </w:rPr>
        <w:t>$17.2 million of net revenues related to product sales recognized at a point in time and $0.5 million of net revenues related to sales-based royalties recognized over time.</w:t>
      </w:r>
    </w:p>
    <w:p>
      <w:pPr>
        <w:spacing w:after="0" w:line="1"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mask sales.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Twenty-Six Weeks Ended</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July 31, 2021</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0" w:lineRule="exact"/>
              <w:rPr>
                <w:sz w:val="20"/>
                <w:szCs w:val="20"/>
                <w:color w:val="auto"/>
              </w:rPr>
            </w:pPr>
            <w:r>
              <w:rPr>
                <w:rFonts w:ascii="Arial" w:cs="Arial" w:eastAsia="Arial" w:hAnsi="Arial"/>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Bags</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67,688</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16,933</w:t>
            </w:r>
          </w:p>
        </w:tc>
        <w:tc>
          <w:tcPr>
            <w:tcW w:w="320" w:type="dxa"/>
            <w:vAlign w:val="bottom"/>
          </w:tcPr>
          <w:p>
            <w:pPr>
              <w:spacing w:after="0"/>
              <w:rPr>
                <w:sz w:val="19"/>
                <w:szCs w:val="19"/>
                <w:color w:val="auto"/>
              </w:rPr>
            </w:pPr>
          </w:p>
        </w:tc>
        <w:tc>
          <w:tcPr>
            <w:tcW w:w="680" w:type="dxa"/>
            <w:vAlign w:val="bottom"/>
          </w:tcPr>
          <w:p>
            <w:pPr>
              <w:jc w:val="right"/>
              <w:ind w:right="47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574</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85,195</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44,908</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30,159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4,824</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55,959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90,942</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17,341</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line="230" w:lineRule="exact"/>
              <w:rPr>
                <w:sz w:val="20"/>
                <w:szCs w:val="20"/>
                <w:color w:val="auto"/>
              </w:rPr>
            </w:pPr>
            <w:r>
              <w:rPr>
                <w:rFonts w:ascii="Arial" w:cs="Arial" w:eastAsia="Arial" w:hAnsi="Arial"/>
                <w:sz w:val="18"/>
                <w:szCs w:val="18"/>
                <w:color w:val="auto"/>
              </w:rPr>
              <w:t>Apparel/Footwear</w:t>
            </w:r>
            <w:r>
              <w:rPr>
                <w:rFonts w:ascii="Arial" w:cs="Arial" w:eastAsia="Arial" w:hAnsi="Arial"/>
                <w:sz w:val="23"/>
                <w:szCs w:val="23"/>
                <w:color w:val="auto"/>
                <w:vertAlign w:val="superscript"/>
              </w:rPr>
              <w:t>(6)</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7,855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851</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10,490</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163,870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32,096</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8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60,176</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256,142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includes net revenues from stationery, freight, and gift card breakage.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and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120" w:hanging="6"/>
        <w:spacing w:after="0" w:line="234" w:lineRule="auto"/>
        <w:tabs>
          <w:tab w:leader="none" w:pos="935" w:val="left"/>
        </w:tabs>
        <w:numPr>
          <w:ilvl w:val="0"/>
          <w:numId w:val="8"/>
        </w:numPr>
        <w:rPr>
          <w:rFonts w:ascii="Arial" w:cs="Arial" w:eastAsia="Arial" w:hAnsi="Arial"/>
          <w:sz w:val="18"/>
          <w:szCs w:val="18"/>
          <w:color w:val="auto"/>
        </w:rPr>
      </w:pPr>
      <w:r>
        <w:rPr>
          <w:rFonts w:ascii="Arial" w:cs="Arial" w:eastAsia="Arial" w:hAnsi="Arial"/>
          <w:sz w:val="18"/>
          <w:szCs w:val="18"/>
          <w:color w:val="auto"/>
        </w:rPr>
        <w:t>$30.4 million of net revenues related to product sales recognized at a point in time and $1.7 million of net revenues related to sales-based royalties recognized over time.</w:t>
      </w:r>
    </w:p>
    <w:p>
      <w:pPr>
        <w:spacing w:after="0" w:line="1"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mask sales.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21"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Twenty-Six Weeks Ended</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August 1, 2020</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0" w:lineRule="exact"/>
              <w:rPr>
                <w:sz w:val="20"/>
                <w:szCs w:val="20"/>
                <w:color w:val="auto"/>
              </w:rPr>
            </w:pPr>
            <w:r>
              <w:rPr>
                <w:rFonts w:ascii="Arial" w:cs="Arial" w:eastAsia="Arial" w:hAnsi="Arial"/>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Bags</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45,551</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11,783</w:t>
            </w:r>
          </w:p>
        </w:tc>
        <w:tc>
          <w:tcPr>
            <w:tcW w:w="320" w:type="dxa"/>
            <w:vAlign w:val="bottom"/>
          </w:tcPr>
          <w:p>
            <w:pPr>
              <w:spacing w:after="0"/>
              <w:rPr>
                <w:sz w:val="19"/>
                <w:szCs w:val="19"/>
                <w:color w:val="auto"/>
              </w:rPr>
            </w:pPr>
          </w:p>
        </w:tc>
        <w:tc>
          <w:tcPr>
            <w:tcW w:w="680" w:type="dxa"/>
            <w:vAlign w:val="bottom"/>
          </w:tcPr>
          <w:p>
            <w:pPr>
              <w:jc w:val="right"/>
              <w:ind w:right="47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57,334</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23,194</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20,274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3,560</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51,619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75,453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9,903</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line="230" w:lineRule="exact"/>
              <w:rPr>
                <w:sz w:val="20"/>
                <w:szCs w:val="20"/>
                <w:color w:val="auto"/>
              </w:rPr>
            </w:pPr>
            <w:r>
              <w:rPr>
                <w:rFonts w:ascii="Arial" w:cs="Arial" w:eastAsia="Arial" w:hAnsi="Arial"/>
                <w:sz w:val="18"/>
                <w:szCs w:val="18"/>
                <w:color w:val="auto"/>
              </w:rPr>
              <w:t>Apparel/Footwear</w:t>
            </w:r>
            <w:r>
              <w:rPr>
                <w:rFonts w:ascii="Arial" w:cs="Arial" w:eastAsia="Arial" w:hAnsi="Arial"/>
                <w:sz w:val="23"/>
                <w:szCs w:val="23"/>
                <w:color w:val="auto"/>
                <w:vertAlign w:val="superscript"/>
              </w:rPr>
              <w:t>(6)</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16,723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6,580</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23,541</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118,070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28,959</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8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54,025</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201,054</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includes net revenues from stationery, freight, and gift card breakage.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and merchandising.</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840" w:hanging="6"/>
        <w:spacing w:after="0" w:line="234" w:lineRule="auto"/>
        <w:tabs>
          <w:tab w:leader="none" w:pos="935" w:val="left"/>
        </w:tabs>
        <w:numPr>
          <w:ilvl w:val="0"/>
          <w:numId w:val="9"/>
        </w:numPr>
        <w:rPr>
          <w:rFonts w:ascii="Arial" w:cs="Arial" w:eastAsia="Arial" w:hAnsi="Arial"/>
          <w:sz w:val="18"/>
          <w:szCs w:val="18"/>
          <w:color w:val="auto"/>
        </w:rPr>
      </w:pPr>
      <w:r>
        <w:rPr>
          <w:rFonts w:ascii="Arial" w:cs="Arial" w:eastAsia="Arial" w:hAnsi="Arial"/>
          <w:sz w:val="18"/>
          <w:szCs w:val="18"/>
          <w:color w:val="auto"/>
        </w:rPr>
        <w:t>$27.9 million of net revenues related to product sales recognized at a point in time and $1.1 million of net revenues related to sales-based royalties recognized over time.</w:t>
      </w:r>
    </w:p>
    <w:p>
      <w:pPr>
        <w:spacing w:after="0" w:line="1" w:lineRule="exact"/>
        <w:rPr>
          <w:rFonts w:ascii="Arial" w:cs="Arial" w:eastAsia="Arial" w:hAnsi="Arial"/>
          <w:sz w:val="18"/>
          <w:szCs w:val="18"/>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mask sales.</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Balances</w:t>
      </w:r>
    </w:p>
    <w:p>
      <w:pPr>
        <w:spacing w:after="0" w:line="108"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Contract liabilities as of July 31, 2021 and January 30, 2021, were $3.6 million and $4.1 million, respectively. The balance as of July 31, 2021 and January 30, 2021 consisted of unearned revenue related to the monthly bracelet and jewelry clubs of the Pura Vida segment, unredeemed gift cards, Pura Vida loyalty club points, Pura Vida customer deposits and payments collected before shipment, and an immaterial amount of unearned revenue for pre-payments of royalties in certain of the Company’s licensing arrangements. These contract liabilities are recognized within other accrued liabilities on the Company’s Condensed Consolidated Balance Sheets. Substantially all contract liabilities are recognized within one year. The Company did not have contract assets as of July 31, 2021 and January 30, 2021.</w:t>
      </w:r>
    </w:p>
    <w:p>
      <w:pPr>
        <w:spacing w:after="0" w:line="56"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The balance for accounts receivable from contracts with customers, net of allowances, as of July 31, 2021 and January 30, 2021, was $28.7 million and $26.0 million, respectively, which is recognized within accounts receivable, net, on the Company’s Condensed Consolidated Balance Sheets. The provision for doubtful accounts was $1.1 million as of July 31, 2021 and January 30, 2021. The provision for doubtful accounts is based upon the likelihood of default expected during the life of the receivable.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Obligations</w:t>
      </w:r>
    </w:p>
    <w:p>
      <w:pPr>
        <w:spacing w:after="0" w:line="9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Remaining Performance Obligations</w:t>
      </w:r>
    </w:p>
    <w:p>
      <w:pPr>
        <w:spacing w:after="0" w:line="10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does not have remaining performance obligations in excess of one year or contracts that it does not have the right to invoice as of July 31, 2021.</w:t>
      </w:r>
    </w:p>
    <w:p>
      <w:pPr>
        <w:spacing w:after="0" w:line="19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94" w:lineRule="exact"/>
        <w:rPr>
          <w:rFonts w:ascii="Arial" w:cs="Arial" w:eastAsia="Arial" w:hAnsi="Arial"/>
          <w:sz w:val="18"/>
          <w:szCs w:val="18"/>
          <w:b w:val="1"/>
          <w:bCs w:val="1"/>
          <w:color w:val="auto"/>
        </w:rPr>
      </w:pPr>
    </w:p>
    <w:p>
      <w:pPr>
        <w:ind w:left="6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the prior-year, the Company temporarily closed its full-line and factory outlet stores beginning on March 19, 2020, due to the COVID-19 pandemic, for various lengths of time (from several weeks to several months). The stores began to re-open on May 5, 2020, with substantially all stores open by the end of July 2020. All of the Company's stores were open during the first six months of the current-year. As a result of the temporary closures in the prior-year,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800"/>
        <w:spacing w:after="0" w:line="352" w:lineRule="auto"/>
        <w:rPr>
          <w:sz w:val="20"/>
          <w:szCs w:val="20"/>
          <w:color w:val="auto"/>
        </w:rPr>
      </w:pPr>
      <w:r>
        <w:rPr>
          <w:rFonts w:ascii="Arial" w:cs="Arial" w:eastAsia="Arial" w:hAnsi="Arial"/>
          <w:sz w:val="18"/>
          <w:szCs w:val="18"/>
          <w:color w:val="auto"/>
        </w:rPr>
        <w:t xml:space="preserve">certain rent payments were deferred. An immaterial amount of rent abatements were received during the current and prior-year periods. </w:t>
      </w:r>
      <w:r>
        <w:rPr>
          <w:rFonts w:ascii="Arial" w:cs="Arial" w:eastAsia="Arial" w:hAnsi="Arial"/>
          <w:sz w:val="18"/>
          <w:szCs w:val="18"/>
          <w:i w:val="1"/>
          <w:iCs w:val="1"/>
          <w:color w:val="auto"/>
        </w:rPr>
        <w:t>Discount Rate</w:t>
      </w:r>
    </w:p>
    <w:p>
      <w:pPr>
        <w:ind w:left="660"/>
        <w:spacing w:after="0" w:line="263" w:lineRule="auto"/>
        <w:rPr>
          <w:sz w:val="20"/>
          <w:szCs w:val="20"/>
          <w:color w:val="auto"/>
        </w:rPr>
      </w:pPr>
      <w:r>
        <w:rPr>
          <w:rFonts w:ascii="Arial" w:cs="Arial" w:eastAsia="Arial" w:hAnsi="Arial"/>
          <w:sz w:val="18"/>
          <w:szCs w:val="18"/>
          <w:color w:val="auto"/>
        </w:rPr>
        <w:t>The weighted-average discount rate as of July 31, 2021, and August 1, 2020 was 4.7% and 5.0%, respectively. The discount rate is not readily determinable in the lease; therefore, the Company estimated the incremental borrowing rate, at the commencement date of each lease, which is the rate of interest it would have to borrow on a collateralized basis over a similar term with similar payments.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 Not Yet Commenced</w:t>
      </w:r>
    </w:p>
    <w:p>
      <w:pPr>
        <w:spacing w:after="0" w:line="108"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As of July 31, 2021, the Company had two retail store leases which were executed, but did not have control of the underlying assets; therefore, the lease liability and right-of-use asset are not recorded on the Condensed Consolidated Balance Sheet. These leases contain undiscounted lease payments, which will be included in the determination of the lease liability, totaling approximately $3.9 million and have terms of approximately 10 years commencing in fiscal years 2022 and 2023.</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Amounts Recognized in the Condensed Consolidated Financial Statements</w:t>
      </w:r>
    </w:p>
    <w:p>
      <w:pPr>
        <w:spacing w:after="0" w:line="94" w:lineRule="exact"/>
        <w:rPr>
          <w:sz w:val="20"/>
          <w:szCs w:val="20"/>
          <w:color w:val="auto"/>
        </w:rPr>
      </w:pPr>
    </w:p>
    <w:p>
      <w:pPr>
        <w:jc w:val="both"/>
        <w:ind w:left="660" w:right="80"/>
        <w:spacing w:after="0" w:line="286" w:lineRule="auto"/>
        <w:rPr>
          <w:sz w:val="20"/>
          <w:szCs w:val="20"/>
          <w:color w:val="auto"/>
        </w:rPr>
      </w:pPr>
      <w:r>
        <w:rPr>
          <w:rFonts w:ascii="Arial" w:cs="Arial" w:eastAsia="Arial" w:hAnsi="Arial"/>
          <w:sz w:val="17"/>
          <w:szCs w:val="17"/>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and twenty-six weeks ended July 31, 2021 and August 1, 2020 (in thousands):</w:t>
      </w:r>
    </w:p>
    <w:p>
      <w:pPr>
        <w:spacing w:after="0" w:line="7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3800" w:type="dxa"/>
            <w:vAlign w:val="bottom"/>
            <w:gridSpan w:val="6"/>
          </w:tcPr>
          <w:p>
            <w:pPr>
              <w:ind w:left="1140"/>
              <w:spacing w:after="0"/>
              <w:rPr>
                <w:sz w:val="20"/>
                <w:szCs w:val="20"/>
                <w:color w:val="auto"/>
              </w:rPr>
            </w:pPr>
            <w:r>
              <w:rPr>
                <w:rFonts w:ascii="Arial" w:cs="Arial" w:eastAsia="Arial" w:hAnsi="Arial"/>
                <w:sz w:val="14"/>
                <w:szCs w:val="14"/>
                <w:b w:val="1"/>
                <w:bCs w:val="1"/>
                <w:color w:val="auto"/>
              </w:rPr>
              <w:t>Thirteen Weeks Ended</w:t>
            </w:r>
          </w:p>
        </w:tc>
        <w:tc>
          <w:tcPr>
            <w:tcW w:w="300" w:type="dxa"/>
            <w:vAlign w:val="bottom"/>
          </w:tcPr>
          <w:p>
            <w:pPr>
              <w:spacing w:after="0"/>
              <w:rPr>
                <w:sz w:val="16"/>
                <w:szCs w:val="16"/>
                <w:color w:val="auto"/>
              </w:rPr>
            </w:pPr>
          </w:p>
        </w:tc>
        <w:tc>
          <w:tcPr>
            <w:tcW w:w="3380" w:type="dxa"/>
            <w:vAlign w:val="bottom"/>
            <w:gridSpan w:val="4"/>
          </w:tcPr>
          <w:p>
            <w:pPr>
              <w:jc w:val="right"/>
              <w:ind w:right="974"/>
              <w:spacing w:after="0"/>
              <w:rPr>
                <w:sz w:val="20"/>
                <w:szCs w:val="20"/>
                <w:color w:val="auto"/>
              </w:rPr>
            </w:pPr>
            <w:r>
              <w:rPr>
                <w:rFonts w:ascii="Arial" w:cs="Arial" w:eastAsia="Arial" w:hAnsi="Arial"/>
                <w:sz w:val="14"/>
                <w:szCs w:val="14"/>
                <w:b w:val="1"/>
                <w:bCs w:val="1"/>
                <w:color w:val="auto"/>
              </w:rPr>
              <w:t>Twenty-Six Weeks Ended</w:t>
            </w:r>
          </w:p>
        </w:tc>
      </w:tr>
      <w:tr>
        <w:trPr>
          <w:trHeight w:val="187"/>
        </w:trPr>
        <w:tc>
          <w:tcPr>
            <w:tcW w:w="228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July 31, 2021</w:t>
            </w: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August 1, 2020</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July 31, 2021</w:t>
            </w: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August 1, 2020</w:t>
            </w:r>
          </w:p>
        </w:tc>
      </w:tr>
      <w:tr>
        <w:trPr>
          <w:trHeight w:val="224"/>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300" w:type="dxa"/>
            <w:vAlign w:val="bottom"/>
            <w:tcBorders>
              <w:top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6,303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13,762</w:t>
            </w: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2,052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2,553</w:t>
            </w: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3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300" w:type="dxa"/>
            <w:vAlign w:val="bottom"/>
            <w:tcBorders>
              <w:bottom w:val="single" w:sz="8" w:color="auto"/>
            </w:tcBorders>
          </w:tcPr>
          <w:p>
            <w:pPr>
              <w:jc w:val="right"/>
              <w:ind w:right="11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8,404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16,460</w:t>
            </w:r>
          </w:p>
        </w:tc>
      </w:tr>
      <w:tr>
        <w:trPr>
          <w:trHeight w:val="20"/>
        </w:trPr>
        <w:tc>
          <w:tcPr>
            <w:tcW w:w="2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weighted-average remaining lease term as of July 31, 2021 and August 1, 2020 was 5.4 years and 5.7 years, respectively.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operating cash flow information was as follows (in thousands):</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4"/>
          </w:tcPr>
          <w:p>
            <w:pPr>
              <w:jc w:val="right"/>
              <w:ind w:right="1256"/>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July 31, 2021</w:t>
            </w:r>
          </w:p>
        </w:tc>
        <w:tc>
          <w:tcPr>
            <w:tcW w:w="340" w:type="dxa"/>
            <w:vAlign w:val="bottom"/>
          </w:tcPr>
          <w:p>
            <w:pPr>
              <w:spacing w:after="0"/>
              <w:rPr>
                <w:sz w:val="16"/>
                <w:szCs w:val="16"/>
                <w:color w:val="auto"/>
              </w:rPr>
            </w:pPr>
          </w:p>
        </w:tc>
        <w:tc>
          <w:tcPr>
            <w:tcW w:w="1720" w:type="dxa"/>
            <w:vAlign w:val="bottom"/>
          </w:tcPr>
          <w:p>
            <w:pPr>
              <w:jc w:val="right"/>
              <w:ind w:right="496"/>
              <w:spacing w:after="0"/>
              <w:rPr>
                <w:sz w:val="20"/>
                <w:szCs w:val="20"/>
                <w:color w:val="auto"/>
              </w:rPr>
            </w:pPr>
            <w:r>
              <w:rPr>
                <w:rFonts w:ascii="Arial" w:cs="Arial" w:eastAsia="Arial" w:hAnsi="Arial"/>
                <w:sz w:val="14"/>
                <w:szCs w:val="14"/>
                <w:b w:val="1"/>
                <w:bCs w:val="1"/>
                <w:color w:val="auto"/>
              </w:rPr>
              <w:t>August 1, 2020</w:t>
            </w:r>
          </w:p>
        </w:tc>
        <w:tc>
          <w:tcPr>
            <w:tcW w:w="0" w:type="dxa"/>
            <w:vAlign w:val="bottom"/>
          </w:tcPr>
          <w:p>
            <w:pPr>
              <w:spacing w:after="0"/>
              <w:rPr>
                <w:sz w:val="1"/>
                <w:szCs w:val="1"/>
                <w:color w:val="auto"/>
              </w:rPr>
            </w:pPr>
          </w:p>
        </w:tc>
      </w:tr>
      <w:tr>
        <w:trPr>
          <w:trHeight w:val="157"/>
        </w:trPr>
        <w:tc>
          <w:tcPr>
            <w:tcW w:w="566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w w:val="99"/>
              </w:rPr>
              <w:t>Cash paid for amounts included in the measurement of operating lease</w:t>
            </w:r>
          </w:p>
        </w:tc>
        <w:tc>
          <w:tcPr>
            <w:tcW w:w="36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18,327</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11,791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liabilities </w:t>
            </w:r>
            <w:r>
              <w:rPr>
                <w:rFonts w:ascii="Arial" w:cs="Arial" w:eastAsia="Arial" w:hAnsi="Arial"/>
                <w:sz w:val="23"/>
                <w:szCs w:val="23"/>
                <w:color w:val="auto"/>
                <w:vertAlign w:val="superscript"/>
              </w:rPr>
              <w:t>(1)</w:t>
            </w:r>
          </w:p>
        </w:tc>
        <w:tc>
          <w:tcPr>
            <w:tcW w:w="360" w:type="dxa"/>
            <w:vAlign w:val="bottom"/>
            <w:vMerge w:val="continue"/>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60" w:type="dxa"/>
            <w:vAlign w:val="bottom"/>
          </w:tcPr>
          <w:p>
            <w:pPr>
              <w:ind w:left="20"/>
              <w:spacing w:after="0" w:line="176" w:lineRule="exact"/>
              <w:rPr>
                <w:sz w:val="20"/>
                <w:szCs w:val="20"/>
                <w:color w:val="auto"/>
              </w:rPr>
            </w:pPr>
            <w:r>
              <w:rPr>
                <w:rFonts w:ascii="Arial" w:cs="Arial" w:eastAsia="Arial" w:hAnsi="Arial"/>
                <w:sz w:val="18"/>
                <w:szCs w:val="18"/>
                <w:color w:val="auto"/>
                <w:w w:val="92"/>
              </w:rPr>
              <w:t>Right-of-use assets increase as a result of new and modified operating lease</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7,961</w:t>
            </w:r>
          </w:p>
        </w:tc>
        <w:tc>
          <w:tcPr>
            <w:tcW w:w="10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liabilities, net</w:t>
            </w:r>
          </w:p>
        </w:tc>
        <w:tc>
          <w:tcPr>
            <w:tcW w:w="360" w:type="dxa"/>
            <w:vAlign w:val="bottom"/>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680" w:right="840" w:hanging="6"/>
        <w:spacing w:after="0" w:line="234" w:lineRule="auto"/>
        <w:tabs>
          <w:tab w:leader="none" w:pos="935" w:val="left"/>
        </w:tabs>
        <w:numPr>
          <w:ilvl w:val="1"/>
          <w:numId w:val="11"/>
        </w:numPr>
        <w:rPr>
          <w:rFonts w:ascii="Arial" w:cs="Arial" w:eastAsia="Arial" w:hAnsi="Arial"/>
          <w:sz w:val="18"/>
          <w:szCs w:val="18"/>
          <w:color w:val="auto"/>
        </w:rPr>
      </w:pPr>
      <w:r>
        <w:rPr>
          <w:rFonts w:ascii="Arial" w:cs="Arial" w:eastAsia="Arial" w:hAnsi="Arial"/>
          <w:sz w:val="18"/>
          <w:szCs w:val="18"/>
          <w:color w:val="auto"/>
        </w:rPr>
        <w:t>2.5 million of lease liabilities were recorded within accounts payable on the Company's Consolidated Balance Sheets as of January 30, 2021, and were paid in the first quarter of fiscal 2022.</w:t>
      </w:r>
    </w:p>
    <w:p>
      <w:pPr>
        <w:spacing w:after="0" w:line="306"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7" w:lineRule="exact"/>
        <w:rPr>
          <w:rFonts w:ascii="Arial" w:cs="Arial" w:eastAsia="Arial" w:hAnsi="Arial"/>
          <w:sz w:val="18"/>
          <w:szCs w:val="18"/>
          <w:b w:val="1"/>
          <w:bCs w:val="1"/>
          <w:color w:val="auto"/>
        </w:rPr>
      </w:pPr>
    </w:p>
    <w:p>
      <w:pPr>
        <w:ind w:left="660" w:right="1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60"/>
        <w:spacing w:after="0" w:line="270" w:lineRule="auto"/>
        <w:rPr>
          <w:sz w:val="20"/>
          <w:szCs w:val="20"/>
          <w:color w:val="auto"/>
        </w:rPr>
      </w:pPr>
      <w:r>
        <w:rPr>
          <w:rFonts w:ascii="Arial" w:cs="Arial" w:eastAsia="Arial" w:hAnsi="Arial"/>
          <w:sz w:val="17"/>
          <w:szCs w:val="17"/>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w:t>
      </w:r>
    </w:p>
    <w:p>
      <w:pPr>
        <w:spacing w:after="0" w:line="46"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As a result of this redemption feature, the Company recorded the noncontrolling interest as redeemable and classified it in temporary equity within its Condensed Consolidated Balance Sheets initially at its acquisition-date fair value. The noncontrolling interest is adjusted each reporting period for income (or loss) attributable to the noncontrolling interest. A measurement period adjustment, if any, is then made to adjust the noncontrolling interest to the higher of the redemption value or carrying value each reporting period. These adjustments are recognized through retained earnings and are not reflected in net income (loss) or net income attributable to Vera Bradley, Inc. When calculating earnings per share attributable to Vera Bradley, Inc., the Company adjusts the net income attributable to Vera Bradley, Inc. for the measurement period adjustment to the extent the redemption value exceeds the fair value of the noncontrolling interest on a cumulative basis.</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basic and diluted earnings per share were as follows (in thousands, except per share data):</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6"/>
                <w:szCs w:val="16"/>
                <w:color w:val="auto"/>
              </w:rPr>
            </w:pPr>
          </w:p>
        </w:tc>
        <w:tc>
          <w:tcPr>
            <w:tcW w:w="22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July 31,</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73"/>
              <w:spacing w:after="0" w:line="135" w:lineRule="exact"/>
              <w:rPr>
                <w:sz w:val="20"/>
                <w:szCs w:val="20"/>
                <w:color w:val="auto"/>
              </w:rPr>
            </w:pPr>
            <w:r>
              <w:rPr>
                <w:rFonts w:ascii="Arial" w:cs="Arial" w:eastAsia="Arial" w:hAnsi="Arial"/>
                <w:sz w:val="14"/>
                <w:szCs w:val="14"/>
                <w:b w:val="1"/>
                <w:bCs w:val="1"/>
                <w:color w:val="auto"/>
              </w:rPr>
              <w:t>August 1,</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July 31,</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13"/>
              <w:spacing w:after="0" w:line="135" w:lineRule="exact"/>
              <w:rPr>
                <w:sz w:val="20"/>
                <w:szCs w:val="20"/>
                <w:color w:val="auto"/>
              </w:rPr>
            </w:pPr>
            <w:r>
              <w:rPr>
                <w:rFonts w:ascii="Arial" w:cs="Arial" w:eastAsia="Arial" w:hAnsi="Arial"/>
                <w:sz w:val="14"/>
                <w:szCs w:val="14"/>
                <w:b w:val="1"/>
                <w:bCs w:val="1"/>
                <w:color w:val="auto"/>
              </w:rPr>
              <w:t>August 1,</w:t>
            </w:r>
          </w:p>
        </w:tc>
        <w:tc>
          <w:tcPr>
            <w:tcW w:w="0" w:type="dxa"/>
            <w:vAlign w:val="bottom"/>
          </w:tcPr>
          <w:p>
            <w:pPr>
              <w:spacing w:after="0"/>
              <w:rPr>
                <w:sz w:val="1"/>
                <w:szCs w:val="1"/>
                <w:color w:val="auto"/>
              </w:rPr>
            </w:pPr>
          </w:p>
        </w:tc>
      </w:tr>
      <w:tr>
        <w:trPr>
          <w:trHeight w:val="188"/>
        </w:trPr>
        <w:tc>
          <w:tcPr>
            <w:tcW w:w="49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9,857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8,339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175"/>
        </w:trPr>
        <w:tc>
          <w:tcPr>
            <w:tcW w:w="4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Net income attributable to redeemable noncontrolling</w:t>
            </w: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Arial" w:cs="Arial" w:eastAsia="Arial" w:hAnsi="Arial"/>
                <w:sz w:val="18"/>
                <w:szCs w:val="18"/>
                <w:color w:val="auto"/>
              </w:rPr>
              <w:t>Net income (loss) attributable to Vera Bradley, Inc.</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(8,121)</w:t>
            </w:r>
          </w:p>
        </w:tc>
        <w:tc>
          <w:tcPr>
            <w:tcW w:w="0" w:type="dxa"/>
            <w:vAlign w:val="bottom"/>
          </w:tcPr>
          <w:p>
            <w:pPr>
              <w:spacing w:after="0"/>
              <w:rPr>
                <w:sz w:val="1"/>
                <w:szCs w:val="1"/>
                <w:color w:val="auto"/>
              </w:rPr>
            </w:pPr>
          </w:p>
        </w:tc>
      </w:tr>
      <w:tr>
        <w:trPr>
          <w:trHeight w:val="176"/>
        </w:trPr>
        <w:tc>
          <w:tcPr>
            <w:tcW w:w="4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Plus: Excess portion of redeemable noncontrolling interest</w:t>
            </w:r>
          </w:p>
        </w:tc>
        <w:tc>
          <w:tcPr>
            <w:tcW w:w="2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 value adjustment</w:t>
            </w:r>
          </w:p>
        </w:tc>
        <w:tc>
          <w:tcPr>
            <w:tcW w:w="20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980" w:type="dxa"/>
            <w:vAlign w:val="bottom"/>
          </w:tcPr>
          <w:p>
            <w:pPr>
              <w:ind w:left="120"/>
              <w:spacing w:after="0" w:line="156" w:lineRule="exact"/>
              <w:rPr>
                <w:sz w:val="20"/>
                <w:szCs w:val="20"/>
                <w:color w:val="auto"/>
              </w:rPr>
            </w:pPr>
            <w:r>
              <w:rPr>
                <w:rFonts w:ascii="Arial" w:cs="Arial" w:eastAsia="Arial" w:hAnsi="Arial"/>
                <w:sz w:val="18"/>
                <w:szCs w:val="18"/>
                <w:color w:val="auto"/>
              </w:rPr>
              <w:t>Net income (loss) available to Vera Bradley, Inc. common</w:t>
            </w: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9,050</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14,016</w:t>
            </w:r>
          </w:p>
        </w:tc>
        <w:tc>
          <w:tcPr>
            <w:tcW w:w="10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6,905</w:t>
            </w:r>
          </w:p>
        </w:tc>
        <w:tc>
          <w:tcPr>
            <w:tcW w:w="10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(8,121)</w:t>
            </w:r>
          </w:p>
        </w:tc>
        <w:tc>
          <w:tcPr>
            <w:tcW w:w="0" w:type="dxa"/>
            <w:vAlign w:val="bottom"/>
          </w:tcPr>
          <w:p>
            <w:pPr>
              <w:spacing w:after="0"/>
              <w:rPr>
                <w:sz w:val="1"/>
                <w:szCs w:val="1"/>
                <w:color w:val="auto"/>
              </w:rPr>
            </w:pPr>
          </w:p>
        </w:tc>
      </w:tr>
      <w:tr>
        <w:trPr>
          <w:trHeight w:val="208"/>
        </w:trPr>
        <w:tc>
          <w:tcPr>
            <w:tcW w:w="4980" w:type="dxa"/>
            <w:vAlign w:val="bottom"/>
          </w:tcPr>
          <w:p>
            <w:pPr>
              <w:ind w:left="120"/>
              <w:spacing w:after="0" w:line="202" w:lineRule="exact"/>
              <w:rPr>
                <w:sz w:val="20"/>
                <w:szCs w:val="20"/>
                <w:color w:val="auto"/>
              </w:rPr>
            </w:pPr>
            <w:r>
              <w:rPr>
                <w:rFonts w:ascii="Arial" w:cs="Arial" w:eastAsia="Arial" w:hAnsi="Arial"/>
                <w:sz w:val="18"/>
                <w:szCs w:val="18"/>
                <w:color w:val="auto"/>
              </w:rPr>
              <w:t>shareholders</w:t>
            </w:r>
          </w:p>
        </w:tc>
        <w:tc>
          <w:tcPr>
            <w:tcW w:w="20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Denominator:</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33,367</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stock-based awards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Net income (loss) per share available to Vera Bradley, Inc.</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common shareholders: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For the thirteen weeks ended July 31, 2021 and August 1, 2020, and the twenty-six weeks ended July 31, 2021, there were an immaterial number of additional shares issuable upon the vesting of restricted stock units that were excluded from the diluted share calculations because they were anti-dilutive. For the twenty-six weeks ended August 1, 2020, all potential common shares were excluded from the diluted share calculation because they were anti-dilutive due to the net loss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7" w:lineRule="exact"/>
        <w:rPr>
          <w:rFonts w:ascii="Arial" w:cs="Arial" w:eastAsia="Arial" w:hAnsi="Arial"/>
          <w:sz w:val="18"/>
          <w:szCs w:val="18"/>
          <w:b w:val="1"/>
          <w:bCs w:val="1"/>
          <w:color w:val="auto"/>
        </w:rPr>
      </w:pPr>
    </w:p>
    <w:p>
      <w:pPr>
        <w:ind w:left="66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8" w:lineRule="exact"/>
        <w:rPr>
          <w:rFonts w:ascii="Arial" w:cs="Arial" w:eastAsia="Arial" w:hAnsi="Arial"/>
          <w:sz w:val="18"/>
          <w:szCs w:val="18"/>
          <w:b w:val="1"/>
          <w:bCs w:val="1"/>
          <w:color w:val="auto"/>
        </w:rPr>
      </w:pPr>
    </w:p>
    <w:p>
      <w:pPr>
        <w:ind w:left="980" w:hanging="324"/>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27"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The carrying amounts reflected on the Condensed Consolidated Balance Sheets for cash and cash equivalents, accounts receivable, other current assets, and accounts payable as of July 31, 2021 and January 30, 2021, approximated their fair values.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details the fair value measurements of the Company's investments as of July 31, 2021 and January 30, 2021 (in thousands):</w:t>
      </w:r>
    </w:p>
    <w:p>
      <w:pPr>
        <w:spacing w:after="0" w:line="6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5"/>
          </w:tcPr>
          <w:p>
            <w:pPr>
              <w:ind w:left="520"/>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6"/>
                <w:szCs w:val="16"/>
                <w:color w:val="auto"/>
              </w:rPr>
            </w:pPr>
          </w:p>
        </w:tc>
        <w:tc>
          <w:tcPr>
            <w:tcW w:w="1820" w:type="dxa"/>
            <w:vAlign w:val="bottom"/>
            <w:gridSpan w:val="5"/>
          </w:tcPr>
          <w:p>
            <w:pPr>
              <w:ind w:left="44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6"/>
                <w:szCs w:val="16"/>
                <w:color w:val="auto"/>
              </w:rPr>
            </w:pPr>
          </w:p>
        </w:tc>
        <w:tc>
          <w:tcPr>
            <w:tcW w:w="1680" w:type="dxa"/>
            <w:vAlign w:val="bottom"/>
            <w:gridSpan w:val="4"/>
          </w:tcPr>
          <w:p>
            <w:pPr>
              <w:ind w:left="4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10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July 31, 2021</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57"/>
              <w:spacing w:after="0" w:line="135"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1"/>
                <w:szCs w:val="11"/>
                <w:color w:val="auto"/>
              </w:rPr>
            </w:pPr>
          </w:p>
        </w:tc>
        <w:tc>
          <w:tcPr>
            <w:tcW w:w="1220" w:type="dxa"/>
            <w:vAlign w:val="bottom"/>
            <w:tcBorders>
              <w:top w:val="single" w:sz="8" w:color="auto"/>
            </w:tcBorders>
            <w:gridSpan w:val="4"/>
            <w:vMerge w:val="restart"/>
          </w:tcPr>
          <w:p>
            <w:pPr>
              <w:jc w:val="right"/>
              <w:ind w:right="230"/>
              <w:spacing w:after="0"/>
              <w:rPr>
                <w:sz w:val="20"/>
                <w:szCs w:val="20"/>
                <w:color w:val="auto"/>
              </w:rPr>
            </w:pPr>
            <w:r>
              <w:rPr>
                <w:rFonts w:ascii="Arial" w:cs="Arial" w:eastAsia="Arial" w:hAnsi="Arial"/>
                <w:sz w:val="14"/>
                <w:szCs w:val="14"/>
                <w:b w:val="1"/>
                <w:bCs w:val="1"/>
                <w:color w:val="auto"/>
              </w:rPr>
              <w:t>July 31, 2021</w:t>
            </w:r>
          </w:p>
        </w:tc>
        <w:tc>
          <w:tcPr>
            <w:tcW w:w="880" w:type="dxa"/>
            <w:vAlign w:val="bottom"/>
            <w:tcBorders>
              <w:top w:val="single" w:sz="8" w:color="auto"/>
            </w:tcBorders>
          </w:tcPr>
          <w:p>
            <w:pPr>
              <w:jc w:val="right"/>
              <w:ind w:right="57"/>
              <w:spacing w:after="0" w:line="135"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1"/>
                <w:szCs w:val="11"/>
                <w:color w:val="auto"/>
              </w:rPr>
            </w:pPr>
          </w:p>
        </w:tc>
        <w:tc>
          <w:tcPr>
            <w:tcW w:w="1220" w:type="dxa"/>
            <w:vAlign w:val="bottom"/>
            <w:tcBorders>
              <w:top w:val="single" w:sz="8" w:color="auto"/>
            </w:tcBorders>
            <w:gridSpan w:val="4"/>
            <w:vMerge w:val="restart"/>
          </w:tcPr>
          <w:p>
            <w:pPr>
              <w:jc w:val="right"/>
              <w:ind w:right="230"/>
              <w:spacing w:after="0"/>
              <w:rPr>
                <w:sz w:val="20"/>
                <w:szCs w:val="20"/>
                <w:color w:val="auto"/>
              </w:rPr>
            </w:pPr>
            <w:r>
              <w:rPr>
                <w:rFonts w:ascii="Arial" w:cs="Arial" w:eastAsia="Arial" w:hAnsi="Arial"/>
                <w:sz w:val="14"/>
                <w:szCs w:val="14"/>
                <w:b w:val="1"/>
                <w:bCs w:val="1"/>
                <w:color w:val="auto"/>
              </w:rPr>
              <w:t>July 31, 2021</w:t>
            </w:r>
          </w:p>
        </w:tc>
        <w:tc>
          <w:tcPr>
            <w:tcW w:w="880" w:type="dxa"/>
            <w:vAlign w:val="bottom"/>
            <w:tcBorders>
              <w:top w:val="single" w:sz="8" w:color="auto"/>
            </w:tcBorders>
          </w:tcPr>
          <w:p>
            <w:pPr>
              <w:jc w:val="center"/>
              <w:ind w:right="37"/>
              <w:spacing w:after="0" w:line="135" w:lineRule="exact"/>
              <w:rPr>
                <w:sz w:val="20"/>
                <w:szCs w:val="20"/>
                <w:color w:val="auto"/>
              </w:rPr>
            </w:pPr>
            <w:r>
              <w:rPr>
                <w:rFonts w:ascii="Arial" w:cs="Arial" w:eastAsia="Arial" w:hAnsi="Arial"/>
                <w:sz w:val="14"/>
                <w:szCs w:val="14"/>
                <w:b w:val="1"/>
                <w:bCs w:val="1"/>
                <w:color w:val="auto"/>
                <w:w w:val="93"/>
              </w:rPr>
              <w:t>January 30,</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332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Cash equivalents</w:t>
            </w:r>
            <w:r>
              <w:rPr>
                <w:rFonts w:ascii="Arial" w:cs="Arial" w:eastAsia="Arial" w:hAnsi="Arial"/>
                <w:sz w:val="23"/>
                <w:szCs w:val="23"/>
                <w:color w:val="auto"/>
                <w:vertAlign w:val="superscript"/>
              </w:rPr>
              <w:t>(1)</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Short-term investments:</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corporate debt securities</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ind w:left="120"/>
              <w:spacing w:after="0"/>
              <w:rPr>
                <w:sz w:val="20"/>
                <w:szCs w:val="20"/>
                <w:color w:val="auto"/>
              </w:rPr>
            </w:pPr>
            <w:r>
              <w:rPr>
                <w:rFonts w:ascii="Arial" w:cs="Arial" w:eastAsia="Arial" w:hAnsi="Arial"/>
                <w:sz w:val="18"/>
                <w:szCs w:val="18"/>
                <w:color w:val="auto"/>
              </w:rPr>
              <w:t>Non-U.S. corporate debt securities</w:t>
            </w:r>
          </w:p>
        </w:tc>
        <w:tc>
          <w:tcPr>
            <w:tcW w:w="3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680" w:right="840" w:hanging="6"/>
        <w:spacing w:after="0" w:line="235" w:lineRule="auto"/>
        <w:tabs>
          <w:tab w:leader="none" w:pos="9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equivalents represent a money market fund that has a maturity of three months or less at the date of purchase. Due to the short maturity, the Company believes the carrying value approximates fair value.</w:t>
      </w:r>
    </w:p>
    <w:p>
      <w:pPr>
        <w:spacing w:after="0" w:line="162"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$3.8 million in impairment charges related to store assets including property, plant, and equipment and lease right-of-use assets during the twenty-six weeks ended August 1, 2020. There were no impairment charges for the thirteen weeks ended July 31, 2021 and August 1, 2020 or the twenty-six weeks ended July 31, 2021.</w:t>
      </w:r>
    </w:p>
    <w:p>
      <w:pPr>
        <w:spacing w:after="0" w:line="51" w:lineRule="exact"/>
        <w:rPr>
          <w:sz w:val="20"/>
          <w:szCs w:val="20"/>
          <w:color w:val="auto"/>
        </w:rPr>
      </w:pPr>
    </w:p>
    <w:p>
      <w:pPr>
        <w:ind w:left="660" w:right="100"/>
        <w:spacing w:after="0" w:line="286" w:lineRule="auto"/>
        <w:rPr>
          <w:sz w:val="20"/>
          <w:szCs w:val="20"/>
          <w:color w:val="auto"/>
        </w:rPr>
      </w:pPr>
      <w:r>
        <w:rPr>
          <w:rFonts w:ascii="Arial" w:cs="Arial" w:eastAsia="Arial" w:hAnsi="Arial"/>
          <w:sz w:val="17"/>
          <w:szCs w:val="17"/>
          <w:color w:val="auto"/>
        </w:rPr>
        <w:t>Assets recognized or disclosed at fair value on the consolidated financial statements on a nonrecurring basis include items such as property, plant, and equipment, including leasehold improvements, and operating lease assets, as well as assets related to the Pura Vida acquisition including goodwill and intangible assets. These assets are measured at fair value if determined to be impaired.</w:t>
      </w:r>
    </w:p>
    <w:p>
      <w:pPr>
        <w:spacing w:after="0" w:line="30"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economic conditions and our expectations and may change in the future based on period-specific facts and circumstances. If economic conditions were to deteriorate, future impairment charges may be required which may be material.</w:t>
      </w:r>
    </w:p>
    <w:p>
      <w:pPr>
        <w:spacing w:after="0" w:line="27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07" w:lineRule="exact"/>
        <w:rPr>
          <w:rFonts w:ascii="Arial" w:cs="Arial" w:eastAsia="Arial" w:hAnsi="Arial"/>
          <w:sz w:val="18"/>
          <w:szCs w:val="18"/>
          <w:b w:val="1"/>
          <w:bCs w:val="1"/>
          <w:color w:val="auto"/>
        </w:rPr>
      </w:pPr>
    </w:p>
    <w:p>
      <w:pPr>
        <w:ind w:left="660"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55" w:lineRule="exact"/>
        <w:rPr>
          <w:rFonts w:ascii="Arial" w:cs="Arial" w:eastAsia="Arial" w:hAnsi="Arial"/>
          <w:sz w:val="18"/>
          <w:szCs w:val="18"/>
          <w:b w:val="1"/>
          <w:bCs w:val="1"/>
          <w:color w:val="auto"/>
        </w:rPr>
      </w:pPr>
    </w:p>
    <w:p>
      <w:pPr>
        <w:ind w:left="660" w:right="1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31" w:lineRule="exact"/>
        <w:rPr>
          <w:rFonts w:ascii="Arial" w:cs="Arial" w:eastAsia="Arial" w:hAnsi="Arial"/>
          <w:sz w:val="18"/>
          <w:szCs w:val="18"/>
          <w:b w:val="1"/>
          <w:bCs w:val="1"/>
          <w:color w:val="auto"/>
        </w:rPr>
      </w:pPr>
    </w:p>
    <w:p>
      <w:pPr>
        <w:ind w:left="660" w:right="2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62" w:lineRule="exact"/>
        <w:rPr>
          <w:rFonts w:ascii="Arial" w:cs="Arial" w:eastAsia="Arial" w:hAnsi="Arial"/>
          <w:sz w:val="18"/>
          <w:szCs w:val="18"/>
          <w:b w:val="1"/>
          <w:bCs w:val="1"/>
          <w:color w:val="auto"/>
        </w:rPr>
      </w:pPr>
    </w:p>
    <w:p>
      <w:pPr>
        <w:ind w:left="660" w:right="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54"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Credit Agreement also requires the Loan Parties to maintain a minimum fixed charge coverage ratio of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51" w:lineRule="exact"/>
        <w:rPr>
          <w:rFonts w:ascii="Arial" w:cs="Arial" w:eastAsia="Arial" w:hAnsi="Arial"/>
          <w:sz w:val="18"/>
          <w:szCs w:val="18"/>
          <w:b w:val="1"/>
          <w:bCs w:val="1"/>
          <w:color w:val="auto"/>
        </w:rPr>
      </w:pPr>
    </w:p>
    <w:p>
      <w:pPr>
        <w:ind w:left="660" w:right="10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2" w:lineRule="exact"/>
        <w:rPr>
          <w:rFonts w:ascii="Arial" w:cs="Arial" w:eastAsia="Arial" w:hAnsi="Arial"/>
          <w:sz w:val="18"/>
          <w:szCs w:val="18"/>
          <w:b w:val="1"/>
          <w:bCs w:val="1"/>
          <w:color w:val="auto"/>
        </w:rPr>
      </w:pPr>
    </w:p>
    <w:p>
      <w:pPr>
        <w:ind w:left="660" w:right="4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commitments made under the Credit Agreement mature on September 7, 2023.</w:t>
      </w:r>
    </w:p>
    <w:p>
      <w:pPr>
        <w:spacing w:after="0" w:line="104"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As of July 31, 2021 and January 30, 2021, the Company had no borrowings outstanding and availability of $75.0 million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7" w:lineRule="exact"/>
        <w:rPr>
          <w:rFonts w:ascii="Arial" w:cs="Arial" w:eastAsia="Arial" w:hAnsi="Arial"/>
          <w:sz w:val="18"/>
          <w:szCs w:val="18"/>
          <w:b w:val="1"/>
          <w:bCs w:val="1"/>
          <w:color w:val="auto"/>
        </w:rPr>
      </w:pPr>
    </w:p>
    <w:p>
      <w:pPr>
        <w:ind w:left="66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11" w:lineRule="exact"/>
        <w:rPr>
          <w:rFonts w:ascii="Arial" w:cs="Arial" w:eastAsia="Arial" w:hAnsi="Arial"/>
          <w:sz w:val="18"/>
          <w:szCs w:val="18"/>
          <w:b w:val="1"/>
          <w:bCs w:val="1"/>
          <w:color w:val="auto"/>
        </w:rPr>
      </w:pPr>
    </w:p>
    <w:p>
      <w:pPr>
        <w:ind w:left="660" w:right="2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the thirteen weeks ended July 31, 2021, was 21.3%, compared to 51.1% for the thirteen weeks ended August 1, 2020. The year-over-year effective tax rate decrease was primarily due to the reversal of the impact from the net operating loss (“NOL”) carryback in the prior-year that was estimated in the first quarter as a result of the Coronavirus Aid, Relief, and Economic Security Act (“CARES Act”) that was enacted on March 27, 2020 in response to the COVID-19 pandemic.</w:t>
      </w:r>
    </w:p>
    <w:p>
      <w:pPr>
        <w:spacing w:after="0" w:line="66" w:lineRule="exact"/>
        <w:rPr>
          <w:rFonts w:ascii="Arial" w:cs="Arial" w:eastAsia="Arial" w:hAnsi="Arial"/>
          <w:sz w:val="18"/>
          <w:szCs w:val="18"/>
          <w:b w:val="1"/>
          <w:bCs w:val="1"/>
          <w:color w:val="auto"/>
        </w:rPr>
      </w:pPr>
    </w:p>
    <w:p>
      <w:pPr>
        <w:ind w:left="660" w:right="24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the twenty-six weeks ended July 31, 2021, was 20.4%, compared to 16.5% for the twenty-six weeks ended August 1, 2020. The year-over-year effective tax rate increase was primarily due to the relative impact of permanent and discrete items in the current-year period compared to the prior-year period, primarily as a result of stock-based compensation.</w:t>
      </w:r>
    </w:p>
    <w:p>
      <w:pPr>
        <w:spacing w:after="0" w:line="299" w:lineRule="exact"/>
        <w:rPr>
          <w:rFonts w:ascii="Arial" w:cs="Arial" w:eastAsia="Arial" w:hAnsi="Arial"/>
          <w:sz w:val="18"/>
          <w:szCs w:val="18"/>
          <w:b w:val="1"/>
          <w:bCs w:val="1"/>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4"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48" w:lineRule="exact"/>
        <w:rPr>
          <w:rFonts w:ascii="Arial" w:cs="Arial" w:eastAsia="Arial" w:hAnsi="Arial"/>
          <w:sz w:val="18"/>
          <w:szCs w:val="18"/>
          <w:b w:val="1"/>
          <w:bCs w:val="1"/>
          <w:color w:val="auto"/>
        </w:rPr>
      </w:pPr>
    </w:p>
    <w:p>
      <w:pPr>
        <w:jc w:val="both"/>
        <w:ind w:left="660"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reserved 3,000,000 shares of common stock for issuance or transfer under the 2020 Equity and Incentive Plan, which allows for grants of restricted stock units, as well as other equity awards. The Company maintains the 2010 Equity and Incentive Plan for awards granted prior to the effectiveness of the 2020 Equity and Incentive Plan.</w:t>
      </w:r>
    </w:p>
    <w:p>
      <w:pPr>
        <w:spacing w:after="0" w:line="22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 Stock Units</w:t>
      </w:r>
    </w:p>
    <w:p>
      <w:pPr>
        <w:spacing w:after="0" w:line="252" w:lineRule="exact"/>
        <w:rPr>
          <w:rFonts w:ascii="Arial" w:cs="Arial" w:eastAsia="Arial" w:hAnsi="Arial"/>
          <w:sz w:val="18"/>
          <w:szCs w:val="18"/>
          <w:b w:val="1"/>
          <w:bCs w:val="1"/>
          <w:color w:val="auto"/>
        </w:rPr>
      </w:pPr>
    </w:p>
    <w:p>
      <w:pPr>
        <w:ind w:left="66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During the thirteen weeks ended July 31, 2021, the Company granted 908 time-based and performance-based restricted stock units with an aggregate fair value of $10.0 thousand to certain employees under the 2020 Equity and Incentive Plan. The Company did not grant restricted stock units in the prior-year period.</w:t>
      </w:r>
    </w:p>
    <w:p>
      <w:pPr>
        <w:spacing w:after="0" w:line="210" w:lineRule="exact"/>
        <w:rPr>
          <w:rFonts w:ascii="Arial" w:cs="Arial" w:eastAsia="Arial" w:hAnsi="Arial"/>
          <w:sz w:val="18"/>
          <w:szCs w:val="18"/>
          <w:b w:val="1"/>
          <w:bCs w:val="1"/>
          <w:color w:val="auto"/>
        </w:rPr>
      </w:pPr>
    </w:p>
    <w:p>
      <w:pPr>
        <w:ind w:left="660"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During the twenty-six weeks ended July 31, 2021, the Company granted 640,915 time-based and performance-based restricted stock units with an aggregate fair value of $6.6 million to certain employees and non-employee directors under the 2020 Equity and Incentive Plan compared</w:t>
      </w:r>
    </w:p>
    <w:p>
      <w:pPr>
        <w:ind w:left="660" w:right="1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to 1,412,024 time-based and performance-based restricted stock units with an aggregate fair value of $5.8 million in the same period of the prior-year under the 2010 Equity and Incentive Plan.</w:t>
      </w:r>
    </w:p>
    <w:p>
      <w:pPr>
        <w:spacing w:after="0" w:line="212" w:lineRule="exact"/>
        <w:rPr>
          <w:rFonts w:ascii="Arial" w:cs="Arial" w:eastAsia="Arial" w:hAnsi="Arial"/>
          <w:sz w:val="18"/>
          <w:szCs w:val="18"/>
          <w:b w:val="1"/>
          <w:bCs w:val="1"/>
          <w:color w:val="auto"/>
        </w:rPr>
      </w:pPr>
    </w:p>
    <w:p>
      <w:pPr>
        <w:ind w:left="6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There were no restricted stock units granted under the 2020 Equity and Incentive Plan during the thirteen and twenty-six weeks ended August 1, 2020.</w:t>
      </w:r>
    </w:p>
    <w:p>
      <w:pPr>
        <w:spacing w:after="0" w:line="116" w:lineRule="exact"/>
        <w:rPr>
          <w:rFonts w:ascii="Arial" w:cs="Arial" w:eastAsia="Arial" w:hAnsi="Arial"/>
          <w:sz w:val="18"/>
          <w:szCs w:val="18"/>
          <w:b w:val="1"/>
          <w:bCs w:val="1"/>
          <w:color w:val="auto"/>
        </w:rPr>
      </w:pPr>
    </w:p>
    <w:p>
      <w:pPr>
        <w:ind w:left="6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32" w:lineRule="exact"/>
        <w:rPr>
          <w:rFonts w:ascii="Arial" w:cs="Arial" w:eastAsia="Arial" w:hAnsi="Arial"/>
          <w:sz w:val="18"/>
          <w:szCs w:val="18"/>
          <w:b w:val="1"/>
          <w:bCs w:val="1"/>
          <w:color w:val="auto"/>
        </w:rPr>
      </w:pPr>
    </w:p>
    <w:p>
      <w:pPr>
        <w:ind w:left="660" w:right="1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restricted stock unit activity for the twenty-six weeks ended July 31, 2021 (units in thousands):</w:t>
      </w:r>
    </w:p>
    <w:p>
      <w:pPr>
        <w:spacing w:after="0" w:line="3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720" w:type="dxa"/>
            <w:vAlign w:val="bottom"/>
            <w:gridSpan w:val="3"/>
          </w:tcPr>
          <w:p>
            <w:pPr>
              <w:jc w:val="center"/>
              <w:ind w:left="918"/>
              <w:spacing w:after="0"/>
              <w:rPr>
                <w:sz w:val="20"/>
                <w:szCs w:val="20"/>
                <w:color w:val="auto"/>
              </w:rPr>
            </w:pPr>
            <w:r>
              <w:rPr>
                <w:rFonts w:ascii="Arial" w:cs="Arial" w:eastAsia="Arial" w:hAnsi="Arial"/>
                <w:sz w:val="14"/>
                <w:szCs w:val="14"/>
                <w:b w:val="1"/>
                <w:bCs w:val="1"/>
                <w:color w:val="auto"/>
                <w:w w:val="92"/>
              </w:rPr>
              <w:t>Time-based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88"/>
        </w:trPr>
        <w:tc>
          <w:tcPr>
            <w:tcW w:w="4380" w:type="dxa"/>
            <w:vAlign w:val="bottom"/>
          </w:tcPr>
          <w:p>
            <w:pPr>
              <w:spacing w:after="0"/>
              <w:rPr>
                <w:sz w:val="16"/>
                <w:szCs w:val="16"/>
                <w:color w:val="auto"/>
              </w:rPr>
            </w:pPr>
          </w:p>
        </w:tc>
        <w:tc>
          <w:tcPr>
            <w:tcW w:w="28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Restricted Stock Units</w:t>
            </w:r>
          </w:p>
        </w:tc>
        <w:tc>
          <w:tcPr>
            <w:tcW w:w="27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30"/>
        </w:trPr>
        <w:tc>
          <w:tcPr>
            <w:tcW w:w="43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280"/>
              <w:spacing w:after="0" w:line="130" w:lineRule="exact"/>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60"/>
              <w:spacing w:after="0" w:line="130"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rPr>
              <w:t>Grant</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80"/>
              <w:spacing w:after="0" w:line="135"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60"/>
              <w:spacing w:after="0" w:line="135"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8"/>
        </w:trPr>
        <w:tc>
          <w:tcPr>
            <w:tcW w:w="4380" w:type="dxa"/>
            <w:vAlign w:val="bottom"/>
          </w:tcPr>
          <w:p>
            <w:pPr>
              <w:spacing w:after="0"/>
              <w:rPr>
                <w:sz w:val="16"/>
                <w:szCs w:val="16"/>
                <w:color w:val="auto"/>
              </w:rPr>
            </w:pPr>
          </w:p>
        </w:tc>
        <w:tc>
          <w:tcPr>
            <w:tcW w:w="1260" w:type="dxa"/>
            <w:vAlign w:val="bottom"/>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(per unit)</w:t>
            </w:r>
          </w:p>
        </w:tc>
        <w:tc>
          <w:tcPr>
            <w:tcW w:w="1280" w:type="dxa"/>
            <w:vAlign w:val="bottom"/>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6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24"/>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January 30,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July 31, 2021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240"/>
        <w:spacing w:after="0" w:line="342" w:lineRule="auto"/>
        <w:rPr>
          <w:sz w:val="20"/>
          <w:szCs w:val="20"/>
          <w:color w:val="auto"/>
        </w:rPr>
      </w:pPr>
      <w:r>
        <w:rPr>
          <w:rFonts w:ascii="Arial" w:cs="Arial" w:eastAsia="Arial" w:hAnsi="Arial"/>
          <w:sz w:val="16"/>
          <w:szCs w:val="16"/>
          <w:color w:val="auto"/>
        </w:rPr>
        <w:t>As of July 31, 2021, there was $8.7 million of total unrecognized compensation cost, net of estimated forfeitures, related to nonvested restricted stock units. That cost is expected to be recognized over a weighted-average period of 1.8 years, subject to meeting performance conditions.</w:t>
      </w:r>
    </w:p>
    <w:p>
      <w:pPr>
        <w:spacing w:after="0" w:line="24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07"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57" w:lineRule="exact"/>
        <w:rPr>
          <w:rFonts w:ascii="Arial" w:cs="Arial" w:eastAsia="Arial" w:hAnsi="Arial"/>
          <w:sz w:val="18"/>
          <w:szCs w:val="18"/>
          <w:b w:val="1"/>
          <w:bCs w:val="1"/>
          <w:color w:val="auto"/>
        </w:rPr>
      </w:pPr>
    </w:p>
    <w:p>
      <w:pPr>
        <w:ind w:left="66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cases are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43" w:lineRule="exact"/>
        <w:rPr>
          <w:rFonts w:ascii="Arial" w:cs="Arial" w:eastAsia="Arial" w:hAnsi="Arial"/>
          <w:sz w:val="18"/>
          <w:szCs w:val="18"/>
          <w:b w:val="1"/>
          <w:bCs w:val="1"/>
          <w:color w:val="auto"/>
        </w:rPr>
      </w:pPr>
    </w:p>
    <w:p>
      <w:pPr>
        <w:ind w:left="660" w:right="8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In April of 2020, Chidimma Igboakaeze filed suit seeking class certification for all current and former hourly-paid employees who worked for the Company within the state of California during the four years preceding the filing until final judgement. The complaint alleged various violations of the California Labor Code related to wages, overtime, meal and rest breaks, non-compliant wage statements and records and other similar allegations related to employment. The Plaintiff also filed a Private Attorney General Act claim with the state of California regarding the same allegations. This case was settled in the first quarter of fiscal 2022 for an immaterial amount.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7"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November 29, 2018, the Company's board of directors approved a share repurchase plan (the “2018 Share Repurchase Program”) authorizing up to $50.0 million of repurchases of shares of the Company's common stock. On December 3, 2020, the 2018 Share Repurchase Program was extended through December 11, 2021. On March 20, 2020, the Company temporarily suspended the share repurchase program to conserve cash as a result of the COVID-19 pandemic. The board of directors authorized the resumption of the share repurchase program beginning on March 11, 2021.</w:t>
      </w:r>
    </w:p>
    <w:p>
      <w:pPr>
        <w:spacing w:after="0" w:line="52" w:lineRule="exact"/>
        <w:rPr>
          <w:rFonts w:ascii="Arial" w:cs="Arial" w:eastAsia="Arial" w:hAnsi="Arial"/>
          <w:sz w:val="18"/>
          <w:szCs w:val="18"/>
          <w:b w:val="1"/>
          <w:bCs w:val="1"/>
          <w:color w:val="auto"/>
        </w:rPr>
      </w:pPr>
    </w:p>
    <w:p>
      <w:pPr>
        <w:ind w:left="6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purchased no shares during the twenty-six weeks ended July 31, 2021. There was $32.9 million remaining available to repurchase shares of the Company's common stock under the 2018 Share Repurchase Program as of July 31, 2021.</w:t>
      </w:r>
    </w:p>
    <w:p>
      <w:pPr>
        <w:spacing w:after="0" w:line="48" w:lineRule="exact"/>
        <w:rPr>
          <w:rFonts w:ascii="Arial" w:cs="Arial" w:eastAsia="Arial" w:hAnsi="Arial"/>
          <w:sz w:val="18"/>
          <w:szCs w:val="18"/>
          <w:b w:val="1"/>
          <w:bCs w:val="1"/>
          <w:color w:val="auto"/>
        </w:rPr>
      </w:pPr>
    </w:p>
    <w:p>
      <w:pPr>
        <w:ind w:left="6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As of July 31, 2021, the Company held as treasury shares 8,393,207 shares of its common stock at an average price of $12.76 per share, excluding commissions, for an aggregate carrying amount of $107.1 million. The Company’s treasury shares may be issued under the 2010 Equity and Incentive Plan (with respect to outstanding awards under that plan), under the 2020 Equity and Incentive Plan, or for other corporate purposes.</w:t>
      </w:r>
    </w:p>
    <w:p>
      <w:pPr>
        <w:spacing w:after="0" w:line="266" w:lineRule="exact"/>
        <w:rPr>
          <w:rFonts w:ascii="Arial" w:cs="Arial" w:eastAsia="Arial" w:hAnsi="Arial"/>
          <w:sz w:val="18"/>
          <w:szCs w:val="18"/>
          <w:b w:val="1"/>
          <w:bCs w:val="1"/>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Cloud Computing Arrangements</w:t>
      </w:r>
    </w:p>
    <w:p>
      <w:pPr>
        <w:spacing w:after="0" w:line="94" w:lineRule="exact"/>
        <w:rPr>
          <w:rFonts w:ascii="Arial" w:cs="Arial" w:eastAsia="Arial" w:hAnsi="Arial"/>
          <w:sz w:val="18"/>
          <w:szCs w:val="18"/>
          <w:b w:val="1"/>
          <w:bCs w:val="1"/>
          <w:color w:val="auto"/>
        </w:rPr>
      </w:pPr>
    </w:p>
    <w:p>
      <w:pPr>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within selling, general, and administrative expenses in the Company's Condensed Consolidated Statements of Operations, which is within the same line item as the related hosting fees. The balance of the unamortized CCA implementation costs totaled $8.5 million and $8.1 million as of July 31, 2021 and January 30, 2021, respectively. Of this total, $2.7 million and $2.4 million was recorded within prepaid expenses and other current assets and $5.8 million and $5.7 million was recorded within other assets on the Company's Condensed Consolidated Balance Sheets as of July 31, 2021 and January 30, 2021, respectively. The CCA implementation costs are recorded within operating activities in the Company's Condensed Consolidated Statements of Cash Flows.</w:t>
      </w:r>
    </w:p>
    <w:p>
      <w:pPr>
        <w:spacing w:after="0" w:line="203" w:lineRule="exact"/>
        <w:rPr>
          <w:rFonts w:ascii="Arial" w:cs="Arial" w:eastAsia="Arial" w:hAnsi="Arial"/>
          <w:sz w:val="18"/>
          <w:szCs w:val="18"/>
          <w:b w:val="1"/>
          <w:bCs w:val="1"/>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Pura Vida</w:t>
      </w:r>
    </w:p>
    <w:p>
      <w:pPr>
        <w:spacing w:after="0" w:line="107" w:lineRule="exact"/>
        <w:rPr>
          <w:rFonts w:ascii="Arial" w:cs="Arial" w:eastAsia="Arial" w:hAnsi="Arial"/>
          <w:sz w:val="18"/>
          <w:szCs w:val="18"/>
          <w:b w:val="1"/>
          <w:bCs w:val="1"/>
          <w:color w:val="auto"/>
        </w:rPr>
      </w:pPr>
    </w:p>
    <w:p>
      <w:pPr>
        <w:ind w:left="660" w:right="3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July 16, 2019, the Company completed its acquisition of a seventy-five percent (75%) ownership interest in Creative Genius, Inc. or “Pura Vida” (the “Transaction”) in exchange for total cash consideration of approximately $75.0 million. The Company received a working capital reimbursement of $1.0 million during the first quarter of fiscal 2021.</w:t>
      </w:r>
    </w:p>
    <w:p>
      <w:pPr>
        <w:spacing w:after="0" w:line="62" w:lineRule="exact"/>
        <w:rPr>
          <w:rFonts w:ascii="Arial" w:cs="Arial" w:eastAsia="Arial" w:hAnsi="Arial"/>
          <w:sz w:val="18"/>
          <w:szCs w:val="18"/>
          <w:b w:val="1"/>
          <w:bCs w:val="1"/>
          <w:color w:val="auto"/>
        </w:rPr>
      </w:pPr>
    </w:p>
    <w:p>
      <w:pPr>
        <w:ind w:left="660"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accordance with the Interest Purchase Agreement, the Company also agreed to a contingent payment of up to $22.5 million payable during the first quarter of calendar year 2020 based on calendar year 2019 adjusted EBITDA of Pura Vida, as defined in the Interest Purchase Agreement. This contingent payment was made during the first quarter of fiscal 2021 totaling $18.7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Noncontrolling Interest</w:t>
      </w:r>
    </w:p>
    <w:p>
      <w:pPr>
        <w:spacing w:after="0" w:line="107"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Redeemable noncontrolling interest represents the remaining twenty-five percent (25%) interest in Pura Vida not acquired by the Company. Refer to Notes 1 and 4 herein for additional information.</w:t>
      </w:r>
    </w:p>
    <w:p>
      <w:pPr>
        <w:spacing w:after="0" w:line="3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Changes in redeemable noncontrolling interest for the thirteen and twenty-six weeks ended July 31, 2021, were as follows (in thousands):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30, 2021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29,809</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Net income attributable to redeemable noncontrolling interest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Balance at May 1, 2021</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30,307</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redeemable noncontrolling interest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29"/>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July 31, 2021</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30,364</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Changes in redeemable noncontrolling interest for the thirteen and twenty-six weeks ended August 1, 2020, were as follows (in thousands):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1, 2020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30,049</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Net loss attributable to redeemable noncontrolling interest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to redemption value</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May 2, 2020</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38,858</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attributable to redeemable noncontrolling interest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to redemption value</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(9,736)</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August 1, 2020</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29,654</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107" w:lineRule="exact"/>
        <w:rPr>
          <w:rFonts w:ascii="Arial" w:cs="Arial" w:eastAsia="Arial" w:hAnsi="Arial"/>
          <w:sz w:val="18"/>
          <w:szCs w:val="18"/>
          <w:b w:val="1"/>
          <w:bCs w:val="1"/>
          <w:color w:val="auto"/>
        </w:rPr>
      </w:pPr>
    </w:p>
    <w:p>
      <w:pPr>
        <w:ind w:left="660" w:right="220"/>
        <w:spacing w:after="0" w:line="269" w:lineRule="auto"/>
        <w:rPr>
          <w:rFonts w:ascii="Arial" w:cs="Arial" w:eastAsia="Arial" w:hAnsi="Arial"/>
          <w:sz w:val="18"/>
          <w:szCs w:val="18"/>
          <w:b w:val="1"/>
          <w:bCs w:val="1"/>
          <w:color w:val="auto"/>
        </w:rPr>
      </w:pPr>
      <w:r>
        <w:rPr>
          <w:rFonts w:ascii="Arial" w:cs="Arial" w:eastAsia="Arial" w:hAnsi="Arial"/>
          <w:sz w:val="18"/>
          <w:szCs w:val="18"/>
          <w:color w:val="auto"/>
        </w:rPr>
        <w:t>The following tables detail the carrying value of the Company's intangible assets other than goodwill related to the acquisition of a majority interest in Pura Vida.</w:t>
      </w:r>
    </w:p>
    <w:tbl>
      <w:tblPr>
        <w:tblLayout w:type="fixed"/>
        <w:tblInd w:w="66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July 31, 2021</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 Basis</w:t>
            </w:r>
          </w:p>
        </w:tc>
        <w:tc>
          <w:tcPr>
            <w:tcW w:w="220" w:type="dxa"/>
            <w:vAlign w:val="bottom"/>
          </w:tcPr>
          <w:p>
            <w:pPr>
              <w:spacing w:after="0"/>
              <w:rPr>
                <w:sz w:val="11"/>
                <w:szCs w:val="11"/>
                <w:color w:val="auto"/>
              </w:rPr>
            </w:pPr>
          </w:p>
        </w:tc>
        <w:tc>
          <w:tcPr>
            <w:tcW w:w="14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Carrying Amount</w:t>
            </w:r>
          </w:p>
        </w:tc>
        <w:tc>
          <w:tcPr>
            <w:tcW w:w="0" w:type="dxa"/>
            <w:vAlign w:val="bottom"/>
          </w:tcPr>
          <w:p>
            <w:pPr>
              <w:spacing w:after="0"/>
              <w:rPr>
                <w:sz w:val="1"/>
                <w:szCs w:val="1"/>
                <w:color w:val="auto"/>
              </w:rPr>
            </w:pPr>
          </w:p>
        </w:tc>
      </w:tr>
      <w:tr>
        <w:trPr>
          <w:trHeight w:val="189"/>
        </w:trPr>
        <w:tc>
          <w:tcPr>
            <w:tcW w:w="4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320"/>
              <w:spacing w:after="0" w:line="189" w:lineRule="exact"/>
              <w:rPr>
                <w:sz w:val="20"/>
                <w:szCs w:val="20"/>
                <w:color w:val="auto"/>
              </w:rPr>
            </w:pPr>
            <w:r>
              <w:rPr>
                <w:rFonts w:ascii="Arial" w:cs="Arial" w:eastAsia="Arial" w:hAnsi="Arial"/>
                <w:sz w:val="14"/>
                <w:szCs w:val="14"/>
                <w:b w:val="1"/>
                <w:bCs w:val="1"/>
                <w:color w:val="auto"/>
                <w:w w:val="93"/>
              </w:rPr>
              <w:t>Amortization</w:t>
            </w:r>
            <w:r>
              <w:rPr>
                <w:rFonts w:ascii="Arial" w:cs="Arial" w:eastAsia="Arial" w:hAnsi="Arial"/>
                <w:sz w:val="18"/>
                <w:szCs w:val="18"/>
                <w:b w:val="1"/>
                <w:bCs w:val="1"/>
                <w:color w:val="auto"/>
                <w:w w:val="93"/>
                <w:vertAlign w:val="superscript"/>
              </w:rPr>
              <w:t>(1)</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24,208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(15,583)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9,091</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 Brand</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 Amortization expense is recorded within the Pura Vida segment.</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January 30, 2021</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Carrying Amount</w:t>
            </w:r>
          </w:p>
        </w:tc>
        <w:tc>
          <w:tcPr>
            <w:tcW w:w="0" w:type="dxa"/>
            <w:vAlign w:val="bottom"/>
          </w:tcPr>
          <w:p>
            <w:pPr>
              <w:spacing w:after="0"/>
              <w:rPr>
                <w:sz w:val="1"/>
                <w:szCs w:val="1"/>
                <w:color w:val="auto"/>
              </w:rPr>
            </w:pPr>
          </w:p>
        </w:tc>
      </w:tr>
      <w:tr>
        <w:trPr>
          <w:trHeight w:val="189"/>
        </w:trPr>
        <w:tc>
          <w:tcPr>
            <w:tcW w:w="4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line="189" w:lineRule="exact"/>
              <w:rPr>
                <w:sz w:val="20"/>
                <w:szCs w:val="20"/>
                <w:color w:val="auto"/>
              </w:rPr>
            </w:pPr>
            <w:r>
              <w:rPr>
                <w:rFonts w:ascii="Arial" w:cs="Arial" w:eastAsia="Arial" w:hAnsi="Arial"/>
                <w:sz w:val="14"/>
                <w:szCs w:val="14"/>
                <w:b w:val="1"/>
                <w:bCs w:val="1"/>
                <w:color w:val="auto"/>
                <w:w w:val="93"/>
              </w:rPr>
              <w:t>Amortization</w:t>
            </w:r>
            <w:r>
              <w:rPr>
                <w:rFonts w:ascii="Arial" w:cs="Arial" w:eastAsia="Arial" w:hAnsi="Arial"/>
                <w:sz w:val="18"/>
                <w:szCs w:val="18"/>
                <w:b w:val="1"/>
                <w:bCs w:val="1"/>
                <w:color w:val="auto"/>
                <w:w w:val="93"/>
                <w:vertAlign w:val="superscript"/>
              </w:rPr>
              <w:t>(1)</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10,083</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10,628</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 Brand</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47,296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 Amortization expense is recorded within the Pura Vida segment.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 is recorded within selling, general, and administrative expenses in the Company's Condensed Consolidated Statement of</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Operations. The future amortization expense for intangible assets is as follows (in thousands):</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Amortization Expense</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 (remaining six months)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3,073</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Fiscal 2025</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The total amount of the goodwill as of July 31, 2021 and January 30, 2021, of $44.3 million was recorded within the Pura Vida segment upon acquisition. Goodwill is deductible for tax purposes, limited to the Company's 75% majority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ownership interest. There were no changes to goodwill for the thirteen and twenty-six weeks ended July 31, 2021 and August 1, 2020.</w:t>
      </w:r>
    </w:p>
    <w:p>
      <w:pPr>
        <w:spacing w:after="0" w:line="210" w:lineRule="exact"/>
        <w:rPr>
          <w:sz w:val="20"/>
          <w:szCs w:val="20"/>
          <w:color w:val="auto"/>
        </w:rPr>
      </w:pPr>
    </w:p>
    <w:p>
      <w:pPr>
        <w:ind w:left="660"/>
        <w:spacing w:after="0" w:line="301" w:lineRule="auto"/>
        <w:rPr>
          <w:sz w:val="20"/>
          <w:szCs w:val="20"/>
          <w:color w:val="auto"/>
        </w:rPr>
      </w:pPr>
      <w:r>
        <w:rPr>
          <w:rFonts w:ascii="Arial" w:cs="Arial" w:eastAsia="Arial" w:hAnsi="Arial"/>
          <w:sz w:val="16"/>
          <w:szCs w:val="16"/>
          <w:color w:val="auto"/>
        </w:rPr>
        <w:t>The Company performs its annual impairment test during the second quarter of each fiscal year. There was no impairment charge recorded as a result of that test for fiscal 2022. Future impacts of COVID-19, including but not limited to the duration and magnitude of the pandemic, may have an impact on the triggering event assessment or future fair value estimate of goodwill, brand intangible asset, and definite-lived intangible assets, which could lead to material impairment charges. Refer to Note 5 herein for additional information regarding the fair value measurement.</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4" w:lineRule="exact"/>
        <w:rPr>
          <w:rFonts w:ascii="Arial" w:cs="Arial" w:eastAsia="Arial" w:hAnsi="Arial"/>
          <w:sz w:val="18"/>
          <w:szCs w:val="18"/>
          <w:b w:val="1"/>
          <w:bCs w:val="1"/>
          <w:color w:val="auto"/>
        </w:rPr>
      </w:pPr>
    </w:p>
    <w:p>
      <w:pPr>
        <w:ind w:left="6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three operating segments, which are also its reportable segments: Vera Bradley Direct (“VB Direct”), Vera Bradley Indirect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65" w:lineRule="exact"/>
        <w:rPr>
          <w:rFonts w:ascii="Arial" w:cs="Arial" w:eastAsia="Arial" w:hAnsi="Arial"/>
          <w:sz w:val="18"/>
          <w:szCs w:val="18"/>
          <w:b w:val="1"/>
          <w:bCs w:val="1"/>
          <w:color w:val="auto"/>
        </w:rPr>
      </w:pPr>
    </w:p>
    <w:p>
      <w:pPr>
        <w:jc w:val="both"/>
        <w:ind w:left="660" w:righ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VB Direct segment includes Vera Bradley full-line and factory outlet stores; the Vera Bradley website, verabradley.com; the Vera Bradley online outlet site; and typically the Vera Bradley annual outlet sale. Revenues generated from this segment are driven through the sale of Vera Bradley-branded products from Vera Bradley to end consumers.</w:t>
      </w:r>
    </w:p>
    <w:p>
      <w:pPr>
        <w:spacing w:after="0" w:line="62" w:lineRule="exact"/>
        <w:rPr>
          <w:rFonts w:ascii="Arial" w:cs="Arial" w:eastAsia="Arial" w:hAnsi="Arial"/>
          <w:sz w:val="18"/>
          <w:szCs w:val="18"/>
          <w:b w:val="1"/>
          <w:bCs w:val="1"/>
          <w:color w:val="auto"/>
        </w:rPr>
      </w:pPr>
    </w:p>
    <w:p>
      <w:pPr>
        <w:ind w:left="660"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VB Indirect segment represents revenues generated through the distribution of Vera Bradley-branded products to specialty retailers representing approximately 2,000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51" w:lineRule="exact"/>
        <w:rPr>
          <w:rFonts w:ascii="Arial" w:cs="Arial" w:eastAsia="Arial" w:hAnsi="Arial"/>
          <w:sz w:val="18"/>
          <w:szCs w:val="18"/>
          <w:b w:val="1"/>
          <w:bCs w:val="1"/>
          <w:color w:val="auto"/>
        </w:rPr>
      </w:pPr>
    </w:p>
    <w:p>
      <w:pPr>
        <w:ind w:left="660" w:right="2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Pura Vida segment represents revenues generated through the Pura Vida websites, www.puravidabracelets.com, www.puravidabracelets.eu, and www.puravidabracelets.ca, and through the distribution of Pura Vida-branded products to wholesale retailers, substantially all of which are located in the United States.</w:t>
      </w:r>
    </w:p>
    <w:p>
      <w:pPr>
        <w:spacing w:after="0" w:line="62"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spacing w:after="0" w:line="295" w:lineRule="auto"/>
        <w:rPr>
          <w:sz w:val="20"/>
          <w:szCs w:val="20"/>
          <w:color w:val="auto"/>
        </w:rPr>
      </w:pPr>
      <w:r>
        <w:rPr>
          <w:rFonts w:ascii="Arial" w:cs="Arial" w:eastAsia="Arial" w:hAnsi="Arial"/>
          <w:sz w:val="16"/>
          <w:szCs w:val="16"/>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and twenty-six weeks ended July 31, 2021 and August 1, 2020, respectively, consisted of the following (in thousands):</w:t>
      </w:r>
    </w:p>
    <w:p>
      <w:pPr>
        <w:spacing w:after="0" w:line="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ind w:left="560"/>
              <w:spacing w:after="0"/>
              <w:rPr>
                <w:sz w:val="20"/>
                <w:szCs w:val="20"/>
                <w:color w:val="auto"/>
              </w:rPr>
            </w:pPr>
            <w:r>
              <w:rPr>
                <w:rFonts w:ascii="Arial" w:cs="Arial" w:eastAsia="Arial" w:hAnsi="Arial"/>
                <w:sz w:val="14"/>
                <w:szCs w:val="14"/>
                <w:b w:val="1"/>
                <w:bCs w:val="1"/>
                <w:color w:val="auto"/>
              </w:rPr>
              <w:t>Thirteen Weeks Ended</w:t>
            </w:r>
          </w:p>
        </w:tc>
        <w:tc>
          <w:tcPr>
            <w:tcW w:w="320" w:type="dxa"/>
            <w:vAlign w:val="bottom"/>
          </w:tcPr>
          <w:p>
            <w:pPr>
              <w:spacing w:after="0"/>
              <w:rPr>
                <w:sz w:val="16"/>
                <w:szCs w:val="16"/>
                <w:color w:val="auto"/>
              </w:rPr>
            </w:pPr>
          </w:p>
        </w:tc>
        <w:tc>
          <w:tcPr>
            <w:tcW w:w="288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34"/>
        </w:trPr>
        <w:tc>
          <w:tcPr>
            <w:tcW w:w="35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200"/>
              <w:spacing w:after="0" w:line="135" w:lineRule="exact"/>
              <w:rPr>
                <w:sz w:val="20"/>
                <w:szCs w:val="20"/>
                <w:color w:val="auto"/>
              </w:rPr>
            </w:pPr>
            <w:r>
              <w:rPr>
                <w:rFonts w:ascii="Arial" w:cs="Arial" w:eastAsia="Arial" w:hAnsi="Arial"/>
                <w:sz w:val="14"/>
                <w:szCs w:val="14"/>
                <w:b w:val="1"/>
                <w:bCs w:val="1"/>
                <w:color w:val="auto"/>
              </w:rPr>
              <w:t>July 31,</w:t>
            </w: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393"/>
              <w:spacing w:after="0" w:line="135" w:lineRule="exact"/>
              <w:rPr>
                <w:sz w:val="20"/>
                <w:szCs w:val="20"/>
                <w:color w:val="auto"/>
              </w:rPr>
            </w:pPr>
            <w:r>
              <w:rPr>
                <w:rFonts w:ascii="Arial" w:cs="Arial" w:eastAsia="Arial" w:hAnsi="Arial"/>
                <w:sz w:val="14"/>
                <w:szCs w:val="14"/>
                <w:b w:val="1"/>
                <w:bCs w:val="1"/>
                <w:color w:val="auto"/>
              </w:rPr>
              <w:t>August 1,</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220"/>
              <w:spacing w:after="0" w:line="135" w:lineRule="exact"/>
              <w:rPr>
                <w:sz w:val="20"/>
                <w:szCs w:val="20"/>
                <w:color w:val="auto"/>
              </w:rPr>
            </w:pPr>
            <w:r>
              <w:rPr>
                <w:rFonts w:ascii="Arial" w:cs="Arial" w:eastAsia="Arial" w:hAnsi="Arial"/>
                <w:sz w:val="14"/>
                <w:szCs w:val="14"/>
                <w:b w:val="1"/>
                <w:bCs w:val="1"/>
                <w:color w:val="auto"/>
              </w:rPr>
              <w:t>July 31,</w:t>
            </w: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393"/>
              <w:spacing w:after="0" w:line="135" w:lineRule="exact"/>
              <w:rPr>
                <w:sz w:val="20"/>
                <w:szCs w:val="20"/>
                <w:color w:val="auto"/>
              </w:rPr>
            </w:pPr>
            <w:r>
              <w:rPr>
                <w:rFonts w:ascii="Arial" w:cs="Arial" w:eastAsia="Arial" w:hAnsi="Arial"/>
                <w:sz w:val="14"/>
                <w:szCs w:val="14"/>
                <w:b w:val="1"/>
                <w:bCs w:val="1"/>
                <w:color w:val="auto"/>
              </w:rPr>
              <w:t>August 1,</w:t>
            </w:r>
          </w:p>
        </w:tc>
        <w:tc>
          <w:tcPr>
            <w:tcW w:w="0" w:type="dxa"/>
            <w:vAlign w:val="bottom"/>
          </w:tcPr>
          <w:p>
            <w:pPr>
              <w:spacing w:after="0"/>
              <w:rPr>
                <w:sz w:val="1"/>
                <w:szCs w:val="1"/>
                <w:color w:val="auto"/>
              </w:rPr>
            </w:pPr>
          </w:p>
        </w:tc>
      </w:tr>
      <w:tr>
        <w:trPr>
          <w:trHeight w:val="188"/>
        </w:trPr>
        <w:tc>
          <w:tcPr>
            <w:tcW w:w="3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VB Direct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97,138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81,233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163,870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118,070</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VB Indirect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28,959</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Pura Vida</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60,176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54,025</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201,054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Segment operating income: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VB Direct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VB Indirect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Pura Vida</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23"/>
        </w:trPr>
        <w:tc>
          <w:tcPr>
            <w:tcW w:w="3500" w:type="dxa"/>
            <w:vAlign w:val="bottom"/>
          </w:tcPr>
          <w:p>
            <w:pPr>
              <w:ind w:left="4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49,824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Segment operating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31,995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33,744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49,824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Unallocated corporate expenses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(32,809)</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0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following discussion summarizes the significant factors affecting the condensed consolidated operating results, financial condition, liquidity, and cash flows of the Company as of and for the thirteen and twenty-six weeks ended July 31, 2021 and August 1, 2020. The following discussion should be read in conjunction with our Annual Report on Form 10-K for the fiscal year ended January 30, 2021, and our unaudited condensed consolidated financial statements and the related notes included in Item 1 of this Quarterly Report. The results of operations for the thirteen and twenty-six weeks ended July 31, 2021, are not necessarily indicative of the results to be expected for the full fiscal year.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first and second quarters of the prior-year, the COVID-19 pandemic resulted in global travel restrictions, quarantines, and certain factory closures or reduced operations, as well as mall closures and reduced mall operating hours. Although the Vera Bradley and Pura Vida e-commerce operations remained open during this time, the aforementioned items had a material adverse impact on overall consumer demand, traffic, and sales during the period. We took various actions to navigate the pandemic which included, but was not limited to, temporarily closing all Vera Bradley store locations on March 19, 2020; temporarily furloughing 80% of our workforce during the middle of the first quarter; temporarily reducing base compensation for certain associates; preserving cash by drawing on our Credit Agreement, which was repaid during the fourth quarter of the prior-year; and managing inventory, rent, and other expenses. During the second quarter of the prior-year, we brought back substantially all associates from furlough and began to reinstate portions of the base compensation reductions.</w:t>
      </w:r>
    </w:p>
    <w:p>
      <w:pPr>
        <w:spacing w:after="0" w:line="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May 5, 2020, we began to re-open our Vera Bradley retail stores in a phased approach, with 58 out of 82 full-line stores and 64 out of 65 factory stores open as of the end of June 2020. All factory stores and all but three full line stores were opened as of the end of the second quarter of the prior-year, although with reduced hours, lower staffing levels, and greatly enhanced safety protocols.</w:t>
      </w:r>
    </w:p>
    <w:p>
      <w:pPr>
        <w:spacing w:after="0" w:line="4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Our retail stores remained open during the thirteen and twenty-six weeks ended July 31, 2021; however, guidance and mandates from governments and public health officials may necessitate closures to some, or all, of our retail stores which we cannot predict. We have also experienced certain global supply chain disruptions due in part to the COVID-19 pandemic further discussed in </w:t>
      </w:r>
      <w:r>
        <w:rPr>
          <w:rFonts w:ascii="Arial" w:cs="Arial" w:eastAsia="Arial" w:hAnsi="Arial"/>
          <w:sz w:val="17"/>
          <w:szCs w:val="17"/>
          <w:i w:val="1"/>
          <w:iCs w:val="1"/>
          <w:color w:val="auto"/>
        </w:rPr>
        <w:t>Supply Chain Disruptions</w:t>
      </w:r>
      <w:r>
        <w:rPr>
          <w:rFonts w:ascii="Arial" w:cs="Arial" w:eastAsia="Arial" w:hAnsi="Arial"/>
          <w:sz w:val="17"/>
          <w:szCs w:val="17"/>
          <w:color w:val="auto"/>
        </w:rPr>
        <w:t xml:space="preserve"> below.</w:t>
      </w:r>
    </w:p>
    <w:p>
      <w:pPr>
        <w:spacing w:after="0" w:line="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cannot predict the future impact that the COVID-19 pandemic could have on our future liquidity, operating results, and financial condition, but it could have a significant adverse affect on these metrics.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Disruptions</w:t>
      </w:r>
    </w:p>
    <w:p>
      <w:pPr>
        <w:spacing w:after="0" w:line="9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Throughout the second quarter for the Vera Bradley brand, we faced supply chain disruptions that caused delivery delays. We have experienced, on average, delays of 30 days before a full assortment of goods was available for each of our product launches. We are working diligently to mitigate the situation, but expect shipping delays and freight expense increases to continue for the near future. We have also been impacted by higher tariffs from previously duty-free countries, where we source products, as a result of the Generalized System of Preferences ("GSP") duty-free status expiring at the end of calendar year 2020. While we anticipate the GSP duty-free status will be reinstated and retro-actively applied, we cannot guarantee that will be the case and cannot predict the timing. These matters could have a material adverse effect on our liquidity, operating results,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results for the second quarter of fiscal 2022: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Vera Bradley, we:</w:t>
      </w:r>
    </w:p>
    <w:p>
      <w:pPr>
        <w:spacing w:after="0" w:line="90" w:lineRule="exact"/>
        <w:rPr>
          <w:sz w:val="20"/>
          <w:szCs w:val="20"/>
          <w:color w:val="auto"/>
        </w:rPr>
      </w:pPr>
    </w:p>
    <w:p>
      <w:pPr>
        <w:ind w:left="980" w:right="48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Launched our Recycled Cotton Collection, Cotton ReImagined, and reiterated our commitment to updating 100% of our fabrics to more sustainable alternatives by 2025;</w:t>
      </w:r>
    </w:p>
    <w:p>
      <w:pPr>
        <w:spacing w:after="0" w:line="35"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Had another exciting quarter of product collaborations, including our first-ever Classic Accessories outdoor collection and additional Harry Potter and Disney partnerships;</w:t>
      </w:r>
    </w:p>
    <w:p>
      <w:pPr>
        <w:spacing w:after="0" w:line="48" w:lineRule="exact"/>
        <w:rPr>
          <w:rFonts w:ascii="Arial" w:cs="Arial" w:eastAsia="Arial" w:hAnsi="Arial"/>
          <w:sz w:val="18"/>
          <w:szCs w:val="18"/>
          <w:color w:val="auto"/>
        </w:rPr>
      </w:pPr>
    </w:p>
    <w:p>
      <w:pPr>
        <w:ind w:left="980" w:right="74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our customer count. We believe our customer journey-centered activations and customer-level personalized messaging are meaningfully engaging new customers and aiding in the reactivation of lapsed customers;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80" w:right="20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Drove brand awareness with more social media engagement and quality media placements, with year-over-year media impressions up over 200%; and</w:t>
      </w:r>
    </w:p>
    <w:p>
      <w:pPr>
        <w:spacing w:after="0" w:line="35" w:lineRule="exact"/>
        <w:rPr>
          <w:rFonts w:ascii="Arial" w:cs="Arial" w:eastAsia="Arial" w:hAnsi="Arial"/>
          <w:sz w:val="18"/>
          <w:szCs w:val="18"/>
          <w:color w:val="auto"/>
        </w:rPr>
      </w:pPr>
    </w:p>
    <w:p>
      <w:pPr>
        <w:ind w:left="980" w:right="280" w:hanging="324"/>
        <w:spacing w:after="0" w:line="308" w:lineRule="auto"/>
        <w:tabs>
          <w:tab w:leader="none" w:pos="9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Continued to engage customers in various ways, including: fully implementing AfterPay, allowing customers to pay for their purchases in installments; adding product distribution on Target+ Marketplace; and continuing to boost our ThredUp partnership.</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Pura Vida, we:</w:t>
      </w:r>
    </w:p>
    <w:p>
      <w:pPr>
        <w:spacing w:after="0" w:line="104"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Substantially completed our Project Novus ERP integration, which unified our technology platform company-wide;</w:t>
      </w:r>
    </w:p>
    <w:p>
      <w:pPr>
        <w:spacing w:after="0" w:line="90"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to innovate on new products, launched our backpack and hat collections, and collaborated with Disney on a launch of Disney-themed jewelry and hair accessories;</w:t>
      </w:r>
    </w:p>
    <w:p>
      <w:pPr>
        <w:spacing w:after="0" w:line="48"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Expanded our wholesale distribution, adding over 250 new accounts to date this year;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Rolled out Pura Vida shop-in-shops in 23 Vera Bradley full-line locations, featuring a full assortment of jewelry items.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(all comparisons are to the second quarter of fiscal 2021)</w:t>
      </w:r>
    </w:p>
    <w:p>
      <w:pPr>
        <w:spacing w:after="0" w:line="108"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revenues increased 11.6% to $147.0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Vera Bradley Direct (“VB Direct”) segment sales increased 19.6% to $97.1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Vera Bradley Indirect segment (“VB Indirect”) sales decreased 5.1% to $16.8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Pura Vida segment sales increased 0.8% to $33.1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profit was $80.4 million, or 54.6%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income was $12.6 million and net income attributable to Vera Bradley, Inc. was $9.1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Capital expenditures for the thirteen weeks totaled $1.8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and cash equivalents and investments were $76.5 million at July 31,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revenues reflect sales of our merchandise and revenue from distribution and shipping and handling fees, less returns and discounts. Revenues for the VB Direct segment reflect sales through Vera Bradley full-line and factory outlet stores; verabradley.com; our Vera Bradley online outlet site; and typically our Vera Bradley annual outlet sale in Fort Wayne, Indiana. Revenues for the VB Indirect segment reflect sales of Vera Bradley-branded products to specialty retail partners; department stores; national accounts; third-party e-commerce sites; third-party inventory liquidators; and royalties recognized through licensing agreements related to the Vera Bradley brand. Revenues for the Pura Vida segment reflect revenues generated through the Pura Vida websites, www.puravidabracelets.com, www.puravidabracelets.eu, and www.puravidabracelets.ca and through the distribution of Pura Vida-branded products to wholesale retailers.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Typically, comparable sales are calculated based upon our stores that have been open for at least 12 full fiscal months and net revenues from our Vera Bradley e-commerce operations. Pura Vida e-commerce operations are included within the Company's comparable sales beginning with the fiscal 2021 third quarter. Pura Vida e-commerce operations include sales from the subscription club.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56"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As a result of the temporary closure of all Vera Bradley stores due to COVID-19 during portions of the first and second quarters of the prior-year, the Company's comparable store sales and comparable sales calculations are not meaningful and therefore are not provided.</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Typically, measuring the change in year-over-year comparable sales allows us and our investors to evaluate how our store base and e-commerce operations are performing. Various factors affect our comparable sales, including:</w:t>
      </w:r>
    </w:p>
    <w:p>
      <w:pPr>
        <w:spacing w:after="0" w:line="3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of store, mall, and e-commerce traffic;</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 and to our on-line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success of promotional and marketing efforts.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include selling; advertising, marketing, and product development; and administrative expenses. Selling expenses include:</w:t>
      </w:r>
    </w:p>
    <w:p>
      <w:pPr>
        <w:spacing w:after="0" w:line="9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VB Direct business expenses, such as store expenses, employee compensation, and store occupancy and supply costs;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VB Indirect business expenses consisting primarily of employee compensation and other expenses associated with sales to Indirect retailers; and</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Pura Vida business expenses primarily related to employee compensation.</w:t>
      </w:r>
    </w:p>
    <w:p>
      <w:pPr>
        <w:spacing w:after="0" w:line="10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primarily includes certain legal settlements and sales tax credits received for timely filings.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0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Operating income (loss) is equal to gross profit less SG&amp;A expenses plus other income, net. Operating income (loss) excludes interest income, interest expense, and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is equal to operating income (loss) plus interest income less interest expense and income taxes.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Redeemable Noncontrolling Interest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redeemable noncontrolling interest represents the operating results of Pura Vida that are not attributable to Vera Bradley, Inc.</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Vera Bradley, Inc.</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Net income (loss) attributable to Vera Bradley, Inc. is equal to net income (loss) less net income attributable to redeemable noncontrolling interest.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Pura Vida Acquisition</w:t>
      </w:r>
    </w:p>
    <w:p>
      <w:pPr>
        <w:spacing w:after="0" w:line="10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July 16, 2019, the Company completed its acquisition of a seventy-five percent (75%) ownership interest in Creative Genius, Inc. or “Pura Vida” (the “Transaction”) in exchange for total cash consideration of approximately $75.0 million. The Company received a working capital reimbursement of $1.0 million during the first quarter of fiscal 2021.</w:t>
      </w:r>
    </w:p>
    <w:p>
      <w:pPr>
        <w:spacing w:after="0" w:line="4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accordance with the Interest Purchase Agreement, the Company also agreed to a contingent payment of up to $22.5 million payable during the first quarter of calendar year 2020 based on calendar year 2019 adjusted EBITDA of Pura Vida, as defined in the Interest Purchase Agreement. This contingent payment was made during the first quarter of fiscal 2021 totaling $18.7 million. The Company’s existing available cash, cash equivalents, and investments funded the purchase price due at the closing of the Transaction and subsequent to the closing.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w:t>
      </w:r>
    </w:p>
    <w:p>
      <w:pPr>
        <w:spacing w:after="0" w:line="1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5 to the Notes to the Condensed Consolidated Financial Statements herein. Impairment charges of $3.8 million were recognized during the twenty-six weeks ended August 1, 2020 for property, plant, and equipment assets and lease right-of-use assets related to underperforming stores and are included in SG&amp;A expenses in the Condensed Consolidated Statements of Operations and in impairment charges in the Condensed Consolidated Statements of Cash Flows. The impairment charges are included in the VB Direct segment. There were no impairment charges recorded during the thirteen and twenty-six weeks ended July 31, 2021 and the thirteen weeks ended August 1, 2020. We are unable to predict the extent of the impact that the COVID-19 pandemic will have on our operations, the economy, or other factors; therefore, it is possible additional impairments could be identified in future periods, and such amounts could be material.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5"/>
          </w:tcPr>
          <w:p>
            <w:pPr>
              <w:ind w:left="560"/>
              <w:spacing w:after="0"/>
              <w:rPr>
                <w:sz w:val="20"/>
                <w:szCs w:val="20"/>
                <w:color w:val="auto"/>
              </w:rPr>
            </w:pPr>
            <w:r>
              <w:rPr>
                <w:rFonts w:ascii="Arial" w:cs="Arial" w:eastAsia="Arial" w:hAnsi="Arial"/>
                <w:sz w:val="14"/>
                <w:szCs w:val="14"/>
                <w:b w:val="1"/>
                <w:bCs w:val="1"/>
                <w:color w:val="auto"/>
              </w:rPr>
              <w:t>Thirteen Weeks Ended</w:t>
            </w:r>
          </w:p>
        </w:tc>
        <w:tc>
          <w:tcPr>
            <w:tcW w:w="320" w:type="dxa"/>
            <w:vAlign w:val="bottom"/>
          </w:tcPr>
          <w:p>
            <w:pPr>
              <w:spacing w:after="0"/>
              <w:rPr>
                <w:sz w:val="16"/>
                <w:szCs w:val="16"/>
                <w:color w:val="auto"/>
              </w:rPr>
            </w:pPr>
          </w:p>
        </w:tc>
        <w:tc>
          <w:tcPr>
            <w:tcW w:w="282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00"/>
              <w:spacing w:after="0" w:line="135" w:lineRule="exact"/>
              <w:rPr>
                <w:sz w:val="20"/>
                <w:szCs w:val="20"/>
                <w:color w:val="auto"/>
              </w:rPr>
            </w:pPr>
            <w:r>
              <w:rPr>
                <w:rFonts w:ascii="Arial" w:cs="Arial" w:eastAsia="Arial" w:hAnsi="Arial"/>
                <w:sz w:val="14"/>
                <w:szCs w:val="14"/>
                <w:b w:val="1"/>
                <w:bCs w:val="1"/>
                <w:color w:val="auto"/>
              </w:rPr>
              <w:t>July 31,</w:t>
            </w:r>
          </w:p>
        </w:tc>
        <w:tc>
          <w:tcPr>
            <w:tcW w:w="3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71"/>
              <w:spacing w:after="0" w:line="135" w:lineRule="exact"/>
              <w:rPr>
                <w:sz w:val="20"/>
                <w:szCs w:val="20"/>
                <w:color w:val="auto"/>
              </w:rPr>
            </w:pPr>
            <w:r>
              <w:rPr>
                <w:rFonts w:ascii="Arial" w:cs="Arial" w:eastAsia="Arial" w:hAnsi="Arial"/>
                <w:sz w:val="14"/>
                <w:szCs w:val="14"/>
                <w:b w:val="1"/>
                <w:bCs w:val="1"/>
                <w:color w:val="auto"/>
              </w:rPr>
              <w:t>August 1,</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00"/>
              <w:spacing w:after="0" w:line="135" w:lineRule="exact"/>
              <w:rPr>
                <w:sz w:val="20"/>
                <w:szCs w:val="20"/>
                <w:color w:val="auto"/>
              </w:rPr>
            </w:pPr>
            <w:r>
              <w:rPr>
                <w:rFonts w:ascii="Arial" w:cs="Arial" w:eastAsia="Arial" w:hAnsi="Arial"/>
                <w:sz w:val="14"/>
                <w:szCs w:val="14"/>
                <w:b w:val="1"/>
                <w:bCs w:val="1"/>
                <w:color w:val="auto"/>
              </w:rPr>
              <w:t>July 31,</w:t>
            </w:r>
          </w:p>
        </w:tc>
        <w:tc>
          <w:tcPr>
            <w:tcW w:w="3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71"/>
              <w:spacing w:after="0" w:line="135" w:lineRule="exact"/>
              <w:rPr>
                <w:sz w:val="20"/>
                <w:szCs w:val="20"/>
                <w:color w:val="auto"/>
              </w:rPr>
            </w:pPr>
            <w:r>
              <w:rPr>
                <w:rFonts w:ascii="Arial" w:cs="Arial" w:eastAsia="Arial" w:hAnsi="Arial"/>
                <w:sz w:val="14"/>
                <w:szCs w:val="14"/>
                <w:b w:val="1"/>
                <w:bCs w:val="1"/>
                <w:color w:val="auto"/>
              </w:rPr>
              <w:t>August 1,</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147,048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131,770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256,142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201,054</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66,687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52,149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116,617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87,245</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80,361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79,621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139,525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113,809</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68,729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62,155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129,625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121,937</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12,648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17,499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10,689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12,529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17,014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10,480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(8,632)</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2,672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8,687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9,857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8,339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Net income attributable to redeemable noncontrolling</w:t>
            </w:r>
          </w:p>
        </w:tc>
        <w:tc>
          <w:tcPr>
            <w:tcW w:w="3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Net income (loss) attributable to Vera Bradley, Inc.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9,050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7,216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6,905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(8,121)</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Percentage of Net Revenues:</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43.4 %</w:t>
            </w: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56.6 %</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attributable to redeemable noncontrolling</w:t>
            </w:r>
          </w:p>
        </w:tc>
        <w:tc>
          <w:tcPr>
            <w:tcW w:w="3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Vera Bradley, Inc.</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5"/>
          </w:tcPr>
          <w:p>
            <w:pPr>
              <w:ind w:left="560"/>
              <w:spacing w:after="0"/>
              <w:rPr>
                <w:sz w:val="20"/>
                <w:szCs w:val="20"/>
                <w:color w:val="auto"/>
              </w:rPr>
            </w:pPr>
            <w:r>
              <w:rPr>
                <w:rFonts w:ascii="Arial" w:cs="Arial" w:eastAsia="Arial" w:hAnsi="Arial"/>
                <w:sz w:val="14"/>
                <w:szCs w:val="14"/>
                <w:b w:val="1"/>
                <w:bCs w:val="1"/>
                <w:color w:val="auto"/>
              </w:rPr>
              <w:t>Thirteen Weeks Ended</w:t>
            </w:r>
          </w:p>
        </w:tc>
        <w:tc>
          <w:tcPr>
            <w:tcW w:w="300" w:type="dxa"/>
            <w:vAlign w:val="bottom"/>
          </w:tcPr>
          <w:p>
            <w:pPr>
              <w:spacing w:after="0"/>
              <w:rPr>
                <w:sz w:val="16"/>
                <w:szCs w:val="16"/>
                <w:color w:val="auto"/>
              </w:rPr>
            </w:pPr>
          </w:p>
        </w:tc>
        <w:tc>
          <w:tcPr>
            <w:tcW w:w="2840" w:type="dxa"/>
            <w:vAlign w:val="bottom"/>
            <w:gridSpan w:val="4"/>
          </w:tcPr>
          <w:p>
            <w:pPr>
              <w:jc w:val="right"/>
              <w:ind w:right="716"/>
              <w:spacing w:after="0"/>
              <w:rPr>
                <w:sz w:val="20"/>
                <w:szCs w:val="20"/>
                <w:color w:val="auto"/>
              </w:rPr>
            </w:pPr>
            <w:r>
              <w:rPr>
                <w:rFonts w:ascii="Arial" w:cs="Arial" w:eastAsia="Arial" w:hAnsi="Arial"/>
                <w:sz w:val="14"/>
                <w:szCs w:val="14"/>
                <w:b w:val="1"/>
                <w:bCs w:val="1"/>
                <w:color w:val="auto"/>
              </w:rPr>
              <w:t>Twenty-Six Weeks Ended</w:t>
            </w:r>
          </w:p>
        </w:tc>
      </w:tr>
      <w:tr>
        <w:trPr>
          <w:trHeight w:val="134"/>
        </w:trPr>
        <w:tc>
          <w:tcPr>
            <w:tcW w:w="48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220"/>
              <w:spacing w:after="0" w:line="135" w:lineRule="exact"/>
              <w:rPr>
                <w:sz w:val="20"/>
                <w:szCs w:val="20"/>
                <w:color w:val="auto"/>
              </w:rPr>
            </w:pPr>
            <w:r>
              <w:rPr>
                <w:rFonts w:ascii="Arial" w:cs="Arial" w:eastAsia="Arial" w:hAnsi="Arial"/>
                <w:sz w:val="14"/>
                <w:szCs w:val="14"/>
                <w:b w:val="1"/>
                <w:bCs w:val="1"/>
                <w:color w:val="auto"/>
              </w:rPr>
              <w:t>July 31,</w:t>
            </w:r>
          </w:p>
        </w:tc>
        <w:tc>
          <w:tcPr>
            <w:tcW w:w="2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76"/>
              <w:spacing w:after="0" w:line="135" w:lineRule="exact"/>
              <w:rPr>
                <w:sz w:val="20"/>
                <w:szCs w:val="20"/>
                <w:color w:val="auto"/>
              </w:rPr>
            </w:pPr>
            <w:r>
              <w:rPr>
                <w:rFonts w:ascii="Arial" w:cs="Arial" w:eastAsia="Arial" w:hAnsi="Arial"/>
                <w:sz w:val="14"/>
                <w:szCs w:val="14"/>
                <w:b w:val="1"/>
                <w:bCs w:val="1"/>
                <w:color w:val="auto"/>
              </w:rPr>
              <w:t>August 1,</w:t>
            </w: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220"/>
              <w:spacing w:after="0" w:line="135" w:lineRule="exact"/>
              <w:rPr>
                <w:sz w:val="20"/>
                <w:szCs w:val="20"/>
                <w:color w:val="auto"/>
              </w:rPr>
            </w:pPr>
            <w:r>
              <w:rPr>
                <w:rFonts w:ascii="Arial" w:cs="Arial" w:eastAsia="Arial" w:hAnsi="Arial"/>
                <w:sz w:val="14"/>
                <w:szCs w:val="14"/>
                <w:b w:val="1"/>
                <w:bCs w:val="1"/>
                <w:color w:val="auto"/>
              </w:rPr>
              <w:t>July 31,</w:t>
            </w: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396"/>
              <w:spacing w:after="0" w:line="135" w:lineRule="exact"/>
              <w:rPr>
                <w:sz w:val="20"/>
                <w:szCs w:val="20"/>
                <w:color w:val="auto"/>
              </w:rPr>
            </w:pPr>
            <w:r>
              <w:rPr>
                <w:rFonts w:ascii="Arial" w:cs="Arial" w:eastAsia="Arial" w:hAnsi="Arial"/>
                <w:sz w:val="14"/>
                <w:szCs w:val="14"/>
                <w:b w:val="1"/>
                <w:bCs w:val="1"/>
                <w:color w:val="auto"/>
              </w:rPr>
              <w:t>August 1,</w:t>
            </w:r>
          </w:p>
        </w:tc>
      </w:tr>
      <w:tr>
        <w:trPr>
          <w:trHeight w:val="186"/>
        </w:trPr>
        <w:tc>
          <w:tcPr>
            <w:tcW w:w="4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12"/>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Net Revenues by Segment:</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97,138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81,233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163,870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118,070</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300" w:type="dxa"/>
            <w:vAlign w:val="bottom"/>
          </w:tcPr>
          <w:p>
            <w:pPr>
              <w:spacing w:after="0"/>
              <w:rPr>
                <w:sz w:val="19"/>
                <w:szCs w:val="19"/>
                <w:color w:val="auto"/>
              </w:rPr>
            </w:pPr>
          </w:p>
        </w:tc>
        <w:tc>
          <w:tcPr>
            <w:tcW w:w="1200" w:type="dxa"/>
            <w:vAlign w:val="bottom"/>
          </w:tcPr>
          <w:p>
            <w:pPr>
              <w:jc w:val="right"/>
              <w:ind w:right="138"/>
              <w:spacing w:after="0"/>
              <w:rPr>
                <w:sz w:val="20"/>
                <w:szCs w:val="20"/>
                <w:color w:val="auto"/>
              </w:rPr>
            </w:pPr>
            <w:r>
              <w:rPr>
                <w:rFonts w:ascii="Arial" w:cs="Arial" w:eastAsia="Arial" w:hAnsi="Arial"/>
                <w:sz w:val="18"/>
                <w:szCs w:val="18"/>
                <w:color w:val="auto"/>
              </w:rPr>
              <w:t>16,832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17,730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8"/>
              <w:spacing w:after="0"/>
              <w:rPr>
                <w:sz w:val="20"/>
                <w:szCs w:val="20"/>
                <w:color w:val="auto"/>
              </w:rPr>
            </w:pPr>
            <w:r>
              <w:rPr>
                <w:rFonts w:ascii="Arial" w:cs="Arial" w:eastAsia="Arial" w:hAnsi="Arial"/>
                <w:sz w:val="18"/>
                <w:szCs w:val="18"/>
                <w:color w:val="auto"/>
              </w:rPr>
              <w:t>32,096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28,959</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33,078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32,807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60,176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54,025</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8"/>
              <w:spacing w:after="0"/>
              <w:rPr>
                <w:sz w:val="20"/>
                <w:szCs w:val="20"/>
                <w:color w:val="auto"/>
              </w:rPr>
            </w:pPr>
            <w:r>
              <w:rPr>
                <w:rFonts w:ascii="Arial" w:cs="Arial" w:eastAsia="Arial" w:hAnsi="Arial"/>
                <w:sz w:val="18"/>
                <w:szCs w:val="18"/>
                <w:color w:val="auto"/>
              </w:rPr>
              <w:t>147,048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131,770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8"/>
              <w:spacing w:after="0"/>
              <w:rPr>
                <w:sz w:val="20"/>
                <w:szCs w:val="20"/>
                <w:color w:val="auto"/>
              </w:rPr>
            </w:pPr>
            <w:r>
              <w:rPr>
                <w:rFonts w:ascii="Arial" w:cs="Arial" w:eastAsia="Arial" w:hAnsi="Arial"/>
                <w:sz w:val="18"/>
                <w:szCs w:val="18"/>
                <w:color w:val="auto"/>
              </w:rPr>
              <w:t>256,142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201,054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Revenues by Segment:</w:t>
            </w:r>
          </w:p>
        </w:tc>
        <w:tc>
          <w:tcPr>
            <w:tcW w:w="15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VB Direct</w:t>
            </w:r>
          </w:p>
        </w:tc>
        <w:tc>
          <w:tcPr>
            <w:tcW w:w="1500" w:type="dxa"/>
            <w:vAlign w:val="bottom"/>
          </w:tcPr>
          <w:p>
            <w:pPr>
              <w:jc w:val="right"/>
              <w:spacing w:after="0"/>
              <w:rPr>
                <w:sz w:val="20"/>
                <w:szCs w:val="20"/>
                <w:color w:val="auto"/>
              </w:rPr>
            </w:pPr>
            <w:r>
              <w:rPr>
                <w:rFonts w:ascii="Arial" w:cs="Arial" w:eastAsia="Arial" w:hAnsi="Arial"/>
                <w:sz w:val="18"/>
                <w:szCs w:val="18"/>
                <w:color w:val="auto"/>
              </w:rPr>
              <w:t>66.1 %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61.6 %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64.0 %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58.7 %</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Indirect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Pura Vida</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22.5 %</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24.9 %</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23.5 %</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26.9 %</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4860" w:type="dxa"/>
            <w:vAlign w:val="bottom"/>
          </w:tcPr>
          <w:p>
            <w:pPr>
              <w:spacing w:after="0"/>
              <w:rPr>
                <w:sz w:val="24"/>
                <w:szCs w:val="24"/>
                <w:color w:val="auto"/>
              </w:rPr>
            </w:pPr>
          </w:p>
        </w:tc>
        <w:tc>
          <w:tcPr>
            <w:tcW w:w="1500" w:type="dxa"/>
            <w:vAlign w:val="bottom"/>
          </w:tcPr>
          <w:p>
            <w:pPr>
              <w:jc w:val="right"/>
              <w:ind w:right="55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5"/>
          </w:tcPr>
          <w:p>
            <w:pPr>
              <w:ind w:left="560"/>
              <w:spacing w:after="0"/>
              <w:rPr>
                <w:sz w:val="20"/>
                <w:szCs w:val="20"/>
                <w:color w:val="auto"/>
              </w:rPr>
            </w:pPr>
            <w:r>
              <w:rPr>
                <w:rFonts w:ascii="Arial" w:cs="Arial" w:eastAsia="Arial" w:hAnsi="Arial"/>
                <w:sz w:val="14"/>
                <w:szCs w:val="14"/>
                <w:b w:val="1"/>
                <w:bCs w:val="1"/>
                <w:color w:val="auto"/>
              </w:rPr>
              <w:t>Thirteen Weeks Ended</w:t>
            </w:r>
          </w:p>
        </w:tc>
        <w:tc>
          <w:tcPr>
            <w:tcW w:w="320" w:type="dxa"/>
            <w:vAlign w:val="bottom"/>
          </w:tcPr>
          <w:p>
            <w:pPr>
              <w:spacing w:after="0"/>
              <w:rPr>
                <w:sz w:val="16"/>
                <w:szCs w:val="16"/>
                <w:color w:val="auto"/>
              </w:rPr>
            </w:pPr>
          </w:p>
        </w:tc>
        <w:tc>
          <w:tcPr>
            <w:tcW w:w="282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00"/>
              <w:spacing w:after="0" w:line="135" w:lineRule="exact"/>
              <w:rPr>
                <w:sz w:val="20"/>
                <w:szCs w:val="20"/>
                <w:color w:val="auto"/>
              </w:rPr>
            </w:pPr>
            <w:r>
              <w:rPr>
                <w:rFonts w:ascii="Arial" w:cs="Arial" w:eastAsia="Arial" w:hAnsi="Arial"/>
                <w:sz w:val="14"/>
                <w:szCs w:val="14"/>
                <w:b w:val="1"/>
                <w:bCs w:val="1"/>
                <w:color w:val="auto"/>
              </w:rPr>
              <w:t>July 31,</w:t>
            </w:r>
          </w:p>
        </w:tc>
        <w:tc>
          <w:tcPr>
            <w:tcW w:w="3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72"/>
              <w:spacing w:after="0" w:line="135" w:lineRule="exact"/>
              <w:rPr>
                <w:sz w:val="20"/>
                <w:szCs w:val="20"/>
                <w:color w:val="auto"/>
              </w:rPr>
            </w:pPr>
            <w:r>
              <w:rPr>
                <w:rFonts w:ascii="Arial" w:cs="Arial" w:eastAsia="Arial" w:hAnsi="Arial"/>
                <w:sz w:val="14"/>
                <w:szCs w:val="14"/>
                <w:b w:val="1"/>
                <w:bCs w:val="1"/>
                <w:color w:val="auto"/>
              </w:rPr>
              <w:t>August 1,</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00"/>
              <w:spacing w:after="0" w:line="135" w:lineRule="exact"/>
              <w:rPr>
                <w:sz w:val="20"/>
                <w:szCs w:val="20"/>
                <w:color w:val="auto"/>
              </w:rPr>
            </w:pPr>
            <w:r>
              <w:rPr>
                <w:rFonts w:ascii="Arial" w:cs="Arial" w:eastAsia="Arial" w:hAnsi="Arial"/>
                <w:sz w:val="14"/>
                <w:szCs w:val="14"/>
                <w:b w:val="1"/>
                <w:bCs w:val="1"/>
                <w:color w:val="auto"/>
              </w:rPr>
              <w:t>July 31,</w:t>
            </w:r>
          </w:p>
        </w:tc>
        <w:tc>
          <w:tcPr>
            <w:tcW w:w="3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72"/>
              <w:spacing w:after="0" w:line="135" w:lineRule="exact"/>
              <w:rPr>
                <w:sz w:val="20"/>
                <w:szCs w:val="20"/>
                <w:color w:val="auto"/>
              </w:rPr>
            </w:pPr>
            <w:r>
              <w:rPr>
                <w:rFonts w:ascii="Arial" w:cs="Arial" w:eastAsia="Arial" w:hAnsi="Arial"/>
                <w:sz w:val="14"/>
                <w:szCs w:val="14"/>
                <w:b w:val="1"/>
                <w:bCs w:val="1"/>
                <w:color w:val="auto"/>
              </w:rPr>
              <w:t>August 1,</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 by Segment:</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22,822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11,857</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32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5,601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6,477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10,062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5,734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Corporate unallocated</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(19,347)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(16,245)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(39,135)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(32,809)</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17,499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10,689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w w:val="91"/>
              </w:rPr>
              <w:t>Operating Income (Loss) as a Percentage of Net Revenues by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8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Segment:</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Vera Bradley Store Data </w:t>
            </w:r>
            <w:r>
              <w:rPr>
                <w:rFonts w:ascii="Arial" w:cs="Arial" w:eastAsia="Arial" w:hAnsi="Arial"/>
                <w:sz w:val="23"/>
                <w:szCs w:val="23"/>
                <w:b w:val="1"/>
                <w:bCs w:val="1"/>
                <w:color w:val="auto"/>
                <w:vertAlign w:val="superscript"/>
              </w:rPr>
              <w:t>(1)(2)</w:t>
            </w: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stores opened during period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Total stores closed during period</w:t>
            </w:r>
          </w:p>
        </w:tc>
        <w:tc>
          <w:tcPr>
            <w:tcW w:w="320" w:type="dxa"/>
            <w:vAlign w:val="bottom"/>
          </w:tcPr>
          <w:p>
            <w:pPr>
              <w:spacing w:after="0"/>
              <w:rPr>
                <w:sz w:val="19"/>
                <w:szCs w:val="19"/>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stores open at end of period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Total gross square footage at end of period (all stores)</w:t>
            </w:r>
          </w:p>
        </w:tc>
        <w:tc>
          <w:tcPr>
            <w:tcW w:w="32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393,592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389,144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393,592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389,144</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3"/>
                <w:szCs w:val="23"/>
                <w:color w:val="auto"/>
                <w:vertAlign w:val="superscript"/>
              </w:rPr>
              <w:t>(3)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NM</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60" w:hanging="552"/>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Vera Bradley full-line and factory outlet stores.</w:t>
      </w:r>
    </w:p>
    <w:p>
      <w:pPr>
        <w:spacing w:after="0" w:line="23" w:lineRule="exact"/>
        <w:rPr>
          <w:rFonts w:ascii="Arial" w:cs="Arial" w:eastAsia="Arial" w:hAnsi="Arial"/>
          <w:sz w:val="18"/>
          <w:szCs w:val="18"/>
          <w:color w:val="auto"/>
        </w:rPr>
      </w:pPr>
    </w:p>
    <w:p>
      <w:pPr>
        <w:ind w:left="580" w:right="560" w:hanging="572"/>
        <w:spacing w:after="0" w:line="281" w:lineRule="auto"/>
        <w:tabs>
          <w:tab w:leader="none" w:pos="574"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a result of the temporary closure of Vera Bradley stores due to COVID-19 during a portion of the prior-year first and second quarters, the Company's comparable store sales and comparable sales calculations were not meaningful and therefore were not provided.</w:t>
      </w:r>
    </w:p>
    <w:p>
      <w:pPr>
        <w:spacing w:after="0" w:line="1" w:lineRule="exact"/>
        <w:rPr>
          <w:rFonts w:ascii="Arial" w:cs="Arial" w:eastAsia="Arial" w:hAnsi="Arial"/>
          <w:sz w:val="16"/>
          <w:szCs w:val="16"/>
          <w:color w:val="auto"/>
        </w:rPr>
      </w:pPr>
    </w:p>
    <w:p>
      <w:pPr>
        <w:ind w:left="580" w:right="20" w:hanging="572"/>
        <w:spacing w:after="0" w:line="253" w:lineRule="auto"/>
        <w:tabs>
          <w:tab w:leader="none" w:pos="5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As a result of the temporary closure of Vera Bradley stores due to COVID-19 during a portion of the prior-year first and second quarters, the Company's prior-year average net revenues per square foot were not meaningful and therefore were not provided.</w:t>
      </w:r>
    </w:p>
    <w:p>
      <w:pPr>
        <w:spacing w:after="0" w:line="214" w:lineRule="exact"/>
        <w:rPr>
          <w:sz w:val="20"/>
          <w:szCs w:val="20"/>
          <w:color w:val="auto"/>
        </w:rPr>
      </w:pPr>
    </w:p>
    <w:p>
      <w:pPr>
        <w:ind w:right="4340"/>
        <w:spacing w:after="0" w:line="362" w:lineRule="auto"/>
        <w:rPr>
          <w:sz w:val="20"/>
          <w:szCs w:val="20"/>
          <w:color w:val="auto"/>
        </w:rPr>
      </w:pPr>
      <w:r>
        <w:rPr>
          <w:rFonts w:ascii="Arial" w:cs="Arial" w:eastAsia="Arial" w:hAnsi="Arial"/>
          <w:sz w:val="18"/>
          <w:szCs w:val="18"/>
          <w:b w:val="1"/>
          <w:bCs w:val="1"/>
          <w:color w:val="auto"/>
        </w:rPr>
        <w:t xml:space="preserve">Thirteen Weeks Ended July 31, 2021, Compared to Thirteen Weeks Ended August 1, 2020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the thirteen weeks ended July 31, 2021, net revenues increased $15.2 million, or 11.6%, to $147.0 million, from $131.8 million in the comparable prior-year period.</w:t>
      </w:r>
    </w:p>
    <w:p>
      <w:pPr>
        <w:spacing w:after="0" w:line="116"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i w:val="1"/>
          <w:iCs w:val="1"/>
          <w:color w:val="auto"/>
        </w:rPr>
        <w:t>VB Direct</w:t>
      </w:r>
      <w:r>
        <w:rPr>
          <w:rFonts w:ascii="Arial" w:cs="Arial" w:eastAsia="Arial" w:hAnsi="Arial"/>
          <w:sz w:val="16"/>
          <w:szCs w:val="16"/>
          <w:color w:val="auto"/>
        </w:rPr>
        <w:t>. For the thirteen weeks ended July 31, 2021, net revenues in the VB Direct segment increased $15.9 million, or 19.6%, to $97.1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$81.2 million in the comparable prior-year period. The increase primarily resulted from higher store sales in the current-year since in the prior-year the Company’s stores were temporarily closed during a portion of the quarter, as a result of COVID-19, and began to re-open on May 5, 2020. This increase was partially offset by a decline in mask sales compared to the prior-year. We also opened six Vera Bradley factory outlet stores over the past 12 months.</w:t>
      </w:r>
    </w:p>
    <w:p>
      <w:pPr>
        <w:spacing w:after="0" w:line="101" w:lineRule="exact"/>
        <w:rPr>
          <w:sz w:val="20"/>
          <w:szCs w:val="20"/>
          <w:color w:val="auto"/>
        </w:rPr>
      </w:pPr>
    </w:p>
    <w:p>
      <w:pPr>
        <w:jc w:val="both"/>
        <w:ind w:right="180"/>
        <w:spacing w:after="0" w:line="294" w:lineRule="auto"/>
        <w:rPr>
          <w:sz w:val="20"/>
          <w:szCs w:val="20"/>
          <w:color w:val="auto"/>
        </w:rPr>
      </w:pPr>
      <w:r>
        <w:rPr>
          <w:rFonts w:ascii="Arial" w:cs="Arial" w:eastAsia="Arial" w:hAnsi="Arial"/>
          <w:sz w:val="16"/>
          <w:szCs w:val="16"/>
          <w:i w:val="1"/>
          <w:iCs w:val="1"/>
          <w:color w:val="auto"/>
        </w:rPr>
        <w:t>VB Indirect</w:t>
      </w:r>
      <w:r>
        <w:rPr>
          <w:rFonts w:ascii="Arial" w:cs="Arial" w:eastAsia="Arial" w:hAnsi="Arial"/>
          <w:sz w:val="16"/>
          <w:szCs w:val="16"/>
          <w:color w:val="auto"/>
        </w:rPr>
        <w:t>. For the thirteen weeks ended July 31, 2021, net revenues in the VB Indirect segment decreased $0.9 million, or 5.1%, to $16.8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$17.7 million in the comparable prior-year period. The decrease was primarily due to a reduction in orders primarily related to mask sales, partially offset by a rebound in specialty and key account orders in other product categories that were negatively impacted by COVID-19 in the prior year.</w:t>
      </w:r>
    </w:p>
    <w:p>
      <w:pPr>
        <w:spacing w:after="0" w:line="9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Pura Vida. </w:t>
      </w:r>
      <w:r>
        <w:rPr>
          <w:rFonts w:ascii="Arial" w:cs="Arial" w:eastAsia="Arial" w:hAnsi="Arial"/>
          <w:sz w:val="18"/>
          <w:szCs w:val="18"/>
          <w:color w:val="auto"/>
        </w:rPr>
        <w:t>For the thirteen weeks ended July 31, 2021, net revenues in the Pura Vida segment increased $0.3 million, or 0.8%, to $33.1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$32.8 million in the comparable prior-year period. Our marketing effectiveness for the e-commerce channel was negatively impacted by the Apple iOS 14.5 update in the current-year resulting in a decline in e-commerce sales. This update impacted Facebook and Instagram, which have been our primary marketing vehicles.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thirteen weeks ended July 31, 2021, gross profit increased $0.8 million, or 0.9%, to $80.4 million, from $79.6 million in the comparable prior-year period. As a percentage of net revenues, gross profit decreased to 54.6% for the thirteen weeks ended July 31, 2021, from 60.4% in the comparable prior-year period. The decrease as a percentage of net revenues was primarily due to a decrease in higher-margin mask sales in the current-year period compared to the prior-year and an increase in shipping and duty costs.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For the thirteen weeks ended July 31, 2021, SG&amp;A expenses increased $6.5 million, or 10.6%, to $68.7 million, from $62.2 million in the comparable prior-year period. As a percentage of net revenues, SG&amp;A expenses decreased to 46.7% for the thirteen weeks ended July 31, 2021, from 47.2% in the comparable prior-year period. SG&amp;A expenses related to Vera Bradley and corporate unallocated were $53.1 million compared to $46.4 million in the comparable prior-year period. SG&amp;A expenses related to Pura Vida were $15.6 million compared to $15.8 million in the prior-year. The increase in consolidated SG&amp;A expenses for the thirteen weeks ended July 31, 2021 was primarily due to Vera Bradley initiatives to reduce expenses in light of COVID-19 including the temporary furlough of certain associates; temporarily reducing the base compensation for all other salaried associates; certain expense reductions associated with the CARES Act retention credit; and reducing other non-payroll expenses including marketing that occurred in the prior-year period but did not recur in the current-year period.</w:t>
      </w:r>
    </w:p>
    <w:p>
      <w:pPr>
        <w:spacing w:after="0" w:line="42" w:lineRule="exact"/>
        <w:rPr>
          <w:sz w:val="20"/>
          <w:szCs w:val="20"/>
          <w:color w:val="auto"/>
        </w:rPr>
      </w:pPr>
    </w:p>
    <w:p>
      <w:pPr>
        <w:ind w:right="480"/>
        <w:spacing w:after="0" w:line="307" w:lineRule="auto"/>
        <w:rPr>
          <w:sz w:val="20"/>
          <w:szCs w:val="20"/>
          <w:color w:val="auto"/>
        </w:rPr>
      </w:pPr>
      <w:r>
        <w:rPr>
          <w:rFonts w:ascii="Arial" w:cs="Arial" w:eastAsia="Arial" w:hAnsi="Arial"/>
          <w:sz w:val="16"/>
          <w:szCs w:val="16"/>
          <w:color w:val="auto"/>
        </w:rPr>
        <w:t>The aforementioned increases in SG&amp;A expenses were partially offset by a reduction in depreciation expense primarily as a result of legacy software depreciation from the prior-year and a $1.5 million reduction of intangible asset amortization associated with the Pura Vida acquisition.</w:t>
      </w:r>
    </w:p>
    <w:p>
      <w:pPr>
        <w:spacing w:after="0" w:line="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SG&amp;A expenses as a percentage of net revenues decreased primarily due to the aforementioned items, as well as SG&amp;A expense leverage associated with increased sales.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For the thirteen weeks ended July 31, 2021, net other income increased to $1.0 million compared to $33.0 thousand in the comparable prior-year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other income was primarily due to a legal settlement in the current-year period.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the thirteen weeks ended July 31, 2021, operating income decreased $4.9 million to $12.6 million in the current-year period, from $17.5 million in the comparable prior-year period. As a percentage of net revenues, operating income was 8.6% and 13.3% for the thirteen weeks ended July 31, 2021 and August 1, 2020, respectively. Operating income decreased due to the factors described in the captions above</w:t>
      </w:r>
      <w:r>
        <w:rPr>
          <w:rFonts w:ascii="Arial" w:cs="Arial" w:eastAsia="Arial" w:hAnsi="Arial"/>
          <w:sz w:val="18"/>
          <w:szCs w:val="18"/>
          <w:i w:val="1"/>
          <w:iCs w:val="1"/>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VB Direct</w:t>
      </w:r>
      <w:r>
        <w:rPr>
          <w:rFonts w:ascii="Arial" w:cs="Arial" w:eastAsia="Arial" w:hAnsi="Arial"/>
          <w:sz w:val="17"/>
          <w:szCs w:val="17"/>
          <w:color w:val="auto"/>
        </w:rPr>
        <w:t>. For the thirteen weeks ended July 31, 2021, operating income in the VB Direct segment increased $0.4 million, to $23.2 million from</w:t>
      </w:r>
    </w:p>
    <w:p>
      <w:pPr>
        <w:spacing w:after="0" w:line="3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$22.8 million in the comparable prior-year period. As a percentage of VB Direct segment net revenues, operating income in the VB Direct segment was 23.9% and 28.1% for the thirteen weeks ended July 31, 2021 and August 1, 2020, respectively. The decrease in operating income as a percentage of VB Direct segment net revenues was primarily due to a decrease in gross margin as a percentage of net revenues as described above and COVID-19-related expense savings from the prior-year period that did not recur. This decrease was partially offset by SG&amp;A expense leverage associated with increased sales.</w:t>
      </w:r>
    </w:p>
    <w:p>
      <w:pPr>
        <w:spacing w:after="0" w:line="10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VB Indirect</w:t>
      </w:r>
      <w:r>
        <w:rPr>
          <w:rFonts w:ascii="Arial" w:cs="Arial" w:eastAsia="Arial" w:hAnsi="Arial"/>
          <w:sz w:val="18"/>
          <w:szCs w:val="18"/>
          <w:color w:val="auto"/>
        </w:rPr>
        <w:t>. For the thirteen weeks ended July 31, 2021, operating income in the VB Indirect segment decreased $0.9 million, or 13.5%, to $5.6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$6.5 million in the comparable prior-year period. As a percentage of VB Indirect segment net revenues, operating income in the VB Indirect segment was 33.3% and 36.5% for the thirteen weeks ended July 31, 2021 and August 1, 2020, respectively. The decrease in operating income as a percentage of VB Indirect segment net revenues was primarily due to a decrease in gross margin as a percentage of net revenues as described above, partially offset by a decrease in the bad debt provision compared to the prior-year period.</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Pura Vida. </w:t>
      </w:r>
      <w:r>
        <w:rPr>
          <w:rFonts w:ascii="Arial" w:cs="Arial" w:eastAsia="Arial" w:hAnsi="Arial"/>
          <w:sz w:val="18"/>
          <w:szCs w:val="18"/>
          <w:color w:val="auto"/>
        </w:rPr>
        <w:t>For the thirteen weeks ended July 31, 2021, operating income in the Pura Vida segment decreased $1.2 million to $3.2 million from $4.4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comparable prior-year period. As a percentage of Pura Vida segment net revenues, operating income in the Pura Vida segment was 9.8% and 13.5% for the thirteen weeks ended July 31, 2021 and August 1, 2020, respectively. The decrease in operating income as a percentage of Pura Vida net revenues was primarily due to a decrease in gross margin as a percentage of net revenues partly due to channel mix changes as a result of the impact of the COVID-19 pandemic on wholesale sales in the prior-year period, partially offset by a decrease in the intangible asset amortization expense compared to the prior-year period.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July 31, 2021, unallocated expenses increased $3.1 million, or 19.1%, to $19.3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$16.2 million in the comparable prior-year period. The increase in unallocated expenses was primarily due to prior-year period initiatives to reduce expenses in light of COVID-19 that did not recur in the current-year including the temporary furlough of certain associates; temporarily reducing the base compensation for all other salaried associates; and reducing other non-payroll expenses including marketing. These increases in SG&amp;A expense were partially offset by a decrease in depreciation expense, as described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The effective tax rate for the thirteen weeks ended July 31, 2021, was 21.3%, compared to 51.1% for the thirteen weeks ended August 1, 2020. The year-over year effective tax rate decrease was primarily due to the reversal of the impact from the net operating loss (“NOL”) carryback in the prior-year that was estimated in the first quarter as a result of the Coronavirus Aid, Relief, and Economic Security Act (“CARES Act”) that was enacted on March 27, 2020 in response to the COVID-19 pandemic.</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thirteen weeks ended July 31, 2021, net income increased $1.6 million to $9.9 million from $8.3 million in the comparable prior-year period due to the factors described in the captions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Redeemable Noncontrolling Interest</w:t>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 the thirteen weeks ended July 31, 2021, net income attributable to redeemable noncontrolling interest was $0.8 million compared to $1.1 million in the prior-year period. This represents the allocation of the Pura Vida net income to the noncontrolling interest. The reduction in net income was due to the factors described above in the Pura Vida operating segment.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Vera Bradley, Inc.</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the thirteen weeks ended July 31, 2021, net income attributable to Vera Bradley, Inc. increased $1.9 million to $9.1 million from $7.2 million in the comparable prior-year period due to the factors described in the captions above.</w:t>
      </w:r>
    </w:p>
    <w:p>
      <w:pPr>
        <w:spacing w:after="0" w:line="207" w:lineRule="exact"/>
        <w:rPr>
          <w:sz w:val="20"/>
          <w:szCs w:val="20"/>
          <w:color w:val="auto"/>
        </w:rPr>
      </w:pPr>
    </w:p>
    <w:p>
      <w:pPr>
        <w:ind w:right="3920"/>
        <w:spacing w:after="0" w:line="354" w:lineRule="auto"/>
        <w:rPr>
          <w:sz w:val="20"/>
          <w:szCs w:val="20"/>
          <w:color w:val="auto"/>
        </w:rPr>
      </w:pPr>
      <w:r>
        <w:rPr>
          <w:rFonts w:ascii="Arial" w:cs="Arial" w:eastAsia="Arial" w:hAnsi="Arial"/>
          <w:sz w:val="18"/>
          <w:szCs w:val="18"/>
          <w:b w:val="1"/>
          <w:bCs w:val="1"/>
          <w:color w:val="auto"/>
        </w:rPr>
        <w:t xml:space="preserve">Twenty-Six Weeks Ended July 31, 2021, Compared to Twenty-Six Weeks Ended August 1, 2020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twenty-six weeks ended July 31, 2021, net revenues increased $55.0 million, or 27.4%, to $256.1 million, from $201.1 million in the comparable prior-year period.</w:t>
      </w:r>
    </w:p>
    <w:p>
      <w:pPr>
        <w:spacing w:after="0" w:line="116"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VB Direct</w:t>
      </w:r>
      <w:r>
        <w:rPr>
          <w:rFonts w:ascii="Arial" w:cs="Arial" w:eastAsia="Arial" w:hAnsi="Arial"/>
          <w:sz w:val="18"/>
          <w:szCs w:val="18"/>
          <w:color w:val="auto"/>
        </w:rPr>
        <w:t>. For the twenty-six weeks ended July 31, 2021, net revenues in the VB Direct segment increased $45.8 million, or 38.8%, to $163.9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$118.1 million in the comparable prior-year period. The increase primarily resulted from higher store sales in the current-year since in the prior-year the Company’s stores temporarily closed, as a result of COVID-19, beginning on March 19, 2020. The stores began to re-open on May 5, 2020 of the prior-year. The increase was partially offset by a decline in mask sales compared to the prior-year period. We also opened six Vera Bradley factory outlet stores over the past 12 months.</w:t>
      </w:r>
    </w:p>
    <w:p>
      <w:pPr>
        <w:spacing w:after="0" w:line="135" w:lineRule="exact"/>
        <w:rPr>
          <w:sz w:val="20"/>
          <w:szCs w:val="20"/>
          <w:color w:val="auto"/>
        </w:rPr>
      </w:pPr>
    </w:p>
    <w:p>
      <w:pPr>
        <w:jc w:val="both"/>
        <w:ind w:right="240"/>
        <w:spacing w:after="0" w:line="294" w:lineRule="auto"/>
        <w:rPr>
          <w:sz w:val="20"/>
          <w:szCs w:val="20"/>
          <w:color w:val="auto"/>
        </w:rPr>
      </w:pPr>
      <w:r>
        <w:rPr>
          <w:rFonts w:ascii="Arial" w:cs="Arial" w:eastAsia="Arial" w:hAnsi="Arial"/>
          <w:sz w:val="16"/>
          <w:szCs w:val="16"/>
          <w:i w:val="1"/>
          <w:iCs w:val="1"/>
          <w:color w:val="auto"/>
        </w:rPr>
        <w:t>VB Indirect</w:t>
      </w:r>
      <w:r>
        <w:rPr>
          <w:rFonts w:ascii="Arial" w:cs="Arial" w:eastAsia="Arial" w:hAnsi="Arial"/>
          <w:sz w:val="16"/>
          <w:szCs w:val="16"/>
          <w:color w:val="auto"/>
        </w:rPr>
        <w:t>. For the twenty-six weeks ended July 31, 2021, net revenues in the VB Indirect segment increased $3.1 million, or 10.8%, to $32.1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$29.0 million in the comparable prior-year period. The increase was primarily due to an increase in orders from specialty and certain key accounts, largely related to the impacts of COVID-19 in the prior-year period, partially offset by a decline in mask sales in the current-year period.</w:t>
      </w:r>
    </w:p>
    <w:p>
      <w:pPr>
        <w:spacing w:after="0" w:line="93"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i w:val="1"/>
          <w:iCs w:val="1"/>
          <w:color w:val="auto"/>
        </w:rPr>
        <w:t xml:space="preserve">Pura Vida. </w:t>
      </w:r>
      <w:r>
        <w:rPr>
          <w:rFonts w:ascii="Arial" w:cs="Arial" w:eastAsia="Arial" w:hAnsi="Arial"/>
          <w:sz w:val="16"/>
          <w:szCs w:val="16"/>
          <w:color w:val="auto"/>
        </w:rPr>
        <w:t>For the twenty-six weeks ended July 31, 2021, net revenues in the Pura Vida segment increased $6.2 million, or 11.4%, to $60.2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$54.0 million in the comparable prior-year period. Pura Vida wholesale sales increased over the prior-year period, which was impacted by the COVID-19 pandemic. Our marketing effectiveness for the e-commerce channel was negatively impacted by the Apple iOS 14.5 update in the current-year resulting in a decline in e-commerce sales. This update impacted Facebook and Instagram, which have been our primary marketing vehicles.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For the twenty-six weeks ended July 31, 2021, gross profit increased $25.7 million, or 22.6%, to $139.5 million, from $113.8 million in the comparable prior-year period. As a percentage of net revenues, gross profit decreased to 54.5% for the twenty-six weeks ended July 31, 2021, from 56.6% in the comparable prior-year period. The decrease as a percentage of net revenues was primarily due to a decline in higher-margin mask sales in the current-year period compared to the prior-year and an increase in shipping and duty costs. The prior-year period also included charges for the cancellation of certain purchase orders due to COVID-19 which totaled $1.3 million and negatively impacted gross margin as a percentage of net revenues by 0.7%.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For the twenty-six weeks ended July 31, 2021, SG&amp;A expenses increased $7.7 million, or 6.3%, to $129.6 million, from $121.9 million in the comparable prior-year period. As a percentage of net revenues, SG&amp;A expenses decreased to 50.6% for the twenty-six weeks ended July 31, 2021, from 60.6% in the comparable prior-year period. SG&amp;A expenses related to Vera Bradley and corporate unallocated were $101.2 million compared to $93.5 million in the comparable prior-year period. SG&amp;A expenses related to Pura Vida were consistent at $28.4 million for the current and prior-year periods. The increase in consolidated SG&amp;A expenses for the twenty-six weeks ended July 31, 2021 was primarily due to:</w:t>
      </w:r>
    </w:p>
    <w:p>
      <w:pPr>
        <w:spacing w:after="0" w:line="40" w:lineRule="exact"/>
        <w:rPr>
          <w:sz w:val="20"/>
          <w:szCs w:val="20"/>
          <w:color w:val="auto"/>
        </w:rPr>
      </w:pPr>
    </w:p>
    <w:p>
      <w:pPr>
        <w:jc w:val="both"/>
        <w:ind w:left="660" w:hanging="328"/>
        <w:spacing w:after="0" w:line="253"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Vera Bradley initiatives to reduce expenses in light of COVID-19 including the temporary furlough of certain associates; temporarily reducing the base compensation for all other salaried associates; certain expense reductions associated with the CARES Act retention credit; and reducing other non-payroll expenses including marketing that occurred in the prior-year period but did not recur in the current-year period;</w:t>
      </w:r>
    </w:p>
    <w:p>
      <w:pPr>
        <w:spacing w:after="0" w:line="43"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incentive compensation expense due to Company performance estimates compared to the prior-year period;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Amortization expense of certain cloud computing costs associated with Project Novus technology enhancements.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increases in SG&amp;A expenses were partially offset by:</w:t>
      </w:r>
    </w:p>
    <w:p>
      <w:pPr>
        <w:spacing w:after="0" w:line="7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$3.8 million of Vera Bradley store impairment charges in the prior-year period that did not recur in the current-year period;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reduction in depreciation expense primarily as a result of legacy software depreciation from the prior-year;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$3.2 million reduction of intangible asset amortization associated with the Pura Vida acquisition.</w:t>
      </w:r>
    </w:p>
    <w:p>
      <w:pPr>
        <w:spacing w:after="0" w:line="7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SG&amp;A expenses as a percentage of net revenues decreased primarily due to the aforementioned items, as well as SG&amp;A expense leverage associated with increased sales.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9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For the twenty-six weeks ended July 31, 2021, net other income increased $0.7 million to $0.8 million compared to net other income of $0.1 million in the comparable prior-year period. The increase in net other income was primarily due to legal settlements in the current-year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0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For the twenty-six weeks ended July 31, 2021, operating income increased $18.8 million to $10.7 million in the current-year period, from an operating loss of $(8.1) million in the comparable prior-year period. As a percentage of net revenues, operating income was 4.2% and operating loss was (4.0)% for the twenty-six weeks ended July 31, 2021 and August 1, 2020, respectively. Operating income increased due to the factors described in the captions above.</w:t>
      </w:r>
    </w:p>
    <w:p>
      <w:pPr>
        <w:spacing w:after="0" w:line="9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VB Direct</w:t>
      </w:r>
      <w:r>
        <w:rPr>
          <w:rFonts w:ascii="Arial" w:cs="Arial" w:eastAsia="Arial" w:hAnsi="Arial"/>
          <w:sz w:val="16"/>
          <w:szCs w:val="16"/>
          <w:color w:val="auto"/>
        </w:rPr>
        <w:t>. For the twenty-six weeks ended July 31, 2021, operating income in the VB Direct segment increased $22.1 million, to $34.0 million from $11.9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comparable prior-year period. As a percentage of VB Direct segment net revenues, operating income in the VB Direct segment was 20.8% and 10.0% for the twenty-six weeks ended July 31, 2021 and August 1, 2020, respectively. The increase in operating income as a percentage of VB Direct segment net revenues was primarily due to SG&amp;A expense leverage associated with increased sales and a decrease in SG&amp;A expense primarily as a result of store impairment charges in the prior-year period and a reduction in depreciation expense in the current-year, partially offset by a decrease in gross margin as a percentage of net revenues as described above and COVID-19-related expense savings from the prior-year period that did not recur.</w:t>
      </w:r>
    </w:p>
    <w:p>
      <w:pPr>
        <w:spacing w:after="0" w:line="11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i w:val="1"/>
          <w:iCs w:val="1"/>
          <w:color w:val="auto"/>
        </w:rPr>
        <w:t>VB Indirect</w:t>
      </w:r>
      <w:r>
        <w:rPr>
          <w:rFonts w:ascii="Arial" w:cs="Arial" w:eastAsia="Arial" w:hAnsi="Arial"/>
          <w:sz w:val="16"/>
          <w:szCs w:val="16"/>
          <w:color w:val="auto"/>
        </w:rPr>
        <w:t>. For the twenty-six weeks ended July 31, 2021, operating income in the VB Indirect segment increased $0.9 million, or 9.0%, to $10.1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$9.2 million in the comparable prior-year period. As a percentage of VB Indirect segment net revenues, operating income in the VB Indirect segment was 31.3% and 31.9% for the twenty-six weeks ended July 31, 2021 and August 1, 2020, respectively. The decrease in operating income as a percentage of VB Indirect segment net revenues was primarily due to a decrease in gross margin as a percentage of net revenues, partially offset by SG&amp;A expense leverage associated with increased sales and a decrease in the bad debt provision compared to the prior-year period.</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Pura Vida. </w:t>
      </w:r>
      <w:r>
        <w:rPr>
          <w:rFonts w:ascii="Arial" w:cs="Arial" w:eastAsia="Arial" w:hAnsi="Arial"/>
          <w:sz w:val="17"/>
          <w:szCs w:val="17"/>
          <w:color w:val="auto"/>
        </w:rPr>
        <w:t>For the twenty-six weeks ended July 31, 2021, operating income in the Pura Vida segment increased $2.1 million to $5.7 million from</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$3.6 million in the comparable prior-year period. As a percentage of Pura Vida segment net revenues, operating income in the Pura Vida segment was 9.5% and 6.7% for the twenty-six weeks ended July 31, 2021 and August 1, 2020, respectively. The increase in operating income as a percentage of Pura Vida net revenues was primarily due to SG&amp;A expense leverage associated with increased sales and a decrease in the intangible asset amortization expense compared to the prior-year period, partially offset by a decrease in gross margin as a percentage of net revenues partly due to channel mix changes as a result of the impact of the COVID-19 pandemic on wholesale sales in the prior-year period.</w:t>
      </w:r>
    </w:p>
    <w:p>
      <w:pPr>
        <w:spacing w:after="0" w:line="1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Corporate Unallocated</w:t>
      </w:r>
      <w:r>
        <w:rPr>
          <w:rFonts w:ascii="Arial" w:cs="Arial" w:eastAsia="Arial" w:hAnsi="Arial"/>
          <w:sz w:val="16"/>
          <w:szCs w:val="16"/>
          <w:color w:val="auto"/>
        </w:rPr>
        <w:t>. For the twenty-six weeks ended July 31, 2021, unallocated expenses increased $6.3 million, or 19.3%, to $39.1 million from $32.8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comparable prior-year period. The increase in unallocated expenses was primarily due to prior-year period initiatives to reduce expenses in light of COVID-19 that did not recur in the current-year including the temporary furlough of certain associates; temporarily reducing the base compensation for all other salaried associates; and reducing other non-payroll expenses including marketing, as well as an increase in incentive compensation expense due to Company performance estimates and amortization expense associated with certain cloud computing costs for Project Novus technology enhancements. These increases in SG&amp;A expense were partially offset by a decrease in depreciation expense, as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90"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The effective tax rate for the twenty-six weeks ended July 31, 2021, was 20.4%, compared to 16.5% for the twenty-six weeks ended August 1, 2020. The year-over year effective tax rate increase was primarily due to the relative impact of permanent and discrete items in the current-year period compared to the prior-year period, primarily as a result of stock-based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twenty-six weeks ended July 31, 2021, net income increased $15.5 million to $8.3 million from a net loss of $(7.2) million in the comparable prior-year period due to the factors described in the captions above</w:t>
      </w:r>
      <w:r>
        <w:rPr>
          <w:rFonts w:ascii="Arial" w:cs="Arial" w:eastAsia="Arial" w:hAnsi="Arial"/>
          <w:sz w:val="18"/>
          <w:szCs w:val="18"/>
          <w:i w:val="1"/>
          <w:i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Redeemable Noncontrolling Interest</w:t>
      </w:r>
    </w:p>
    <w:p>
      <w:pPr>
        <w:spacing w:after="0" w:line="1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the twenty-six weeks ended July 31, 2021, net income attributable to redeemable noncontrolling interest was $1.4 million compared to $0.9 million in the prior-year period. This represents the allocation of the Pura Vida net income to the noncontrolling interest. The increase in net income was due to the factors described above in the Pura Vida operating segment.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Vera Bradley, Inc.</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twenty-six weeks ended July 31, 2021, net income attributable to Vera Bradley, Inc. increased $15.0 million to $6.9 million from a net loss of $(8.1) million in the comparable prior-year period due to the factors described in the captions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Our primary sources of liquidity are cash on hand and cash equivalents, investments, and cash flow from operations. We also have access to additional liquidity, if needed, through borrowings under our $75.0 million asset-based revolving credit agreement (the “Credit Agreement”). There was no debt outstanding as of July 31, 2021.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believe that cash on hand and cash equivalents, investments,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Twenty-Six Weeks Ended</w:t>
            </w:r>
          </w:p>
        </w:tc>
      </w:tr>
      <w:tr>
        <w:trPr>
          <w:trHeight w:val="134"/>
        </w:trPr>
        <w:tc>
          <w:tcPr>
            <w:tcW w:w="8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3"/>
              </w:rPr>
              <w:t>July 31,</w:t>
            </w:r>
          </w:p>
        </w:tc>
        <w:tc>
          <w:tcPr>
            <w:tcW w:w="260" w:type="dxa"/>
            <w:vAlign w:val="bottom"/>
          </w:tcPr>
          <w:p>
            <w:pPr>
              <w:spacing w:after="0"/>
              <w:rPr>
                <w:sz w:val="11"/>
                <w:szCs w:val="11"/>
                <w:color w:val="auto"/>
              </w:rPr>
            </w:pPr>
          </w:p>
        </w:tc>
        <w:tc>
          <w:tcPr>
            <w:tcW w:w="1180" w:type="dxa"/>
            <w:vAlign w:val="bottom"/>
          </w:tcPr>
          <w:p>
            <w:pPr>
              <w:jc w:val="right"/>
              <w:ind w:right="357"/>
              <w:spacing w:after="0" w:line="135" w:lineRule="exact"/>
              <w:rPr>
                <w:sz w:val="20"/>
                <w:szCs w:val="20"/>
                <w:color w:val="auto"/>
              </w:rPr>
            </w:pPr>
            <w:r>
              <w:rPr>
                <w:rFonts w:ascii="Arial" w:cs="Arial" w:eastAsia="Arial" w:hAnsi="Arial"/>
                <w:sz w:val="14"/>
                <w:szCs w:val="14"/>
                <w:b w:val="1"/>
                <w:bCs w:val="1"/>
                <w:color w:val="auto"/>
              </w:rPr>
              <w:t>August 1,</w:t>
            </w:r>
          </w:p>
        </w:tc>
      </w:tr>
      <w:tr>
        <w:trPr>
          <w:trHeight w:val="188"/>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16,487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Pr>
          <w:p>
            <w:pPr>
              <w:spacing w:after="0"/>
              <w:rPr>
                <w:sz w:val="19"/>
                <w:szCs w:val="19"/>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w w:val="94"/>
              </w:rPr>
              <w:t>(1,671)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18,901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4"/>
              </w:rPr>
              <w:t>(3,229)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cash provided by (used in) operating activities consists primarily of net income adjusted for non-cash items, including depreciation, amortization, impairment charges, deferred taxes, and stock-based compensation; and the effect of changes in assets and liabilities.</w:t>
      </w:r>
    </w:p>
    <w:p>
      <w:pPr>
        <w:spacing w:after="0" w:line="1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Net cash provided by operating activities for the twenty-six weeks ended July 31, 2021 was $16.5 million compared to cash used in operating activities of $0.1 million for the twenty-six weeks ended August 1, 2020. The increase in cash provided by operating activities was primarily related to the change in assets and liabilities and an increase in the net income adjusted for non-cash items. Changes in assets and liabilities resulting in a source of cash were primarily related to an increase in trade accounts receivable collections, mostly due to the impact of COVID-19 on the prior-year period, as well as a decrease in inventory receipts compared to the prior-year. Changes in assets and liabilities resulting in a use of cash were primarily related to the timing of payments, including rent payments which were impacted by payment deferrals in the prior-year. There was also a change in the income tax receivable due to the loss in the prior-year period.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10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Investing activities consist primarily of investments and capital expenditures related to new store openings, buildings, operational equipment, and information technology investments.</w:t>
      </w:r>
    </w:p>
    <w:p>
      <w:pPr>
        <w:spacing w:after="0" w:line="11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Net cash used in investing activities was $1.7 million for the twenty-six weeks ended July 31, 2021 compared to cash provided by investing activities of $18.9 million for the twenty-six weeks ended August 1, 2020. The increase in cash used in investing activities was primarily a result of proceeds from investment activity in the prior-year period that did not recur in the current-year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2022 are expected to be approximately $8.0 million to $10.0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used in financing activities was $3.2 million for the twenty-six weeks ended July 31, 2021 compared to cash provided by financing activities of $6.8 million for the twenty-six weeks ended August 1, 2020. The increase in cash used in financing activities was primarily due to financing activities that occurred in the prior-year period but did not recur in the current-year period including net borrowings of $30.0 million under our Credit Agreement, partially offset by $18.7 million for a contingent consideration payment associated with the July 2019 acquisition of Pura Vida and $3.1 million in common stock repurchases.</w:t>
      </w:r>
    </w:p>
    <w:p>
      <w:pPr>
        <w:spacing w:after="0" w:line="22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September 7, 2018, VBD, a wholly-owned subsidiary of the Company, entered into an asset 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7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CB Floating Rate, Adjusted LIBO Rate, or LIBO Rate shall be determined by the administrative agent. The Credit Agreement also requires VBD to pay a commitment fee for the unused portion of the revolving facility of up to 0.20% per annum.</w:t>
      </w:r>
    </w:p>
    <w:p>
      <w:pPr>
        <w:spacing w:after="0" w:line="3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6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 The Company was in compliance with these covenants as of July 31, 2021.</w:t>
      </w:r>
    </w:p>
    <w:p>
      <w:pPr>
        <w:spacing w:after="0" w:line="40"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The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1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Any commitments made under the Credit Agreement mature on September 7, 2023.</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As of July 31, 2021 and January 30, 2021, the Company had no borrowings outstanding and availability of $75.0 million under the Credit Agreement.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30, 2021.</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30, 2021. There were no significant changes to any of the critical accounting policies and estimates described in the Annual Report as of July 31, 2021.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July 31, 2021, there was no material change in the market risks described in “Quantitative and Qualitative Disclosures About Market Risks” in the Company’s Annual Report on Form 10-K for the fiscal year ended January 30, 2021.</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July 31, 2021.</w:t>
      </w:r>
    </w:p>
    <w:p>
      <w:pPr>
        <w:spacing w:after="0" w:line="1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0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cases are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April of 2020, Chidimma Igboakaeze filed suit seeking class certification for all current and former hourly-paid employees who worked for the Company within the state of California during the four years preceding the filing until final judgement. The complaint alleged various violations of the California Labor Code related to wages, overtime, meal and rest breaks, non-compliant wage statements and records and other similar allegations related to employment. The Plaintiff also filed a Private Attorney General Act claim with the state of California regarding the same allegations. This case was settled in the first quarter of fiscal 2022 for an immaterial amount.</w:t>
      </w:r>
    </w:p>
    <w:p>
      <w:pPr>
        <w:spacing w:after="0" w:line="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as follows, there have been no material changes to the risk factors previously set forth in the Company’s Annual Report on Form 10-K for the fiscal year ended January 30, 2021.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Losses or disruptions associated with our distribution systems could have a material adverse effect on our business and operations.</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operating results depend on the orderly operation of our receiving and distribution functions, which also depends on our vendors' adherence to our shipping and receiving schedules. We may not anticipate all of the changing demands that our operating activities may impose on our receiving and distribution functions. There may also be events that are beyond our control that could cause delays in these functions, including but not limited to, public health pandemics such as COVID-19 and other catastrophic events, changing macroeconomic trends, and general disruptions or delays in shipping and receiving.</w:t>
      </w:r>
    </w:p>
    <w:p>
      <w:pPr>
        <w:spacing w:after="0" w:line="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we rely on the flow of our goods through worldwide ports on a consistent basis. Disruption at the ports could create significant risks to our business, particularly if the occurrence is during a peak import time. For example, COVID-19 has resulted in a shortage of shipping containers, the lack of available shipping vessels, capacity constraints, and a general shipping backlog. If we experience significant delays in our receipt of product, we may experience an increase in freight costs, unanticipated inventory shortages, and missed sales opportunities which could adversely affect our financial condition, results of operations, and cash flows.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could suffer if we are unable to attract and retain retail and distribution center employees required for our business.</w:t>
      </w:r>
    </w:p>
    <w:p>
      <w:pPr>
        <w:spacing w:after="0" w:line="12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must attract, motivate, and retain a sufficient number of qualified retail and distribution center employees. Historically, competition for talent in these positions has been intense and turnover is generally high, both of which have been amplified by the COVID-19 pandemic. If we are unable to attract and retain such employees with the necessary skills and experience, we may not achieve our objectives and our financial condition, results of operations, and cash flows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On November 29, 2018, the Company's board of directors approved a share repurchase plan (the “2018 Share Repurchase Program”) authorizing up to</w:t>
      </w:r>
    </w:p>
    <w:p>
      <w:pPr>
        <w:spacing w:after="0" w:line="46"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$50.0 million of repurchases of shares of the Company's common stock. On December 3, 2020, the 2018 Share Repurchase Program was extended through December 11, 2021. On March 20, 2020, the Company temporarily suspended the share repurchase program to conserve cash as a result of the COVID-19 pandemic. The board of directors authorized the resumption of the share repurchase program beginning on March 11, 2021.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under the program during the thirteen weeks ended July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1"/>
                <w:szCs w:val="11"/>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1"/>
                <w:szCs w:val="11"/>
                <w:color w:val="auto"/>
              </w:rPr>
            </w:pPr>
          </w:p>
        </w:tc>
        <w:tc>
          <w:tcPr>
            <w:tcW w:w="18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35"/>
        </w:trPr>
        <w:tc>
          <w:tcPr>
            <w:tcW w:w="354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Period</w:t>
            </w:r>
          </w:p>
        </w:tc>
        <w:tc>
          <w:tcPr>
            <w:tcW w:w="1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Publicly Announced Plans 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88"/>
        </w:trPr>
        <w:tc>
          <w:tcPr>
            <w:tcW w:w="3540" w:type="dxa"/>
            <w:vAlign w:val="bottom"/>
            <w:vMerge w:val="continue"/>
          </w:tcPr>
          <w:p>
            <w:pPr>
              <w:spacing w:after="0"/>
              <w:rPr>
                <w:sz w:val="16"/>
                <w:szCs w:val="16"/>
                <w:color w:val="auto"/>
              </w:rPr>
            </w:pPr>
          </w:p>
        </w:tc>
        <w:tc>
          <w:tcPr>
            <w:tcW w:w="1940" w:type="dxa"/>
            <w:vAlign w:val="bottom"/>
            <w:gridSpan w:val="2"/>
          </w:tcPr>
          <w:p>
            <w:pPr>
              <w:ind w:left="580"/>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6"/>
                <w:szCs w:val="16"/>
                <w:color w:val="auto"/>
              </w:rPr>
            </w:pPr>
          </w:p>
        </w:tc>
        <w:tc>
          <w:tcPr>
            <w:tcW w:w="1780" w:type="dxa"/>
            <w:vAlign w:val="bottom"/>
            <w:gridSpan w:val="2"/>
          </w:tcPr>
          <w:p>
            <w:pPr>
              <w:ind w:left="580"/>
              <w:spacing w:after="0"/>
              <w:rPr>
                <w:sz w:val="20"/>
                <w:szCs w:val="20"/>
                <w:color w:val="auto"/>
              </w:rPr>
            </w:pPr>
            <w:r>
              <w:rPr>
                <w:rFonts w:ascii="Arial" w:cs="Arial" w:eastAsia="Arial" w:hAnsi="Arial"/>
                <w:sz w:val="14"/>
                <w:szCs w:val="14"/>
                <w:b w:val="1"/>
                <w:bCs w:val="1"/>
                <w:color w:val="auto"/>
              </w:rPr>
              <w:t>Share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Pr>
          <w:p>
            <w:pPr>
              <w:spacing w:after="0"/>
              <w:rPr>
                <w:sz w:val="16"/>
                <w:szCs w:val="16"/>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Under the Plans or Program</w:t>
            </w:r>
          </w:p>
        </w:tc>
        <w:tc>
          <w:tcPr>
            <w:tcW w:w="0" w:type="dxa"/>
            <w:vAlign w:val="bottom"/>
          </w:tcPr>
          <w:p>
            <w:pPr>
              <w:spacing w:after="0"/>
              <w:rPr>
                <w:sz w:val="1"/>
                <w:szCs w:val="1"/>
                <w:color w:val="auto"/>
              </w:rPr>
            </w:pPr>
          </w:p>
        </w:tc>
      </w:tr>
      <w:tr>
        <w:trPr>
          <w:trHeight w:val="224"/>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2, 2021 - May 29, 2021</w:t>
            </w:r>
          </w:p>
        </w:tc>
        <w:tc>
          <w:tcPr>
            <w:tcW w:w="1820" w:type="dxa"/>
            <w:vAlign w:val="bottom"/>
            <w:tcBorders>
              <w:top w:val="single" w:sz="8" w:color="auto"/>
            </w:tcBorders>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32,939,607</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May 30, 2021 - July 3, 2021</w:t>
            </w:r>
          </w:p>
        </w:tc>
        <w:tc>
          <w:tcPr>
            <w:tcW w:w="194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840" w:type="dxa"/>
            <w:vAlign w:val="bottom"/>
          </w:tcPr>
          <w:p>
            <w:pPr>
              <w:ind w:left="1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32,939,607</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4, 2021 - July 31, 2021</w:t>
            </w:r>
          </w:p>
        </w:tc>
        <w:tc>
          <w:tcPr>
            <w:tcW w:w="194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32,939,607</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820" w:type="dxa"/>
            <w:vAlign w:val="bottom"/>
            <w:tcBorders>
              <w:top w:val="single" w:sz="8" w:color="auto"/>
              <w:bottom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40" w:type="dxa"/>
            <w:vAlign w:val="bottom"/>
            <w:tcBorders>
              <w:top w:val="single" w:sz="8" w:color="auto"/>
              <w:bottom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7920" w:type="dxa"/>
            <w:vAlign w:val="bottom"/>
            <w:gridSpan w:val="6"/>
          </w:tcPr>
          <w:p>
            <w:pPr>
              <w:ind w:left="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80" w:type="dxa"/>
            <w:vAlign w:val="bottom"/>
            <w:gridSpan w:val="7"/>
          </w:tcPr>
          <w:p>
            <w:pPr>
              <w:ind w:left="120"/>
              <w:spacing w:after="0"/>
              <w:rPr>
                <w:sz w:val="20"/>
                <w:szCs w:val="20"/>
                <w:color w:val="auto"/>
              </w:rPr>
            </w:pPr>
            <w:r>
              <w:rPr>
                <w:rFonts w:ascii="Arial" w:cs="Arial" w:eastAsia="Arial" w:hAnsi="Arial"/>
                <w:sz w:val="18"/>
                <w:szCs w:val="18"/>
                <w:color w:val="auto"/>
              </w:rPr>
              <w:t>a. Exhibits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8"/>
              </w:rPr>
              <w:t>Exhibit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7"/>
              </w:rPr>
              <w:t>No.</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2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320" w:type="dxa"/>
            <w:vAlign w:val="bottom"/>
          </w:tcPr>
          <w:p>
            <w:pPr>
              <w:spacing w:after="0"/>
              <w:rPr>
                <w:rFonts w:ascii="Arial" w:cs="Arial" w:eastAsia="Arial" w:hAnsi="Arial"/>
                <w:sz w:val="18"/>
                <w:szCs w:val="18"/>
                <w:color w:val="0000FF"/>
                <w:w w:val="85"/>
              </w:rPr>
            </w:pPr>
            <w:hyperlink w:anchor="page4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rFonts w:ascii="Arial" w:cs="Arial" w:eastAsia="Arial" w:hAnsi="Arial"/>
                <w:sz w:val="18"/>
                <w:szCs w:val="18"/>
                <w:color w:val="0000FF"/>
              </w:rPr>
            </w:pPr>
            <w:hyperlink w:anchor="page44">
              <w:r>
                <w:rPr>
                  <w:rFonts w:ascii="Arial" w:cs="Arial" w:eastAsia="Arial" w:hAnsi="Arial"/>
                  <w:sz w:val="18"/>
                  <w:szCs w:val="18"/>
                  <w:color w:val="0000FF"/>
                </w:rPr>
                <w:t>CEO Section 302 Certification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rFonts w:ascii="Arial" w:cs="Arial" w:eastAsia="Arial" w:hAnsi="Arial"/>
                <w:sz w:val="18"/>
                <w:szCs w:val="18"/>
                <w:color w:val="0000FF"/>
                <w:w w:val="85"/>
              </w:rPr>
            </w:pPr>
            <w:hyperlink w:anchor="page4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4"/>
          </w:tcPr>
          <w:p>
            <w:pPr>
              <w:ind w:left="20"/>
              <w:spacing w:after="0"/>
              <w:rPr>
                <w:rFonts w:ascii="Arial" w:cs="Arial" w:eastAsia="Arial" w:hAnsi="Arial"/>
                <w:sz w:val="18"/>
                <w:szCs w:val="18"/>
                <w:color w:val="0000FF"/>
              </w:rPr>
            </w:pPr>
            <w:hyperlink w:anchor="page45">
              <w:r>
                <w:rPr>
                  <w:rFonts w:ascii="Arial" w:cs="Arial" w:eastAsia="Arial" w:hAnsi="Arial"/>
                  <w:sz w:val="18"/>
                  <w:szCs w:val="18"/>
                  <w:color w:val="0000FF"/>
                </w:rPr>
                <w:t>CFO Section 302 Certification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rFonts w:ascii="Arial" w:cs="Arial" w:eastAsia="Arial" w:hAnsi="Arial"/>
                <w:sz w:val="18"/>
                <w:szCs w:val="18"/>
                <w:color w:val="0000FF"/>
                <w:w w:val="85"/>
              </w:rPr>
            </w:pPr>
            <w:hyperlink w:anchor="page46">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4"/>
          </w:tcPr>
          <w:p>
            <w:pPr>
              <w:ind w:left="20"/>
              <w:spacing w:after="0"/>
              <w:rPr>
                <w:rFonts w:ascii="Arial" w:cs="Arial" w:eastAsia="Arial" w:hAnsi="Arial"/>
                <w:sz w:val="18"/>
                <w:szCs w:val="18"/>
                <w:color w:val="0000FF"/>
              </w:rPr>
            </w:pPr>
            <w:hyperlink w:anchor="page46">
              <w:r>
                <w:rPr>
                  <w:rFonts w:ascii="Arial" w:cs="Arial" w:eastAsia="Arial" w:hAnsi="Arial"/>
                  <w:sz w:val="18"/>
                  <w:szCs w:val="18"/>
                  <w:color w:val="0000FF"/>
                </w:rPr>
                <w:t>Section 906 Certifications*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w w:val="95"/>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104</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20" w:hanging="694"/>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Vera Bradley, Inc.</w:t>
            </w:r>
          </w:p>
        </w:tc>
      </w:tr>
      <w:tr>
        <w:trPr>
          <w:trHeight w:val="230"/>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(Registrant)</w:t>
            </w:r>
          </w:p>
        </w:tc>
      </w:tr>
      <w:tr>
        <w:trPr>
          <w:trHeight w:val="499"/>
        </w:trPr>
        <w:tc>
          <w:tcPr>
            <w:tcW w:w="5640" w:type="dxa"/>
            <w:vAlign w:val="bottom"/>
          </w:tcPr>
          <w:p>
            <w:pPr>
              <w:spacing w:after="0"/>
              <w:rPr>
                <w:sz w:val="20"/>
                <w:szCs w:val="20"/>
                <w:color w:val="auto"/>
              </w:rPr>
            </w:pPr>
            <w:r>
              <w:rPr>
                <w:rFonts w:ascii="Arial" w:cs="Arial" w:eastAsia="Arial" w:hAnsi="Arial"/>
                <w:sz w:val="18"/>
                <w:szCs w:val="18"/>
                <w:color w:val="auto"/>
              </w:rPr>
              <w:t>Date: September 8, 2021</w:t>
            </w: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Enwright</w:t>
            </w:r>
          </w:p>
        </w:tc>
      </w:tr>
      <w:tr>
        <w:trPr>
          <w:trHeight w:val="222"/>
        </w:trPr>
        <w:tc>
          <w:tcPr>
            <w:tcW w:w="564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John Enwright</w:t>
            </w:r>
          </w:p>
        </w:tc>
      </w:tr>
      <w:tr>
        <w:trPr>
          <w:trHeight w:val="230"/>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21"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104"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34" w:lineRule="auto"/>
        <w:tabs>
          <w:tab w:leader="none" w:pos="12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644"/>
        <w:spacing w:after="0" w:line="263"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460" w:hanging="644"/>
        <w:spacing w:after="0" w:line="334" w:lineRule="auto"/>
        <w:tabs>
          <w:tab w:leader="none" w:pos="12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40" w:hanging="644"/>
        <w:spacing w:after="0" w:line="273"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September 8, 2021</w:t>
            </w:r>
          </w:p>
        </w:tc>
        <w:tc>
          <w:tcPr>
            <w:tcW w:w="7160" w:type="dxa"/>
            <w:vAlign w:val="bottom"/>
            <w:gridSpan w:val="2"/>
          </w:tcPr>
          <w:p>
            <w:pPr>
              <w:ind w:left="1600"/>
              <w:spacing w:after="0"/>
              <w:rPr>
                <w:sz w:val="20"/>
                <w:szCs w:val="20"/>
                <w:color w:val="auto"/>
              </w:rPr>
            </w:pPr>
            <w:r>
              <w:rPr>
                <w:rFonts w:ascii="Arial" w:cs="Arial" w:eastAsia="Arial" w:hAnsi="Arial"/>
                <w:sz w:val="18"/>
                <w:szCs w:val="18"/>
                <w:color w:val="auto"/>
              </w:rPr>
              <w:t>/s/ Robert Wallstrom</w:t>
            </w:r>
          </w:p>
        </w:tc>
      </w:tr>
      <w:tr>
        <w:trPr>
          <w:trHeight w:val="222"/>
        </w:trPr>
        <w:tc>
          <w:tcPr>
            <w:tcW w:w="3380" w:type="dxa"/>
            <w:vAlign w:val="bottom"/>
          </w:tcPr>
          <w:p>
            <w:pPr>
              <w:spacing w:after="0"/>
              <w:rPr>
                <w:sz w:val="19"/>
                <w:szCs w:val="19"/>
                <w:color w:val="auto"/>
              </w:rPr>
            </w:pPr>
          </w:p>
        </w:tc>
        <w:tc>
          <w:tcPr>
            <w:tcW w:w="2240" w:type="dxa"/>
            <w:vAlign w:val="bottom"/>
          </w:tcPr>
          <w:p>
            <w:pPr>
              <w:ind w:left="1600"/>
              <w:spacing w:after="0"/>
              <w:rPr>
                <w:sz w:val="20"/>
                <w:szCs w:val="20"/>
                <w:color w:val="auto"/>
              </w:rPr>
            </w:pPr>
            <w:r>
              <w:rPr>
                <w:rFonts w:ascii="Arial" w:cs="Arial" w:eastAsia="Arial" w:hAnsi="Arial"/>
                <w:sz w:val="18"/>
                <w:szCs w:val="18"/>
                <w:color w:val="auto"/>
              </w:rPr>
              <w:t>Robert</w:t>
            </w:r>
          </w:p>
        </w:tc>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Wallstrom</w:t>
            </w:r>
          </w:p>
        </w:tc>
      </w:tr>
      <w:tr>
        <w:trPr>
          <w:trHeight w:val="230"/>
        </w:trPr>
        <w:tc>
          <w:tcPr>
            <w:tcW w:w="3380" w:type="dxa"/>
            <w:vAlign w:val="bottom"/>
          </w:tcPr>
          <w:p>
            <w:pPr>
              <w:spacing w:after="0"/>
              <w:rPr>
                <w:sz w:val="20"/>
                <w:szCs w:val="20"/>
                <w:color w:val="auto"/>
              </w:rPr>
            </w:pPr>
          </w:p>
        </w:tc>
        <w:tc>
          <w:tcPr>
            <w:tcW w:w="7160" w:type="dxa"/>
            <w:vAlign w:val="bottom"/>
            <w:gridSpan w:val="2"/>
          </w:tcPr>
          <w:p>
            <w:pPr>
              <w:ind w:left="160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Enwright, certify that:</w:t>
      </w:r>
    </w:p>
    <w:p>
      <w:pPr>
        <w:spacing w:after="0" w:line="104"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34" w:lineRule="auto"/>
        <w:tabs>
          <w:tab w:leader="none" w:pos="1297"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644"/>
        <w:spacing w:after="0" w:line="263" w:lineRule="auto"/>
        <w:tabs>
          <w:tab w:leader="none" w:pos="12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460" w:hanging="644"/>
        <w:spacing w:after="0" w:line="334" w:lineRule="auto"/>
        <w:tabs>
          <w:tab w:leader="none" w:pos="1297"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40" w:hanging="644"/>
        <w:spacing w:after="0" w:line="273" w:lineRule="auto"/>
        <w:tabs>
          <w:tab w:leader="none" w:pos="12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September 8, 2021</w:t>
            </w:r>
          </w:p>
        </w:tc>
        <w:tc>
          <w:tcPr>
            <w:tcW w:w="7160" w:type="dxa"/>
            <w:vAlign w:val="bottom"/>
            <w:gridSpan w:val="2"/>
          </w:tcPr>
          <w:p>
            <w:pPr>
              <w:ind w:left="1600"/>
              <w:spacing w:after="0"/>
              <w:rPr>
                <w:sz w:val="20"/>
                <w:szCs w:val="20"/>
                <w:color w:val="auto"/>
              </w:rPr>
            </w:pPr>
            <w:r>
              <w:rPr>
                <w:rFonts w:ascii="Arial" w:cs="Arial" w:eastAsia="Arial" w:hAnsi="Arial"/>
                <w:sz w:val="18"/>
                <w:szCs w:val="18"/>
                <w:color w:val="auto"/>
              </w:rPr>
              <w:t>/s/ John Enwright</w:t>
            </w:r>
          </w:p>
        </w:tc>
      </w:tr>
      <w:tr>
        <w:trPr>
          <w:trHeight w:val="20"/>
        </w:trPr>
        <w:tc>
          <w:tcPr>
            <w:tcW w:w="3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r>
      <w:tr>
        <w:trPr>
          <w:trHeight w:val="222"/>
        </w:trPr>
        <w:tc>
          <w:tcPr>
            <w:tcW w:w="3380" w:type="dxa"/>
            <w:vAlign w:val="bottom"/>
          </w:tcPr>
          <w:p>
            <w:pPr>
              <w:spacing w:after="0"/>
              <w:rPr>
                <w:sz w:val="19"/>
                <w:szCs w:val="19"/>
                <w:color w:val="auto"/>
              </w:rPr>
            </w:pPr>
          </w:p>
        </w:tc>
        <w:tc>
          <w:tcPr>
            <w:tcW w:w="7160" w:type="dxa"/>
            <w:vAlign w:val="bottom"/>
            <w:gridSpan w:val="2"/>
          </w:tcPr>
          <w:p>
            <w:pPr>
              <w:ind w:left="1600"/>
              <w:spacing w:after="0"/>
              <w:rPr>
                <w:sz w:val="20"/>
                <w:szCs w:val="20"/>
                <w:color w:val="auto"/>
              </w:rPr>
            </w:pPr>
            <w:r>
              <w:rPr>
                <w:rFonts w:ascii="Arial" w:cs="Arial" w:eastAsia="Arial" w:hAnsi="Arial"/>
                <w:sz w:val="18"/>
                <w:szCs w:val="18"/>
                <w:color w:val="auto"/>
              </w:rPr>
              <w:t>John Enwright</w:t>
            </w:r>
          </w:p>
        </w:tc>
      </w:tr>
      <w:tr>
        <w:trPr>
          <w:trHeight w:val="230"/>
        </w:trPr>
        <w:tc>
          <w:tcPr>
            <w:tcW w:w="3380" w:type="dxa"/>
            <w:vAlign w:val="bottom"/>
          </w:tcPr>
          <w:p>
            <w:pPr>
              <w:spacing w:after="0"/>
              <w:rPr>
                <w:sz w:val="20"/>
                <w:szCs w:val="20"/>
                <w:color w:val="auto"/>
              </w:rPr>
            </w:pPr>
          </w:p>
        </w:tc>
        <w:tc>
          <w:tcPr>
            <w:tcW w:w="7160" w:type="dxa"/>
            <w:vAlign w:val="bottom"/>
            <w:gridSpan w:val="2"/>
          </w:tcPr>
          <w:p>
            <w:pPr>
              <w:ind w:left="1600"/>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 Robert Wallstrom, the Chief Executive Officer of Vera Bradley, Inc., certify that (i) the quarterly report on Form 10-Q for the fiscal quarter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July 31, 2021 (the “Report”) fully complies with the requirements of Section 13(a) or 15(d) of the Securities Exchange Act of 1934, and (ii) the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contained in the Report fairly presents, in all material respects, the financial condition and results of operations of Vera Bradley, Inc. as of the dates and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periods set forth therein.</w:t>
      </w:r>
    </w:p>
    <w:p>
      <w:pPr>
        <w:spacing w:after="0" w:line="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Robert Wallstrom</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Executive Officer</w:t>
      </w:r>
    </w:p>
    <w:p>
      <w:pPr>
        <w:spacing w:after="0" w:line="29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September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Date</w:t>
      </w:r>
    </w:p>
    <w:p>
      <w:pPr>
        <w:spacing w:after="0" w:line="347" w:lineRule="exact"/>
        <w:rPr>
          <w:sz w:val="20"/>
          <w:szCs w:val="20"/>
          <w:color w:val="auto"/>
        </w:rPr>
      </w:pPr>
    </w:p>
    <w:p>
      <w:pPr>
        <w:ind w:right="80" w:firstLine="180"/>
        <w:spacing w:after="0" w:line="259" w:lineRule="auto"/>
        <w:rPr>
          <w:sz w:val="20"/>
          <w:szCs w:val="20"/>
          <w:color w:val="auto"/>
        </w:rPr>
      </w:pPr>
      <w:r>
        <w:rPr>
          <w:rFonts w:ascii="Arial" w:cs="Arial" w:eastAsia="Arial" w:hAnsi="Arial"/>
          <w:sz w:val="18"/>
          <w:szCs w:val="18"/>
          <w:color w:val="auto"/>
        </w:rPr>
        <w:t>I, John Enwright, the Chief Financial Officer of Vera Bradley, Inc., certify that (i) the quarterly report on Form 10-Q for the fiscal quarter ended July 31, 2021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John Enwright</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Financial Officer</w:t>
      </w:r>
    </w:p>
    <w:p>
      <w:pPr>
        <w:spacing w:after="0" w:line="29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September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Date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lvl w:ilvl="1">
      <w:lvlJc w:val="left"/>
      <w:lvlText w:val="•"/>
      <w:numFmt w:val="bullet"/>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3"/>
    </w:lvl>
  </w:abstractNum>
  <w:abstractNum w:abstractNumId="10">
    <w:nsid w:val="721DA317"/>
    <w:multiLevelType w:val="hybridMultilevel"/>
    <w:lvl w:ilvl="0">
      <w:lvlJc w:val="left"/>
      <w:lvlText w:val="%1"/>
      <w:numFmt w:val="decimal"/>
      <w:start w:val="1"/>
    </w:lvl>
    <w:lvl w:ilvl="1">
      <w:lvlJc w:val="left"/>
      <w:lvlText w:val="(%2)"/>
      <w:numFmt w:val="decimal"/>
      <w:start w:val="1"/>
    </w:lvl>
  </w:abstractNum>
  <w:abstractNum w:abstractNumId="11">
    <w:nsid w:val="2443A858"/>
    <w:multiLevelType w:val="hybridMultilevel"/>
    <w:lvl w:ilvl="0">
      <w:lvlJc w:val="left"/>
      <w:lvlText w:val="%1."/>
      <w:numFmt w:val="decimal"/>
      <w:start w:val="4"/>
    </w:lvl>
    <w:lvl w:ilvl="1">
      <w:lvlJc w:val="left"/>
      <w:lvlText w:val="%2"/>
      <w:numFmt w:val="decimal"/>
      <w:start w:val="1"/>
    </w:lvl>
  </w:abstractNum>
  <w:abstractNum w:abstractNumId="12">
    <w:nsid w:val="2D1D5AE9"/>
    <w:multiLevelType w:val="hybridMultilevel"/>
    <w:lvl w:ilvl="0">
      <w:lvlJc w:val="left"/>
      <w:lvlText w:val="%1."/>
      <w:numFmt w:val="decimal"/>
      <w:start w:val="5"/>
    </w:lvl>
    <w:lvl w:ilvl="1">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6"/>
    </w:lvl>
  </w:abstractNum>
  <w:abstractNum w:abstractNumId="15">
    <w:nsid w:val="8EDBDAB"/>
    <w:multiLevelType w:val="hybridMultilevel"/>
    <w:lvl w:ilvl="0">
      <w:lvlJc w:val="left"/>
      <w:lvlText w:val="%1."/>
      <w:numFmt w:val="decimal"/>
      <w:start w:val="7"/>
    </w:lvl>
  </w:abstractNum>
  <w:abstractNum w:abstractNumId="16">
    <w:nsid w:val="79838CB2"/>
    <w:multiLevelType w:val="hybridMultilevel"/>
    <w:lvl w:ilvl="0">
      <w:lvlJc w:val="left"/>
      <w:lvlText w:val="%1."/>
      <w:numFmt w:val="decimal"/>
      <w:start w:val="9"/>
    </w:lvl>
  </w:abstractNum>
  <w:abstractNum w:abstractNumId="17">
    <w:nsid w:val="4353D0CD"/>
    <w:multiLevelType w:val="hybridMultilevel"/>
    <w:lvl w:ilvl="0">
      <w:lvlJc w:val="left"/>
      <w:lvlText w:val="%1."/>
      <w:numFmt w:val="decimal"/>
      <w:start w:val="10"/>
    </w:lvl>
  </w:abstractNum>
  <w:abstractNum w:abstractNumId="18">
    <w:nsid w:val="B03E0C6"/>
    <w:multiLevelType w:val="hybridMultilevel"/>
    <w:lvl w:ilvl="0">
      <w:lvlJc w:val="left"/>
      <w:lvlText w:val="%1."/>
      <w:numFmt w:val="decimal"/>
      <w:start w:val="13"/>
    </w:lvl>
  </w:abstractNum>
  <w:abstractNum w:abstractNumId="19">
    <w:nsid w:val="189A769B"/>
    <w:multiLevelType w:val="hybridMultilevel"/>
    <w:lvl w:ilvl="0">
      <w:lvlJc w:val="left"/>
      <w:lvlText w:val="%1."/>
      <w:numFmt w:val="decimal"/>
      <w:start w:val="14"/>
    </w:lvl>
  </w:abstractNum>
  <w:abstractNum w:abstractNumId="20">
    <w:nsid w:val="54E49EB4"/>
    <w:multiLevelType w:val="hybridMultilevel"/>
    <w:lvl w:ilvl="0">
      <w:lvlJc w:val="left"/>
      <w:lvlText w:val="%1."/>
      <w:numFmt w:val="decimal"/>
      <w:start w:val="15"/>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2021-09-08T14:50:47Z</dcterms:created>
  <dcterms:modified xsi:type="dcterms:W3CDTF">2021-09-08T14:50:47Z</dcterms:modified>
</cp:coreProperties>
</file>