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29, 2022</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45" w:lineRule="exact"/>
        <w:rPr>
          <w:sz w:val="20"/>
          <w:szCs w:val="20"/>
          <w:color w:val="auto"/>
        </w:rPr>
      </w:pPr>
    </w:p>
    <w:p>
      <w:pPr>
        <w:jc w:val="both"/>
        <w:ind w:left="20" w:right="2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0" w:lineRule="exact"/>
        <w:rPr>
          <w:sz w:val="20"/>
          <w:szCs w:val="20"/>
          <w:color w:val="auto"/>
        </w:rPr>
      </w:pPr>
    </w:p>
    <w:p>
      <w:pPr>
        <w:ind w:right="158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30,875,844 shares of its common stock outstanding as of November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922655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322"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8"/>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October 29, 2022, and January 29, 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Thirteen and Thirty-Nine Weeks Ended October 29, 2022, and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70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October 30, 2021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Thirteen and Thirty-Nine Weeks Ended October 29,</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8"/>
              </w:rPr>
              <w:t>2022, and October 30, 2021</w:t>
            </w:r>
          </w:p>
        </w:tc>
        <w:tc>
          <w:tcPr>
            <w:tcW w:w="6880" w:type="dxa"/>
            <w:vAlign w:val="bottom"/>
            <w:tcBorders>
              <w:top w:val="single" w:sz="8" w:color="0000FF"/>
            </w:tcBorders>
            <w:gridSpan w:val="8"/>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Thirteen and Thirty-Nine Weeks Ended October 29, 2022,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10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and October 30, 2021</w:t>
            </w:r>
          </w:p>
        </w:tc>
        <w:tc>
          <w:tcPr>
            <w:tcW w:w="9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Thirty-Nine Weeks Ended October 29, 2022, and October 30, 2021</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40" w:type="dxa"/>
            <w:vAlign w:val="bottom"/>
            <w:gridSpan w:val="4"/>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6"/>
          </w:tcPr>
          <w:p>
            <w:pPr>
              <w:spacing w:after="0"/>
              <w:rPr>
                <w:sz w:val="22"/>
                <w:szCs w:val="22"/>
                <w:color w:val="auto"/>
              </w:rPr>
            </w:pPr>
          </w:p>
        </w:tc>
        <w:tc>
          <w:tcPr>
            <w:tcW w:w="5740" w:type="dxa"/>
            <w:vAlign w:val="bottom"/>
            <w:gridSpan w:val="6"/>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1"/>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480" w:type="dxa"/>
            <w:vAlign w:val="bottom"/>
            <w:gridSpan w:val="17"/>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jc w:val="both"/>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inflation, impacts related to variants of the novel coronavirus (COVID-19) outbreak, and other related matters;</w:t>
      </w:r>
    </w:p>
    <w:p>
      <w:pPr>
        <w:spacing w:after="0" w:line="4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including the continued outbreak of COVID-19 and actions to contain the spread of the virus by governmental or other actors;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that could lead to increased product costs and lower profit margins; and</w:t>
      </w:r>
    </w:p>
    <w:p>
      <w:pPr>
        <w:spacing w:after="0" w:line="10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integration strategies related to the Pura Vida business and possible inability to derive expected benefits from or to successfully integrate any future business acquisition.</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29, 2022,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88,436</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144,881</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15,928</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279,317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158,585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159,132</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42,846 and 42,429 shares issued and 30,953 and 33,170</w:t>
            </w: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334,364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(114,802)</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 of Vera Bradley, Inc.</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327,440</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74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r>
      <w:tr>
        <w:trPr>
          <w:trHeight w:val="195"/>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390,877</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179,074</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211,803</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w:t>
            </w:r>
          </w:p>
        </w:tc>
      </w:tr>
      <w:tr>
        <w:trPr>
          <w:trHeight w:val="184"/>
        </w:trPr>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(loss) income attributable to redeemable noncontrolling</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48"/>
        </w:trPr>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33,852</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34,492</w:t>
            </w:r>
          </w:p>
        </w:tc>
      </w:tr>
      <w:tr>
        <w:trPr>
          <w:trHeight w:val="270"/>
        </w:trPr>
        <w:tc>
          <w:tcPr>
            <w:tcW w:w="5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184"/>
        </w:trPr>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Basic net income (loss) per share available to Vera Bradley, Inc.</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184"/>
        </w:trPr>
        <w:tc>
          <w:tcPr>
            <w:tcW w:w="5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Diluted net income (loss) per share available to Vera Bradley, Inc.</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7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5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r>
      <w:tr>
        <w:trPr>
          <w:trHeight w:val="195"/>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r>
      <w:tr>
        <w:trPr>
          <w:trHeight w:val="184"/>
        </w:trPr>
        <w:tc>
          <w:tcPr>
            <w:tcW w:w="5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Comprehensive (loss) income attributable to redeemable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2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 attributable to Vera Bradley,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4"/>
                <w:szCs w:val="14"/>
                <w:b w:val="1"/>
                <w:bCs w:val="1"/>
                <w:color w:val="auto"/>
              </w:rPr>
              <w:t>Equity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33,170,430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9,258,741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(114,802)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327,440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404,469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32,151,803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10,681,837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(125,256)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(29,767)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(986,023)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31,165,869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11,667,860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(131,279)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274,150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29,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30,952,844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11,892,870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(132,080)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279,599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4"/>
                <w:szCs w:val="14"/>
                <w:b w:val="1"/>
                <w:bCs w:val="1"/>
                <w:color w:val="auto"/>
              </w:rPr>
              <w:t>Equity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33,414,490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316,526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(107,060)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314,907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570,562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33,985,052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312,397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9,050</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34,021,330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322,822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October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33,821,934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8,607,237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107,427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329,209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(109,178)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327,448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20" w:type="dxa"/>
            <w:vAlign w:val="bottom"/>
          </w:tcPr>
          <w:p>
            <w:pPr>
              <w:spacing w:after="0"/>
              <w:rPr>
                <w:sz w:val="11"/>
                <w:szCs w:val="11"/>
                <w:color w:val="auto"/>
              </w:rPr>
            </w:pPr>
          </w:p>
        </w:tc>
        <w:tc>
          <w:tcPr>
            <w:tcW w:w="122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r>
      <w:tr>
        <w:trPr>
          <w:trHeight w:val="195"/>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14,565</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6,769</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15,028</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 impairment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impairment charges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4,419</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non-cash gain, net</w:t>
            </w:r>
          </w:p>
        </w:tc>
        <w:tc>
          <w:tcPr>
            <w:tcW w:w="2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(19,273)</w:t>
            </w:r>
          </w:p>
        </w:tc>
      </w:tr>
      <w:tr>
        <w:trPr>
          <w:trHeight w:val="196"/>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19,211</w:t>
            </w:r>
          </w:p>
        </w:tc>
      </w:tr>
      <w:tr>
        <w:trPr>
          <w:trHeight w:val="17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sales of investments</w:t>
            </w:r>
          </w:p>
        </w:tc>
        <w:tc>
          <w:tcPr>
            <w:tcW w:w="2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(3,173)</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Distributions to redeemable noncontrolling interest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(5,415)</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64,175</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20" w:type="dxa"/>
            <w:vAlign w:val="bottom"/>
          </w:tcPr>
          <w:p>
            <w:pPr>
              <w:spacing w:after="0"/>
              <w:rPr>
                <w:sz w:val="11"/>
                <w:szCs w:val="11"/>
                <w:color w:val="auto"/>
              </w:rPr>
            </w:pPr>
          </w:p>
        </w:tc>
        <w:tc>
          <w:tcPr>
            <w:tcW w:w="122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0" w:type="dxa"/>
            <w:vAlign w:val="bottom"/>
          </w:tcPr>
          <w:p>
            <w:pPr>
              <w:spacing w:after="0"/>
              <w:rPr>
                <w:sz w:val="1"/>
                <w:szCs w:val="1"/>
                <w:color w:val="auto"/>
              </w:rPr>
            </w:pPr>
          </w:p>
        </w:tc>
      </w:tr>
      <w:tr>
        <w:trPr>
          <w:trHeight w:val="195"/>
        </w:trPr>
        <w:tc>
          <w:tcPr>
            <w:tcW w:w="8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paid for income taxes, net</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5,724</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October 29, 2022 and October 30, 2021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January 29, 2022 and January 30, 2021</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October 29, 2022 and October 30, 2021</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January 29, 2022 and January 30,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4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80" w:right="36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business consists of sales of Vera Bradley products through Vera Bradley full-line and factory outlet stores in the United States; verabradley.com and verabradley.ca; the Vera Bradley online outlet site; and typically the Vera Bradley annual outlet sale in Fort Wayne, Indiana. As of October 29, 2022, the Company operated 60 full-line stores and 80 factory outlet stores. In light of the COVID-19 pandemic, the Company cancelled its calendar year 2022 and 2021 annual outlet sales.</w:t>
      </w:r>
    </w:p>
    <w:p>
      <w:pPr>
        <w:spacing w:after="0" w:line="58"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business consists of sales of Vera Bradley products to approximately 1,700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0"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distribution of Pura Vida-branded products to wholesale retailers, substantially all of which are located in the United States, as well as through its five retail stores.</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29, 2022, filed with the SEC.</w:t>
      </w:r>
    </w:p>
    <w:p>
      <w:pPr>
        <w:spacing w:after="0" w:line="66"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October 29, 2022, are not necessarily indicative of the results to be expected for the full fiscal year due to, in part, the uncertainty of macroeconomic factors on future periods, including inflation and supply chain challenges, among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wholly owned subsidiaries, and its majority owned subsidiary, Pura Vida. The Company has eliminated intercompany balances and transactions in consolidation.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October 29, 2022 and October 30, 2021 refer to the thirteen week periods ended on those 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which became effective during the thirteen and thirty-nine weeks ended October 29, 2022, which had, or are expected to have, a significant impact on the Company's Consolidated Financial Statements.</w:t>
      </w:r>
    </w:p>
    <w:p>
      <w:pPr>
        <w:spacing w:after="0" w:line="18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and thirty-nine weeks ended October 29,</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2022 and October 30, 2021 (in thousands):</w:t>
      </w:r>
    </w:p>
    <w:p>
      <w:pPr>
        <w:spacing w:after="0" w:line="10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340" w:type="dxa"/>
            <w:vAlign w:val="bottom"/>
          </w:tcPr>
          <w:p>
            <w:pPr>
              <w:spacing w:after="0"/>
              <w:rPr>
                <w:sz w:val="19"/>
                <w:szCs w:val="19"/>
                <w:color w:val="auto"/>
              </w:rPr>
            </w:pPr>
          </w:p>
        </w:tc>
        <w:tc>
          <w:tcPr>
            <w:tcW w:w="66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46,284</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42"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 million of net revenues related to product sales recognized at a point in time and $0.6 million of net revenues related to sales-based royalties recognized over time.</w:t>
      </w:r>
    </w:p>
    <w:p>
      <w:pPr>
        <w:spacing w:after="0" w:line="1"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36,466</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134,735</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20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million of net revenues related to product sales recognized at a point in time and $0.7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98,997</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30,615</w:t>
            </w:r>
          </w:p>
        </w:tc>
        <w:tc>
          <w:tcPr>
            <w:tcW w:w="32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52,903</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352,870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200" w:hanging="6"/>
        <w:spacing w:after="0" w:line="234"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 million of net revenues related to product sales recognized at a point in time and $2.1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104,154</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34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66,447</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28,520</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250,516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390,877</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$50.6 million of net revenues related to product sales recognized at a point in time and $2.4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Contract liabilities as of October 29, 2022 and January 29, 2022, were $2.7 million and $3.9 million, respectively. The balance as of October 29, 2022 and January 29, 2022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Condensed Consolidated Balance Sheets. Substantially all contract liabilities are recognized within one year. The Company did not have contract assets as of October 29, 2022 and January 29, 2022.</w:t>
      </w:r>
    </w:p>
    <w:p>
      <w:pPr>
        <w:spacing w:after="0" w:line="48"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October 29, 2022 and January 29, 2022, was $24.0 million and $18.1 million, respectively, which is recognized within accounts receivable, net, on the Company’s Condensed Consolidated Balance Sheets. The provision for doubtful accounts was $1.1 million and $1.2 million as of October 29, 2022 and January 29, 2022,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October 29, 2022.</w:t>
      </w:r>
    </w:p>
    <w:p>
      <w:pPr>
        <w:spacing w:after="0" w:line="185" w:lineRule="exact"/>
        <w:rPr>
          <w:sz w:val="20"/>
          <w:szCs w:val="20"/>
          <w:color w:val="auto"/>
        </w:rPr>
      </w:pPr>
    </w:p>
    <w:p>
      <w:pPr>
        <w:ind w:left="660" w:right="9560" w:hanging="652"/>
        <w:spacing w:after="0" w:line="383" w:lineRule="auto"/>
        <w:tabs>
          <w:tab w:leader="none" w:pos="66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color w:val="auto"/>
        </w:rPr>
        <w:t>Discount Rate</w:t>
      </w:r>
    </w:p>
    <w:p>
      <w:pPr>
        <w:spacing w:after="0" w:line="1" w:lineRule="exact"/>
        <w:rPr>
          <w:rFonts w:ascii="Times New Roman" w:cs="Times New Roman" w:eastAsia="Times New Roman" w:hAnsi="Times New Roman"/>
          <w:sz w:val="17"/>
          <w:szCs w:val="17"/>
          <w:b w:val="1"/>
          <w:bCs w:val="1"/>
          <w:color w:val="auto"/>
        </w:rPr>
      </w:pPr>
    </w:p>
    <w:p>
      <w:pPr>
        <w:ind w:left="660" w:right="4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weighted-average discount rate as of October 29, 2022, and October 30, 2021 was 4.6% and 4.7%, respectively. The discount rate is not readily determinable in the lease; therefore, the Company estimated the incremental borrowing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rate, at the commencement date of each lease, which is the rate of interest it would have to borrow on a collateralized basis over a similar term with similar payments.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of October 29, 2022, the Company had a total of three Vera Bradley retail store leases which were executed, but it did not have control of the underlying assets; therefore, the lease liability and right-of-use asset are not recorded on the Condensed Consolidated Balance Sheet. These leases contain undiscounted lease payments, which will be included in the determination of the lease liability, totaling approximately $6.7 million and have terms of up to 10 years commencing in fiscal year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thirty-nine weeks ended October 29, 2022 and October 30, 2021 (in thousands):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346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October 30, 2021</w:t>
            </w:r>
          </w:p>
        </w:tc>
      </w:tr>
      <w:tr>
        <w:trPr>
          <w:trHeight w:val="229"/>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2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24,581</w:t>
            </w:r>
          </w:p>
        </w:tc>
      </w:tr>
    </w:tbl>
    <w:p>
      <w:pPr>
        <w:ind w:left="68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-121920</wp:posOffset>
            </wp:positionV>
            <wp:extent cx="4749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October 29, 2022 and October 30, 2021 was 5.4 years and 5.3 years,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6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26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October 30, 2021</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Cash paid for amounts included in the measurement of operating lease liabilities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23,482</w:t>
            </w:r>
          </w:p>
        </w:tc>
      </w:tr>
      <w:tr>
        <w:trPr>
          <w:trHeight w:val="184"/>
        </w:trPr>
        <w:tc>
          <w:tcPr>
            <w:tcW w:w="6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w:t>
            </w:r>
          </w:p>
        </w:tc>
      </w:tr>
    </w:tbl>
    <w:p>
      <w:pPr>
        <w:ind w:left="680" w:right="700" w:hanging="6"/>
        <w:spacing w:after="0" w:line="223" w:lineRule="auto"/>
        <w:tabs>
          <w:tab w:leader="none" w:pos="9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of lease liabilities were recorded within accounts payable on the Company's Consolidated Balance Sheets as of October 29, 2022. $2.5 million of lease liabilities were recorded within accounts payable on the Company's Consolidated Balance Sheets as of January 30, 2021, and were paid in the first quarter of fiscal 2022. $2.4 million of lease liabilities were recorded within accounts payable on the Company's Consolidated Balance Sheets as of October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2" w:lineRule="exact"/>
        <w:rPr>
          <w:rFonts w:ascii="Times New Roman" w:cs="Times New Roman" w:eastAsia="Times New Roman" w:hAnsi="Times New Roman"/>
          <w:sz w:val="18"/>
          <w:szCs w:val="18"/>
          <w:b w:val="1"/>
          <w:bCs w:val="1"/>
          <w:color w:val="auto"/>
        </w:rPr>
      </w:pPr>
    </w:p>
    <w:p>
      <w:pPr>
        <w:ind w:left="66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66"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the net income attributable to Vera Bradley, Inc. for the measurement period adjustment to the extent the redemption value exceeds the fair value of the noncontrolling interest on a cumulative basis.</w:t>
      </w:r>
    </w:p>
    <w:p>
      <w:pPr>
        <w:spacing w:after="0" w:line="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28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1"/>
        </w:trPr>
        <w:tc>
          <w:tcPr>
            <w:tcW w:w="5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r>
      <w:tr>
        <w:trPr>
          <w:trHeight w:val="195"/>
        </w:trPr>
        <w:tc>
          <w:tcPr>
            <w:tcW w:w="5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196"/>
        </w:trPr>
        <w:tc>
          <w:tcPr>
            <w:tcW w:w="55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5,167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5,778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(31,574)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12,683</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33,852</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2"/>
        </w:trPr>
        <w:tc>
          <w:tcPr>
            <w:tcW w:w="55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Net income (loss) per share available to Vera Bradley, Inc. common</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shareholders: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63" w:lineRule="exact"/>
        <w:rPr>
          <w:sz w:val="20"/>
          <w:szCs w:val="20"/>
          <w:color w:val="auto"/>
        </w:rPr>
      </w:pPr>
    </w:p>
    <w:p>
      <w:pPr>
        <w:ind w:left="660" w:right="340"/>
        <w:spacing w:after="0" w:line="266" w:lineRule="auto"/>
        <w:rPr>
          <w:sz w:val="20"/>
          <w:szCs w:val="20"/>
          <w:color w:val="auto"/>
        </w:rPr>
      </w:pPr>
      <w:r>
        <w:rPr>
          <w:rFonts w:ascii="Times New Roman" w:cs="Times New Roman" w:eastAsia="Times New Roman" w:hAnsi="Times New Roman"/>
          <w:sz w:val="18"/>
          <w:szCs w:val="18"/>
          <w:color w:val="auto"/>
        </w:rPr>
        <w:t>For the thirty-nine weeks ended October 29, 2022,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right="140"/>
        <w:spacing w:after="0" w:line="242" w:lineRule="auto"/>
        <w:rPr>
          <w:sz w:val="20"/>
          <w:szCs w:val="20"/>
          <w:color w:val="auto"/>
        </w:rPr>
      </w:pPr>
      <w:r>
        <w:rPr>
          <w:rFonts w:ascii="Times New Roman" w:cs="Times New Roman" w:eastAsia="Times New Roman" w:hAnsi="Times New Roman"/>
          <w:sz w:val="18"/>
          <w:szCs w:val="18"/>
          <w:color w:val="auto"/>
        </w:rPr>
        <w:t>For the thirteen weeks ended October 29, 2022 and the thirteen and thirty-nine weeks ended October 30, 2021, there were an immaterial number of additional shares issuable upon the vesting of restricted stock units that were excluded from the diluted share calculations because they were anti-dilutive.</w:t>
      </w:r>
    </w:p>
    <w:p>
      <w:pPr>
        <w:spacing w:after="0" w:line="20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October 29, 2022 and January 29, 2022, approximated their fair values.</w:t>
      </w:r>
    </w:p>
    <w:p>
      <w:pPr>
        <w:spacing w:after="0" w:line="27" w:lineRule="exact"/>
        <w:rPr>
          <w:sz w:val="20"/>
          <w:szCs w:val="20"/>
          <w:color w:val="auto"/>
        </w:rPr>
      </w:pPr>
    </w:p>
    <w:p>
      <w:pPr>
        <w:ind w:left="660" w:right="820"/>
        <w:spacing w:after="0" w:line="270" w:lineRule="auto"/>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October 29, 2022 and January 29, 2022 (in thousands):</w:t>
      </w:r>
    </w:p>
    <w:tbl>
      <w:tblPr>
        <w:tblLayout w:type="fixed"/>
        <w:tblInd w:w="6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200" w:type="dxa"/>
            <w:vAlign w:val="bottom"/>
            <w:gridSpan w:val="6"/>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11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131"/>
        </w:trPr>
        <w:tc>
          <w:tcPr>
            <w:tcW w:w="3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8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25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8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3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33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bl>
    <w:p>
      <w:pPr>
        <w:spacing w:after="0" w:line="49" w:lineRule="exact"/>
        <w:rPr>
          <w:sz w:val="20"/>
          <w:szCs w:val="20"/>
          <w:color w:val="auto"/>
        </w:rPr>
      </w:pPr>
    </w:p>
    <w:p>
      <w:pPr>
        <w:ind w:left="680" w:right="800" w:hanging="6"/>
        <w:spacing w:after="0" w:line="250"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represent a money market fund that has a maturity of three months or less at the date of purchase. Due to the short maturity, the Company believes the carrying value approximates fair value.</w:t>
      </w:r>
    </w:p>
    <w:p>
      <w:pPr>
        <w:spacing w:after="0" w:line="163"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$1.4 million for store property, plant, and equipment impairment charges and a corporate lease right-of-use asset impairment charge for the thirty-nine weeks ended October 29, 2022. There were no long-lived asset impairment charges for the thirteen weeks ended October 29, 2022 and the thirteen and thirty-nine weeks ended October 30, 2021.</w:t>
      </w:r>
    </w:p>
    <w:p>
      <w:pPr>
        <w:spacing w:after="0" w:line="71"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 as well as assets related to the Pura Vida acquisition including goodwill and intangible assets. These assets are measured at fair value if determined to be impaired. During the thirty-nine weeks ended October 29, 2022, the Company recorded a $29.3 million impairment charge related to goodwill and the indefinite-lived Pura Vida brand asset in conjunction with its second quarter annual quantitative test. There were no goodwill or indefinite-lived assets impairment charges recorded during the thirteen weeks ended October 29, 2022. Refer to Note 13 herein for additional information.</w:t>
      </w:r>
    </w:p>
    <w:p>
      <w:pPr>
        <w:spacing w:after="0" w:line="66" w:lineRule="exact"/>
        <w:rPr>
          <w:sz w:val="20"/>
          <w:szCs w:val="20"/>
          <w:color w:val="auto"/>
        </w:rPr>
      </w:pPr>
    </w:p>
    <w:p>
      <w:pPr>
        <w:ind w:left="660" w:right="700"/>
        <w:spacing w:after="0" w:line="282"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8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rFonts w:ascii="Times New Roman" w:cs="Times New Roman" w:eastAsia="Times New Roman" w:hAnsi="Times New Roman"/>
          <w:sz w:val="18"/>
          <w:szCs w:val="18"/>
          <w:b w:val="1"/>
          <w:bCs w:val="1"/>
          <w:color w:val="auto"/>
        </w:rPr>
      </w:pPr>
    </w:p>
    <w:p>
      <w:pPr>
        <w:ind w:left="6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3"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44" w:lineRule="exact"/>
        <w:rPr>
          <w:rFonts w:ascii="Times New Roman" w:cs="Times New Roman" w:eastAsia="Times New Roman" w:hAnsi="Times New Roman"/>
          <w:sz w:val="18"/>
          <w:szCs w:val="18"/>
          <w:b w:val="1"/>
          <w:bCs w:val="1"/>
          <w:color w:val="auto"/>
        </w:rPr>
      </w:pPr>
    </w:p>
    <w:p>
      <w:pPr>
        <w:ind w:left="660" w:right="10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1" w:lineRule="exact"/>
        <w:rPr>
          <w:rFonts w:ascii="Times New Roman" w:cs="Times New Roman" w:eastAsia="Times New Roman" w:hAnsi="Times New Roman"/>
          <w:sz w:val="18"/>
          <w:szCs w:val="18"/>
          <w:b w:val="1"/>
          <w:bCs w:val="1"/>
          <w:color w:val="auto"/>
        </w:rPr>
      </w:pPr>
    </w:p>
    <w:p>
      <w:pPr>
        <w:ind w:left="660" w:righ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104"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As of October 29, 2022 and January 29, 2022, the Company had no borrowings outstanding and availability of $75.0 million under the Credit Agreement.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October 29, 2022, was 18.4%, compared to 21.6% for the thirteen weeks ended October 30, 2021. The year-over-year effective tax rate decrease was primarily due to the relative impact of permanent and discrete items in the current-year period compared to the prior-year period.</w:t>
      </w:r>
    </w:p>
    <w:p>
      <w:pPr>
        <w:spacing w:after="0" w:line="54" w:lineRule="exact"/>
        <w:rPr>
          <w:rFonts w:ascii="Times New Roman" w:cs="Times New Roman" w:eastAsia="Times New Roman" w:hAnsi="Times New Roman"/>
          <w:sz w:val="18"/>
          <w:szCs w:val="18"/>
          <w:b w:val="1"/>
          <w:bCs w:val="1"/>
          <w:color w:val="auto"/>
        </w:rPr>
      </w:pPr>
    </w:p>
    <w:p>
      <w:pPr>
        <w:ind w:left="66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thirty-nine weeks ended October 29, 2022, was 14.2%, compared to 20.9% for the thirty-nine weeks ended October 30, 2021. The year-over-year effective tax rate decrease was primarily due to the relative impact of permanent and discrete items in the current-year period compared to the prior-year period, primarily as a result of non-deductible executive compensation and stock-based compensation.</w:t>
      </w:r>
    </w:p>
    <w:p>
      <w:pPr>
        <w:spacing w:after="0" w:line="29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21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254"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grant restricted stock units during the thirteen weeks ended October 29, 2022. During the thirteen weeks ended October 30, 2021, the Company granted 11,424 time-based and performance-based restricted stock units with an aggregate fair value of $0.1 million to certain employees under the 2020 Equity and Incentive Plan. On November 1, 2022, subsequent to the end of the third quarter, the Company granted 579,270 time-based and performance-based restricted stock units with an aggregate fair value of $1.9 million to Jacqueline Ardrey, Chief Executive Officer of Vera Bradley, Inc.</w:t>
      </w:r>
    </w:p>
    <w:p>
      <w:pPr>
        <w:spacing w:after="0" w:line="223"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thirty-nine weeks ended October 29, 2022, the Company granted 841,369 time-based and performance-based restricted stock units with an aggregate fair value of $6.3 million to certain employees and non-employee directors under the 2020 Equity and Incentive Plan compared to 652,339 time-based and performance-based restricted stock units with an aggregate fair value of $6.7 million in the same period of the prior year.</w:t>
      </w:r>
    </w:p>
    <w:p>
      <w:pPr>
        <w:spacing w:after="0" w:line="103"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5"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thirty-nine weeks ended October 29, 2022 (units in thousands):</w:t>
      </w:r>
    </w:p>
    <w:p>
      <w:pPr>
        <w:spacing w:after="0" w:line="2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2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29, 2022</w:t>
            </w:r>
          </w:p>
        </w:tc>
        <w:tc>
          <w:tcPr>
            <w:tcW w:w="1260" w:type="dxa"/>
            <w:vAlign w:val="bottom"/>
            <w:tcBorders>
              <w:top w:val="single" w:sz="8" w:color="auto"/>
            </w:tcBorders>
            <w:shd w:val="clear" w:color="auto" w:fill="CCEEFF"/>
          </w:tcPr>
          <w:p>
            <w:pPr>
              <w:jc w:val="center"/>
              <w:ind w:left="758"/>
              <w:spacing w:after="0"/>
              <w:rPr>
                <w:sz w:val="20"/>
                <w:szCs w:val="20"/>
                <w:color w:val="auto"/>
              </w:rPr>
            </w:pPr>
            <w:r>
              <w:rPr>
                <w:rFonts w:ascii="Times New Roman" w:cs="Times New Roman" w:eastAsia="Times New Roman" w:hAnsi="Times New Roman"/>
                <w:sz w:val="18"/>
                <w:szCs w:val="18"/>
                <w:color w:val="auto"/>
                <w:w w:val="96"/>
              </w:rPr>
              <w:t>855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8"/>
                <w:szCs w:val="18"/>
                <w:color w:val="auto"/>
                <w:w w:val="96"/>
              </w:rPr>
              <w:t>708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center"/>
              <w:ind w:left="758"/>
              <w:spacing w:after="0"/>
              <w:rPr>
                <w:sz w:val="20"/>
                <w:szCs w:val="20"/>
                <w:color w:val="auto"/>
              </w:rPr>
            </w:pPr>
            <w:r>
              <w:rPr>
                <w:rFonts w:ascii="Times New Roman" w:cs="Times New Roman" w:eastAsia="Times New Roman" w:hAnsi="Times New Roman"/>
                <w:sz w:val="18"/>
                <w:szCs w:val="18"/>
                <w:color w:val="auto"/>
                <w:w w:val="96"/>
              </w:rPr>
              <w:t>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280" w:type="dxa"/>
            <w:vAlign w:val="bottom"/>
          </w:tcPr>
          <w:p>
            <w:pPr>
              <w:jc w:val="center"/>
              <w:ind w:left="778"/>
              <w:spacing w:after="0"/>
              <w:rPr>
                <w:sz w:val="20"/>
                <w:szCs w:val="20"/>
                <w:color w:val="auto"/>
              </w:rPr>
            </w:pPr>
            <w:r>
              <w:rPr>
                <w:rFonts w:ascii="Times New Roman" w:cs="Times New Roman" w:eastAsia="Times New Roman" w:hAnsi="Times New Roman"/>
                <w:sz w:val="18"/>
                <w:szCs w:val="18"/>
                <w:color w:val="auto"/>
                <w:w w:val="96"/>
              </w:rPr>
              <w:t>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w w:val="97"/>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8"/>
                <w:szCs w:val="18"/>
                <w:color w:val="auto"/>
                <w:w w:val="97"/>
              </w:rPr>
              <w:t>(119)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October 29, 2022</w:t>
            </w:r>
          </w:p>
        </w:tc>
        <w:tc>
          <w:tcPr>
            <w:tcW w:w="1260" w:type="dxa"/>
            <w:vAlign w:val="bottom"/>
            <w:tcBorders>
              <w:bottom w:val="single" w:sz="8" w:color="auto"/>
            </w:tcBorders>
            <w:shd w:val="clear" w:color="auto" w:fill="CCEEFF"/>
          </w:tcPr>
          <w:p>
            <w:pPr>
              <w:jc w:val="center"/>
              <w:ind w:left="758"/>
              <w:spacing w:after="0"/>
              <w:rPr>
                <w:sz w:val="20"/>
                <w:szCs w:val="20"/>
                <w:color w:val="auto"/>
              </w:rPr>
            </w:pPr>
            <w:r>
              <w:rPr>
                <w:rFonts w:ascii="Times New Roman" w:cs="Times New Roman" w:eastAsia="Times New Roman" w:hAnsi="Times New Roman"/>
                <w:sz w:val="18"/>
                <w:szCs w:val="18"/>
                <w:color w:val="auto"/>
                <w:w w:val="96"/>
              </w:rPr>
              <w:t>781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8"/>
                <w:szCs w:val="18"/>
                <w:color w:val="auto"/>
                <w:w w:val="96"/>
              </w:rPr>
              <w:t>784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As of October 29, 2022, there was $4.1 million of total unrecognized compensation cost, net of estimated forfeitures, related to nonvested restricted stock units. That cost is expected to be recognized over a weighted-average period of 1.4 years, subject to meeting performance conditions.</w:t>
      </w:r>
    </w:p>
    <w:p>
      <w:pPr>
        <w:spacing w:after="0" w:line="28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66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48"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2,634,129 shares at an average price of $6.56 per share, excluding commissions, for an aggregate amount of</w:t>
      </w:r>
    </w:p>
    <w:p>
      <w:pPr>
        <w:spacing w:after="0" w:line="27" w:lineRule="exact"/>
        <w:rPr>
          <w:rFonts w:ascii="Times New Roman" w:cs="Times New Roman" w:eastAsia="Times New Roman" w:hAnsi="Times New Roman"/>
          <w:sz w:val="18"/>
          <w:szCs w:val="18"/>
          <w:b w:val="1"/>
          <w:bCs w:val="1"/>
          <w:color w:val="auto"/>
        </w:rPr>
      </w:pPr>
    </w:p>
    <w:p>
      <w:pPr>
        <w:ind w:left="6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$17.3 million during the thirty-nine weeks ended October 29, 2022 under the 2021 Share Repurchase Program. There was $28.5 million remaining available to repurchase shares of the Company's common stock under the 2021 Share Repurchase Program as of October 29, 2022.</w:t>
      </w:r>
    </w:p>
    <w:p>
      <w:pPr>
        <w:spacing w:after="0" w:line="59"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October 29, 2022, the Company held as treasury shares 11,892,870 shares of its common stock at an average price of $11.11 per share, excluding commissions, for an aggregate carrying amount of $132.1 million. The Company’s treasury shares may be issued under the 2010 Equity and Incentive Plan (with respect to outstanding awards under that plan), under the 2020 Equity and Incentive Plan, or for other corporate purposes.</w:t>
      </w:r>
    </w:p>
    <w:p>
      <w:pPr>
        <w:spacing w:after="0" w:line="26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$6.9 million and $8.0 million as of October 29, 2022 and January 29, 2022, respectively. Of this total, $3.0 million and $2.8 million was recorded within prepaid expenses and other current assets and $3.9 million and $5.2 million was recorded within other assets on the Company's Condensed Consolidated Balance Sheets as of October 29, 2022 and January 29, 2022, respectively. The CCA implementation costs are recorded within operating activities in the Company's Condensed Consolidated Statements of Cash Flows.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Refer to Notes 1 and 4 herein for additional information.</w:t>
      </w:r>
    </w:p>
    <w:p>
      <w:pPr>
        <w:spacing w:after="0" w:line="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redeemable noncontrolling interest for the thirteen and thirty-nine weeks ended October 29, 2022, were as follows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31,092</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30, 2022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23,491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tcBorders>
              <w:bottom w:val="single" w:sz="8" w:color="CCEEFF"/>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29, 2022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redeemable noncontrolling interest for the thirteen and thirty-nine weeks ended October 30, 2021, were as follows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29,809</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1, 2021</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30,307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31, 2021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30,364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30, 2021</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30,701</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107" w:lineRule="exact"/>
        <w:rPr>
          <w:rFonts w:ascii="Times New Roman" w:cs="Times New Roman" w:eastAsia="Times New Roman" w:hAnsi="Times New Roman"/>
          <w:sz w:val="18"/>
          <w:szCs w:val="18"/>
          <w:b w:val="1"/>
          <w:bCs w:val="1"/>
          <w:color w:val="auto"/>
        </w:rPr>
      </w:pPr>
    </w:p>
    <w:p>
      <w:pPr>
        <w:ind w:left="66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detail the carrying value of the Company's intangible assets other than goodwill related to the acquisition of a majority interest in Pura Vida.</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Amortization</w:t>
            </w:r>
            <w:r>
              <w:rPr>
                <w:rFonts w:ascii="Times New Roman" w:cs="Times New Roman" w:eastAsia="Times New Roman" w:hAnsi="Times New Roman"/>
                <w:sz w:val="18"/>
                <w:szCs w:val="18"/>
                <w:b w:val="1"/>
                <w:bCs w:val="1"/>
                <w:color w:val="auto"/>
                <w:w w:val="99"/>
                <w:vertAlign w:val="superscript"/>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680" w:right="980" w:hanging="6"/>
        <w:spacing w:after="0" w:line="245" w:lineRule="auto"/>
        <w:tabs>
          <w:tab w:leader="none" w:pos="9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charge was recorded within the Pura Vida segment during the thirty-nine weeks ended October 29, 2022, totaling $9.9 million in conjunction with the Company's second quarter annual impairment test.</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is recorded within selling, general, and administrative expenses in the Company's Condensed Consolidated Statement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Operations. The future amortization expense for intangible assets is as follows (in thousands):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7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(remaining three months)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total amount of the goodwill as of October 29, 2022 and January 29, 2022, was $24.8 million and $44.3 million, respectively, recorded within the Pura Vida segment. Goodwill is deductible for tax purposes, limited to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Company's 75% majority ownership interest. Changes to goodwill for the thirty-nine weeks ended October 29, 2022 are as follows (in thousands):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44,254</w:t>
            </w:r>
          </w:p>
        </w:tc>
      </w:tr>
      <w:tr>
        <w:trPr>
          <w:trHeight w:val="230"/>
        </w:trPr>
        <w:tc>
          <w:tcPr>
            <w:tcW w:w="85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(19,421)</w:t>
            </w:r>
          </w:p>
        </w:tc>
      </w:tr>
      <w:tr>
        <w:trPr>
          <w:trHeight w:val="23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29, 2022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24,833</w:t>
            </w:r>
          </w:p>
        </w:tc>
      </w:tr>
    </w:tbl>
    <w:p>
      <w:pPr>
        <w:ind w:left="680" w:right="820" w:hanging="6"/>
        <w:spacing w:after="0" w:line="234" w:lineRule="auto"/>
        <w:tabs>
          <w:tab w:leader="none" w:pos="9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impairment charge was recorded in conjunction with the Company's second quarter annual impairment test during the thirty-nine weeks ended October 29, 2022. The goodwill impairment charge was recorded within the Pura Vida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-247015</wp:posOffset>
            </wp:positionV>
            <wp:extent cx="796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to goodwill for the thirteen and thirty-nine weeks ended October 30, 2021.</w:t>
      </w:r>
    </w:p>
    <w:p>
      <w:pPr>
        <w:spacing w:after="0" w:line="90" w:lineRule="exact"/>
        <w:rPr>
          <w:sz w:val="20"/>
          <w:szCs w:val="20"/>
          <w:color w:val="auto"/>
        </w:rPr>
      </w:pPr>
    </w:p>
    <w:p>
      <w:pPr>
        <w:jc w:val="both"/>
        <w:ind w:left="660" w:right="80"/>
        <w:spacing w:after="0" w:line="266" w:lineRule="auto"/>
        <w:rPr>
          <w:sz w:val="20"/>
          <w:szCs w:val="20"/>
          <w:color w:val="auto"/>
        </w:rPr>
      </w:pPr>
      <w:r>
        <w:rPr>
          <w:rFonts w:ascii="Times New Roman" w:cs="Times New Roman" w:eastAsia="Times New Roman" w:hAnsi="Times New Roman"/>
          <w:sz w:val="18"/>
          <w:szCs w:val="18"/>
          <w:color w:val="auto"/>
        </w:rPr>
        <w:t>The Company performs its annual impairment test over goodwill and the indefinite-lived Pura Vida brand during the second quarter of each fiscal year. The Company has experienced significantly lower sales from its Pura Vida e-commerce channel due to a decline in social and digital media effectiveness. These lower sales volumes had a negative impact on the fair value determination of the aforementioned assets.</w:t>
      </w:r>
    </w:p>
    <w:p>
      <w:pPr>
        <w:spacing w:after="0" w:line="54"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fair value of the Pura Vida reporting unit was determined using a combination of an income-based approach (discounted cash flows) and a market-based approach (guideline transaction method). The discounted cash flow method involved subjective 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58" w:lineRule="exact"/>
        <w:rPr>
          <w:sz w:val="20"/>
          <w:szCs w:val="20"/>
          <w:color w:val="auto"/>
        </w:rPr>
      </w:pPr>
    </w:p>
    <w:p>
      <w:pPr>
        <w:ind w:left="660" w:right="100"/>
        <w:spacing w:after="0" w:line="312" w:lineRule="auto"/>
        <w:rPr>
          <w:sz w:val="20"/>
          <w:szCs w:val="20"/>
          <w:color w:val="auto"/>
        </w:rPr>
      </w:pPr>
      <w:r>
        <w:rPr>
          <w:rFonts w:ascii="Times New Roman" w:cs="Times New Roman" w:eastAsia="Times New Roman" w:hAnsi="Times New Roman"/>
          <w:sz w:val="17"/>
          <w:szCs w:val="17"/>
          <w:color w:val="auto"/>
        </w:rPr>
        <w:t>The fair value of the Pura Vida brand was estimated using a relief-from-royalty method. The estimates and assumptions used in the determination of the fair value of the Pura Vida brand included the projected revenue growth, long-term growth rate, the royalty rate, and discount rate.</w:t>
      </w:r>
    </w:p>
    <w:p>
      <w:pPr>
        <w:spacing w:after="0" w:line="5" w:lineRule="exact"/>
        <w:rPr>
          <w:sz w:val="20"/>
          <w:szCs w:val="20"/>
          <w:color w:val="auto"/>
        </w:rPr>
      </w:pPr>
    </w:p>
    <w:p>
      <w:pPr>
        <w:jc w:val="both"/>
        <w:ind w:left="660" w:right="60"/>
        <w:spacing w:after="0" w:line="266" w:lineRule="auto"/>
        <w:rPr>
          <w:sz w:val="20"/>
          <w:szCs w:val="20"/>
          <w:color w:val="auto"/>
        </w:rPr>
      </w:pPr>
      <w:r>
        <w:rPr>
          <w:rFonts w:ascii="Times New Roman" w:cs="Times New Roman" w:eastAsia="Times New Roman" w:hAnsi="Times New Roman"/>
          <w:sz w:val="18"/>
          <w:szCs w:val="18"/>
          <w:color w:val="auto"/>
        </w:rPr>
        <w:t>During the assessment for the fiscal 2023 test, it was determined that the fair values of the Pura Vida reporting unit and the Pura Vida brand were less than their carrying values. As a result, the Company recorded an impairment charge of $9.9 million and $19.4 million for the Pura Vida brand and goodwill, respectively, during the thirty-nine weeks ended October 29, 2022 within the Pura Vida segment.</w:t>
      </w:r>
    </w:p>
    <w:p>
      <w:pPr>
        <w:spacing w:after="0" w:line="5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Due to the operating loss incurred by the Pura Vida segment during the third quarter, the Company determined there was a triggering event and performed additional analysis on the valuation of the Pura Vida reporting unit and the Pura Vida brand as of October 29, 2022. As of October 29, 2022, the Company determined that the fair values of the Pura Vida reporting unit and the Pura Vida brand exceeded their carrying values by a nominal amount and concluded that no additional impairment existed for the goodwill or brand assets. There were no impairment charges recorded for the thirteen weeks ended October 29, 2022.</w:t>
      </w:r>
    </w:p>
    <w:p>
      <w:pPr>
        <w:spacing w:after="0" w:line="62"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color w:val="auto"/>
        </w:rPr>
        <w:t>While we consider our assumptions in the determination of the fair value of these assets to be reasonable, they are complex and highly subjective. Adverse changes in key assumptions in future periods may result in further declines in the fair value estimates of goodwill and the Pura Vida brand below their carrying value resulting in impairment charges, which could be material. Our key assumptions (as described above in the valuation methodologies used in the determination of fair value) may be impacted by macroeconomic conditions, including inflationary pressures and the impact on consumer discretionary spending, supply chain challenges, as well as a sustained decline in stock price and potential changes in business strategy. Refer to Note 5 herein for additional information regarding the fair value measurement.</w:t>
      </w:r>
    </w:p>
    <w:p>
      <w:pPr>
        <w:spacing w:after="0" w:line="48" w:lineRule="exact"/>
        <w:rPr>
          <w:sz w:val="20"/>
          <w:szCs w:val="20"/>
          <w:color w:val="auto"/>
        </w:rPr>
      </w:pPr>
    </w:p>
    <w:p>
      <w:pPr>
        <w:ind w:left="660" w:right="7140" w:hanging="652"/>
        <w:spacing w:after="0" w:line="383" w:lineRule="auto"/>
        <w:tabs>
          <w:tab w:leader="none" w:pos="655"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spacing w:after="0" w:line="1" w:lineRule="exact"/>
        <w:rPr>
          <w:rFonts w:ascii="Times New Roman" w:cs="Times New Roman" w:eastAsia="Times New Roman" w:hAnsi="Times New Roman"/>
          <w:sz w:val="17"/>
          <w:szCs w:val="17"/>
          <w:b w:val="1"/>
          <w:bCs w:val="1"/>
          <w:color w:val="auto"/>
        </w:rPr>
      </w:pPr>
    </w:p>
    <w:p>
      <w:pPr>
        <w:ind w:left="660" w:right="1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thirteen weeks ended July 30, 2022, the Company began implementation of its targeted cost reductions, which are expected to be fully realized in fiscal 2024. Expense savings are being derived across various areas of the Company, including retail store efficiencies, marketing expenses, information technology contracts, professional services, logistics and operational costs, and corporate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incurred the following charges during the thirteen weeks ended October 29, 2022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181"/>
        </w:trPr>
        <w:tc>
          <w:tcPr>
            <w:tcW w:w="2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Consulting fees and other</w:t>
            </w: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(2)</w:t>
            </w: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80" w:right="380" w:hanging="6"/>
        <w:spacing w:after="0" w:line="245" w:lineRule="auto"/>
        <w:tabs>
          <w:tab w:leader="none" w:pos="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 million for fees related to cost savings initiatives and CEO search and $0.1 million for certain Pura Vida professional fees</w:t>
      </w:r>
    </w:p>
    <w:p>
      <w:pPr>
        <w:ind w:left="920" w:hanging="24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are recorded within selling, general, and administrative expenses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incurred the following charges during the thirty-nine weeks ended October 29, 2022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19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Severance charges </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0" w:type="dxa"/>
            <w:vAlign w:val="bottom"/>
          </w:tcPr>
          <w:p>
            <w:pPr>
              <w:spacing w:after="0"/>
              <w:rPr>
                <w:sz w:val="1"/>
                <w:szCs w:val="1"/>
                <w:color w:val="auto"/>
              </w:rPr>
            </w:pPr>
          </w:p>
        </w:tc>
      </w:tr>
      <w:tr>
        <w:trPr>
          <w:trHeight w:val="181"/>
        </w:trPr>
        <w:tc>
          <w:tcPr>
            <w:tcW w:w="19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8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48"/>
        </w:trPr>
        <w:tc>
          <w:tcPr>
            <w:tcW w:w="19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CEO retirement severance</w:t>
      </w:r>
    </w:p>
    <w:p>
      <w:pPr>
        <w:spacing w:after="0" w:line="27" w:lineRule="exact"/>
        <w:rPr>
          <w:rFonts w:ascii="Times New Roman" w:cs="Times New Roman" w:eastAsia="Times New Roman" w:hAnsi="Times New Roman"/>
          <w:sz w:val="18"/>
          <w:szCs w:val="18"/>
          <w:color w:val="auto"/>
        </w:rPr>
      </w:pPr>
    </w:p>
    <w:p>
      <w:pPr>
        <w:ind w:left="680" w:right="360" w:hanging="6"/>
        <w:spacing w:after="0" w:line="242" w:lineRule="auto"/>
        <w:tabs>
          <w:tab w:leader="none" w:pos="9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 million for fees related to cost savings initiatives and CEO search; $0.3 million for concept brand exit costs; and $0.1 million for certain Pura Vida professional fees</w:t>
      </w:r>
    </w:p>
    <w:p>
      <w:pPr>
        <w:spacing w:after="0" w:line="1" w:lineRule="exact"/>
        <w:rPr>
          <w:rFonts w:ascii="Times New Roman" w:cs="Times New Roman" w:eastAsia="Times New Roman" w:hAnsi="Times New Roman"/>
          <w:sz w:val="18"/>
          <w:szCs w:val="18"/>
          <w:color w:val="auto"/>
        </w:rPr>
      </w:pPr>
    </w:p>
    <w:p>
      <w:pPr>
        <w:ind w:left="680" w:right="420" w:hanging="6"/>
        <w:spacing w:after="0" w:line="245" w:lineRule="auto"/>
        <w:tabs>
          <w:tab w:leader="none" w:pos="9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million of the charges are recorded within selling, general, and administrative expenses and $0.2 million are recorded within cost of sales</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Severance Charges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right"/>
              <w:ind w:right="65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Costs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charges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 and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October 29, 2022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accounts payable</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similar charges in the thirteen and thirty-nine weeks ended October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Charges</w:t>
      </w:r>
    </w:p>
    <w:p>
      <w:pPr>
        <w:spacing w:after="0" w:line="90"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7"/>
          <w:szCs w:val="17"/>
          <w:i w:val="1"/>
          <w:iCs w:val="1"/>
          <w:color w:val="auto"/>
        </w:rPr>
        <w:t>Thirteen weeks ended July 30, 2022</w:t>
      </w:r>
      <w:r>
        <w:rPr>
          <w:rFonts w:ascii="Times New Roman" w:cs="Times New Roman" w:eastAsia="Times New Roman" w:hAnsi="Times New Roman"/>
          <w:sz w:val="17"/>
          <w:szCs w:val="17"/>
          <w:color w:val="auto"/>
        </w:rPr>
        <w:t>. During the thirteen weeks ended July 30, 2022, the Company recorded $5.9 million of non-cash inventory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adjustments related to the exit of certain technology products and excess mask products and $1.1 million for purchase order cancellation fees related to spring 2023 product within cost of sales in its Condensed Consolidated Statement of Operations. Collectively, $5.1 million was recorded within the Direct segment, $1.0 million was recorded within the Indirect segment, and $0.9 million was recorded within the Pura Vida segment.</w:t>
      </w:r>
    </w:p>
    <w:p>
      <w:pPr>
        <w:spacing w:after="0" w:line="29" w:lineRule="exact"/>
        <w:rPr>
          <w:sz w:val="20"/>
          <w:szCs w:val="20"/>
          <w:color w:val="auto"/>
        </w:rPr>
      </w:pPr>
    </w:p>
    <w:p>
      <w:pPr>
        <w:ind w:left="660" w:right="100"/>
        <w:spacing w:after="0" w:line="267" w:lineRule="auto"/>
        <w:rPr>
          <w:sz w:val="20"/>
          <w:szCs w:val="20"/>
          <w:color w:val="auto"/>
        </w:rPr>
      </w:pPr>
      <w:r>
        <w:rPr>
          <w:rFonts w:ascii="Times New Roman" w:cs="Times New Roman" w:eastAsia="Times New Roman" w:hAnsi="Times New Roman"/>
          <w:sz w:val="18"/>
          <w:szCs w:val="18"/>
          <w:i w:val="1"/>
          <w:iCs w:val="1"/>
          <w:color w:val="auto"/>
        </w:rPr>
        <w:t>Thirteen weeks ended October 29, 2022</w:t>
      </w:r>
      <w:r>
        <w:rPr>
          <w:rFonts w:ascii="Times New Roman" w:cs="Times New Roman" w:eastAsia="Times New Roman" w:hAnsi="Times New Roman"/>
          <w:sz w:val="18"/>
          <w:szCs w:val="18"/>
          <w:color w:val="auto"/>
        </w:rPr>
        <w:t>. During the thirteen weeks ended October 29, 2022, the Company recorded a benefit of $0.3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cost of sales in its Condensed Consolidated Statement of Operations for a reversal of certain purchase order cancellation fees. $0.2 million was recorded within the Direct segment and $0.1 million was recorded within the Indirect segment.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similar charges during the thirteen weeks ended April 30, 2022 or the thirteen and thirty-nine weeks ended October 30, 2021.</w:t>
      </w:r>
    </w:p>
    <w:p>
      <w:pPr>
        <w:spacing w:after="0" w:line="34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94"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8"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factory outlet stores; the Vera Bradley websites, verabradley.com and verabradley.ca; the Vera Bradley online outlet site; and typically the Vera Bradley annual outlet sale. Revenues generated from this segment are driven through the sale of Vera Bradley-branded products from Vera Bradley to end consumers.</w:t>
      </w:r>
    </w:p>
    <w:p>
      <w:pPr>
        <w:spacing w:after="0" w:line="54" w:lineRule="exact"/>
        <w:rPr>
          <w:rFonts w:ascii="Times New Roman" w:cs="Times New Roman" w:eastAsia="Times New Roman" w:hAnsi="Times New Roman"/>
          <w:sz w:val="18"/>
          <w:szCs w:val="18"/>
          <w:b w:val="1"/>
          <w:bCs w:val="1"/>
          <w:color w:val="auto"/>
        </w:rPr>
      </w:pPr>
    </w:p>
    <w:p>
      <w:pPr>
        <w:ind w:left="660"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1,700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4"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Pura Vida retail stores, and through the distribution of Pura Vida-branded products to wholesale retailers, substantially all of which are located in the United States.</w:t>
      </w:r>
    </w:p>
    <w:p>
      <w:pPr>
        <w:spacing w:after="0" w:line="54"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thirty-nine weeks ended October 29, 2022 and October 30, 2021, respectively, consisted of the following (in thousands):</w:t>
      </w:r>
    </w:p>
    <w:tbl>
      <w:tblPr>
        <w:tblLayout w:type="fixed"/>
        <w:tblInd w:w="66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6"/>
                <w:szCs w:val="16"/>
                <w:color w:val="auto"/>
              </w:rPr>
            </w:pPr>
          </w:p>
        </w:tc>
        <w:tc>
          <w:tcPr>
            <w:tcW w:w="29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250,516</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87,352</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390,877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51,853</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76,784</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thirty-nine weeks ended October 29, 2022 and October 30, 2021. The following discussion should be read in conjunction with our Annual Report on Form 10-K for the fiscal year ended January 29, 2022, and our unaudited condensed consolidated financial statements and the related notes included in Item 1 of this Quarterly Report. The results of operations for the thirteen and thirty-nine weeks ended October 29, 2022,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continue to experience challenges associated with the unpredictable macroeconomic environment in which we operate our businesses. The COVID-19 pandemic caused supply chain disruptions that have resulted in continuing delivery delays and increased inbound and outbound shipping costs. We cannot predict the future impacts of the COVID-19 pandemic if associated factors necessitate temporary closures to some, or all, of our retail stores due to guidance and mandates from governments and public health officials, or require other Company action that may impact our operations.</w:t>
      </w:r>
    </w:p>
    <w:p>
      <w:pPr>
        <w:spacing w:after="0" w:line="5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have also been impacted by higher tariffs from previously duty-free countries, where we source products, as a result of the Generalized System of Preferences (“GSP”) duty-free status that expired at the end of calendar year 2020. We cannot guarantee if or when the GSP duty-free status will be reinstated and retro-actively applied by Congress.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macroeconomic environment has been further challenged by inflationary pressures, including high gas prices, and other related factors that have impacted consumer discretionary spending, primarily customers with lower household incomes. We have also seen a trend of increasing digital media costs.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began initiating strategic price increases across both of our brands to mitigate some of these inflationary and supply chain pressures in late fiscal 2022 and early fiscal 2023. We will continue to monitor our pricing as it relates to the current macroeconomic trends.</w:t>
      </w:r>
    </w:p>
    <w:p>
      <w:pPr>
        <w:spacing w:after="0" w:line="4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also continued the implementation of our targeted cost reductions, which are expected to be fully realized in fiscal 2024. Expense savings are being derived across various areas of the Company, including retail store efficiencies, marketing expenses, information technology contracts, professional services, logistics and operational costs, and corporate payroll.</w:t>
      </w:r>
    </w:p>
    <w:p>
      <w:pPr>
        <w:spacing w:after="0" w:line="4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we continue to actively monitor this rapidly evolving macroeconomic environment and are working to mitigate the situation, we cannot predict the full impact these matters could have on our liquidity, operating results, and financial condition, but they could have a material adverse effect on these metrics.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third quarter of fiscal 2023:</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104" w:lineRule="exact"/>
        <w:rPr>
          <w:sz w:val="20"/>
          <w:szCs w:val="20"/>
          <w:color w:val="auto"/>
        </w:rPr>
      </w:pPr>
    </w:p>
    <w:p>
      <w:pPr>
        <w:jc w:val="both"/>
        <w:ind w:left="660" w:right="60"/>
        <w:spacing w:after="0" w:line="268"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b w:val="1"/>
          <w:bCs w:val="1"/>
          <w:i w:val="1"/>
          <w:iCs w:val="1"/>
          <w:color w:val="auto"/>
        </w:rPr>
        <w:t>Vera Bradley</w:t>
      </w:r>
      <w:r>
        <w:rPr>
          <w:rFonts w:ascii="Times New Roman" w:cs="Times New Roman" w:eastAsia="Times New Roman" w:hAnsi="Times New Roman"/>
          <w:sz w:val="18"/>
          <w:szCs w:val="18"/>
          <w:color w:val="auto"/>
        </w:rPr>
        <w:t>, we continued to innovate and build on our lifestyle merchandising focus in the core areas of travel, back-to-campus, everyday, and collaborations. We continued our collaborations with Disney and Harry Potter; launched a new rain gear collaboration with Totes; introduced VB Cloud, our exclusive shoe collection of mules and slip-ons; and expanded our family sleep and loungewear collection.</w:t>
      </w:r>
    </w:p>
    <w:p>
      <w:pPr>
        <w:spacing w:after="0" w:line="49" w:lineRule="exact"/>
        <w:rPr>
          <w:sz w:val="20"/>
          <w:szCs w:val="20"/>
          <w:color w:val="auto"/>
        </w:rPr>
      </w:pPr>
    </w:p>
    <w:p>
      <w:pPr>
        <w:ind w:left="660" w:right="120"/>
        <w:spacing w:after="0" w:line="262"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b w:val="1"/>
          <w:bCs w:val="1"/>
          <w:i w:val="1"/>
          <w:iCs w:val="1"/>
          <w:color w:val="auto"/>
        </w:rPr>
        <w:t>Pura Vida</w:t>
      </w:r>
      <w:r>
        <w:rPr>
          <w:rFonts w:ascii="Times New Roman" w:cs="Times New Roman" w:eastAsia="Times New Roman" w:hAnsi="Times New Roman"/>
          <w:sz w:val="18"/>
          <w:szCs w:val="18"/>
          <w:color w:val="auto"/>
        </w:rPr>
        <w:t>, we continued to build customer excitement and engagement through collaborations such as Disney, Harry Potter, and Hello Kitty; partnered with key influencers; and continued product innovation through expansion of our demi-fine jewelry and stone collections and the extension of our apparel offerings. We also opened two additional full-price Pura Vida stores in the third quarter in Myrtle Beach and metro Phoenix in August and September,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(all comparisons are to the third quarter of fiscal 2022)</w:t>
      </w:r>
    </w:p>
    <w:p>
      <w:pPr>
        <w:spacing w:after="0" w:line="108"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7.9% to $124.0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Direct (“VB Direct”) segment sales decreased 7.6% to $80.1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Indirect segment (“VB Indirect”) sales increased 6.7% to $22.3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segment sales decreased 20.3% to $21.7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$65.9 million, or 53.1% of net revenue.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hanging="324"/>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$6.0 million and net income attributable to Vera Bradley, Inc. was $5.2 million. Operating income was impacted by $1.1 million of consulting fees related to our cost savings initiatives, CEO search fees, and certain Pura Vida professional fees; $0.8 million for intangible asset amortization; $0.4 million of severance charges; $0.2 million for stock-based compensation associated with CEO retirement; and a benefit of $0.3 million for the reversal of certain PO cancellation fees. Collectively, the net loss attributable to Vera Bradley, Inc. for these net charges was $1.1 million.</w:t>
      </w:r>
    </w:p>
    <w:p>
      <w:pPr>
        <w:spacing w:after="0" w:line="4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thirteen weeks totaled $2.6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$25.2 million at October 29, 2022.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the Vera Bradley websites verabradley.com and verabradley.ca; and our Vera Bradley online outlet site. There were no sales from our Vera Bradley annual outlet sale in Fort Wayne, Indiana for the past two years as it was cancelled due to the COVID-19 pandemic.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through the distribution of Pura Vida-branded products to wholesale retailers, and through Pura Vida's five retail stores, the first of which opened in August 2021 and the remainder in fiscal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10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Typically, comparable sales are calculated based upon our stores that have been open for at least 12 full fiscal months and net revenues from our Vera Bradley e-commerce operations.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33"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As a result of the temporary closure of all Vera Bradley stores due to COVID-19 during a portion of the fiscal 2021 first and second quarters, the Company's comparable store sales and comparable sales calculations for the prior-year year-to-date period is not meaningful and therefore is not provided.</w:t>
      </w:r>
    </w:p>
    <w:p>
      <w:pPr>
        <w:spacing w:after="0" w:line="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2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 as well as severance charges and consulting fees associated with cost savings initiatives and the CEO search disclosed in Note 14 to the Notes to the Consolidated Financial Statements 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primarily includes certain legal settlements, sales tax credits received for timely filings, and sublease income.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income (loss) is equal to gross profit less SG&amp;A expenses plus other income, net. Operating income (loss) excludes interest income, interest expense, and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is equal to operating income (loss) plus interest income less interest expense and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Redeemable Noncontrolling Interest</w:t>
      </w:r>
    </w:p>
    <w:p>
      <w:pPr>
        <w:spacing w:after="0" w:line="1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(loss) income attributable to redeemable noncontrolling interest represents the operating results of Pura Vida that are not attributable to Vera Bradley,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Vera Bradley,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Vera Bradley, Inc. is equal to net income (loss) less net (loss) income attributable to redeemable noncontrolling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9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perform our annual impairment test over goodwill and the indefinite-lived Pura Vida brand during the second quarter of each fiscal year. We have experienced significantly lower sales from our Pura Vida e-commerce channel due to a decline in social and digital media effectiveness. These lower sales volumes had a negative impact on the fair value determination of the aforementioned assets.</w:t>
      </w:r>
    </w:p>
    <w:p>
      <w:pPr>
        <w:spacing w:after="0" w:line="19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fair value of the Pura Vida reporting unit was determined using a combination of an income-based approach (discounted cash flows) and a market-based approach (guideline transaction method). The discounted cash flow method involved subjective 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fair value of the Pura Vida brand was estimated using a relief-from-royalty method. The estimates and assumptions used in the determination of the fair value of the Pura Vida brand include the projected revenue growth, long-term growth rate, the royalty rate, and discount rate.</w:t>
      </w:r>
    </w:p>
    <w:p>
      <w:pPr>
        <w:spacing w:after="0" w:line="20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During the assessment for the fiscal 2023 test, it was determined that the fair values of the Pura Vida reporting unit and the Pura Vida brand were less than their carrying values. As a result, the Company recorded an impairment charge of $9.9 million and $19.4 million for the Pura Vida brand and goodwill, respectively, for the thirteen weeks ended July 30, 2022 within the Pura Vida segment. Due to the operating loss incurred by the Pura Vida segment during the third quarter, we determined there was a triggering event and performed additional analysis on the valuation of the Pura Vida reporting unit and the Pura Vida brand as of October 29, 2022. As of October 29, 2022, we determined that the fair values of the Pura Vida reporting unit and the Pura Vida brand exceeded their carrying values by a nominal amount and concluded that no additional impairment existed for the goodwill or brand assets.</w:t>
      </w:r>
    </w:p>
    <w:p>
      <w:pPr>
        <w:spacing w:after="0" w:line="200"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While we consider our assumptions in the determination of the fair value of these assets to be reasonable, they are complex and highly subjective. Adverse changes in key assumptions in future periods may result in further declines in the fair value estimates of goodwill and the Pura Vida brand below their carrying value resulting in impairment charges, which could be material. Our key assumptions (as described above in the valuation methodologies used in the determination of fair value) may be impacted by macroeconomic conditions, including inflationary pressures and the impact on consumer discretionary spending, supply chain challenges, as well as a sustained decline in stock price and potential changes in business strategy. Refer to Note 5 to the Notes to the Consolidated Financial Statements herein for additional information regarding the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0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$1.4 million were recognized during the thirty-nine weeks ended October 29, 2022, for store-related property, plant, and equipment and a lease right-of-use asset and are included in SG&amp;A expenses in the Condensed Consolidated Statements of Operations and in other impairment charges in the Condensed Consolidated Statements of Cash Flows. $0.8 million of the impairment charge is included in the Direct segment for the thirty-nine weeks ended October 29, 2022, and $0.6 million of the impairment charge is included in corporate unallocated expenses for the thirty-nine weeks ended October 29, 2022. There were no impairment charges recorded during the thirteen weeks ended October 29, 2022, and the thirteen and thirty-nine weeks ended October 30, 2021. We are unable to predict the extent of the impact that the inflationary environment and supply chain challenges could have on our operations, the economy, or other factors; therefore, it is possible additional impairments could be identified in future periods, and such amounts could be material.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6"/>
                <w:szCs w:val="16"/>
                <w:color w:val="auto"/>
              </w:rPr>
            </w:pPr>
          </w:p>
        </w:tc>
        <w:tc>
          <w:tcPr>
            <w:tcW w:w="288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1"/>
              <w:spacing w:after="0" w:line="129"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1"/>
              <w:spacing w:after="0" w:line="129"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352,870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390,877</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58,164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62,457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173,963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179,074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211,803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60,059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195,015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194,083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18,641</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18,419</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14,565</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redeemable</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(31,574)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redeemable</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900" w:type="dxa"/>
            <w:vAlign w:val="bottom"/>
            <w:gridSpan w:val="6"/>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80,061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86,646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228,710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250,516</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20,913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56,616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53,009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21,665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27,176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67,544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87,352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124,040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134,735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352,870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390,877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23"/>
                <w:szCs w:val="23"/>
                <w:color w:val="auto"/>
              </w:rPr>
            </w:pPr>
          </w:p>
        </w:tc>
        <w:tc>
          <w:tcPr>
            <w:tcW w:w="2900" w:type="dxa"/>
            <w:vAlign w:val="bottom"/>
            <w:gridSpan w:val="6"/>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17,060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17,825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32,607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51,853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9,012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18,409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17,403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(28,831)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7,528</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(18,761)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(19,008)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(67,281)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(58,143)</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(45,096)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18,641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 by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4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401,239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400,600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401,239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400,600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30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(including e-commerce) (decrease) increase</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hanging="552"/>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factory outlet stores.</w:t>
      </w:r>
    </w:p>
    <w:p>
      <w:pPr>
        <w:spacing w:after="0" w:line="27" w:lineRule="exact"/>
        <w:rPr>
          <w:rFonts w:ascii="Times New Roman" w:cs="Times New Roman" w:eastAsia="Times New Roman" w:hAnsi="Times New Roman"/>
          <w:sz w:val="18"/>
          <w:szCs w:val="18"/>
          <w:color w:val="auto"/>
        </w:rPr>
      </w:pPr>
    </w:p>
    <w:p>
      <w:pPr>
        <w:ind w:left="580" w:right="20" w:hanging="572"/>
        <w:spacing w:after="0" w:line="265" w:lineRule="auto"/>
        <w:tabs>
          <w:tab w:leader="none" w:pos="5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These figures do not include the Pura Vida retail stores.</w:t>
      </w:r>
    </w:p>
    <w:p>
      <w:pPr>
        <w:ind w:left="580" w:right="100" w:hanging="572"/>
        <w:spacing w:after="0" w:line="290" w:lineRule="auto"/>
        <w:tabs>
          <w:tab w:leader="none" w:pos="5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temporary closure of Vera Bradley stores due to COVID-19 during portions of the first and second quarters of fiscal 2021, the Company's prior-year year-to-date comparable store sales and comparable sales calculations were not meaningful and therefore were not provided.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October 29, 2022, Compared to Thirteen Weeks Ended October 30,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thirteen weeks ended October 29, 2022, net revenues decreased $10.7 million, or 7.9%, to $124.0 million, from $134.7 million in the comparable prior-year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VB Direct. </w:t>
      </w:r>
      <w:r>
        <w:rPr>
          <w:rFonts w:ascii="Times New Roman" w:cs="Times New Roman" w:eastAsia="Times New Roman" w:hAnsi="Times New Roman"/>
          <w:sz w:val="18"/>
          <w:szCs w:val="18"/>
          <w:color w:val="auto"/>
        </w:rPr>
        <w:t>For the thirteen weeks ended October 29, 2022, net revenues in the VB Direct segment decreased $6.5 million, or 7.6%, to $80.1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$86.6 million in the comparable prior-year period. Our comparable sales decreased $8.2 million, or 9.6%. The decrease in comparable sales includes a</w:t>
      </w:r>
    </w:p>
    <w:p>
      <w:pPr>
        <w:spacing w:after="0" w:line="1" w:lineRule="exact"/>
        <w:rPr>
          <w:sz w:val="20"/>
          <w:szCs w:val="20"/>
          <w:color w:val="auto"/>
        </w:rPr>
      </w:pPr>
    </w:p>
    <w:p>
      <w:pPr>
        <w:jc w:val="both"/>
        <w:ind w:right="80"/>
        <w:spacing w:after="0" w:line="243" w:lineRule="auto"/>
        <w:rPr>
          <w:sz w:val="20"/>
          <w:szCs w:val="20"/>
          <w:color w:val="auto"/>
        </w:rPr>
      </w:pPr>
      <w:r>
        <w:rPr>
          <w:rFonts w:ascii="Times New Roman" w:cs="Times New Roman" w:eastAsia="Times New Roman" w:hAnsi="Times New Roman"/>
          <w:sz w:val="18"/>
          <w:szCs w:val="18"/>
          <w:color w:val="auto"/>
        </w:rPr>
        <w:t>15.3% decrease in comparable store sales, partially offset by a 4.1% increase in e-commerce sales. Our non-comparable stores contributed $1.7 million of revenue, which included five additional factory outlet stores opened in the current fiscal year. The decrease in comparable sales and comparable store sales was impacted by reduced traffic, conversion, and units sold primarily in the factory outlet channel. These decreases were partially offset by price increases on certain merchandise in the current-year.</w:t>
      </w:r>
    </w:p>
    <w:p>
      <w:pPr>
        <w:spacing w:after="0" w:line="12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October 29, 2022, net revenues in the VB Indirect segment increased $1.4 million, or 6.7%, to $22.3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$20.9 million in the comparable prior-year period. The increase was primarily due to an increase in orders from certain key accounts, partially offset by a decline in specialty account orders.</w:t>
      </w:r>
    </w:p>
    <w:p>
      <w:pPr>
        <w:spacing w:after="0" w:line="11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October 29, 2022, net revenues in the Pura Vida segment decreased $5.5 million, or 20.3%, to $21.7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$27.2 million in the comparable prior-year period. The decrease was primarily due to a decline of $3.3 million in e-commerce sales due to a decline in social and digital media effectiveness and lower marketing spending, as well as a decline of $3.0 million in wholesale orders. We are working to evolve our business model from one that is largely dependent on e-commerce and digital marketing to one that is a true omni-channel business with a more diversified marketing program.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the thirteen weeks ended October 29, 2022, gross profit decreased $6.4 million, or 8.9%, to $65.9 million, from $72.3 million in the comparable prior-year period. As a percentage of net revenues, gross profit decreased to 53.1% for the thirteen weeks ended October 29, 2022, from 53.6% in the comparable prior-year period. Gross profit as a percentage of net revenues was negatively impacted by inbound and outbound freight and shipping costs, overhead de-leverage, and channel mix changes, which was partially offset by price increases on certain merchandise in the current-year and a benefit of approximately 20 basis points associated with the reversal of certain PO cancellation fees.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For the thirteen weeks ended October 29, 2022, SG&amp;A expenses decreased $4.4 million, or 6.8%, to $60.1 million, from $64.5 million in the comparable prior-year period. As a percentage of net revenues, SG&amp;A expenses increased to 48.4% for the thirteen weeks ended October 29, 2022, from 47.8% in the comparable prior-year period. SG&amp;A expenses related to Vera Bradley and corporate unallocated were $46.6 million compared to $51.4 million in the comparable prior-year period. SG&amp;A expenses related to Pura Vida were $13.5 million compared to $13.1 million in the prior-year. The decrease in consolidated SG&amp;A expenses for the thirteen weeks ended October 29, 2022 was primarily due to a $2.1 million reduction in employee-related expenses mostly due to headcount changes, including store closures, and lower store sales; a $1.4 million reduction in advertising expenses including a reduction at both Vera Bradley and Pura Vida; a $0.9 million reduction in lease expense due to store closures and contingent rental payments associated with lower store sales; and a $1.5 million reduction in other expenses due in part to cost reduction initiatives including Company supplies, visual merchandising spending, and professional fees.</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aforementioned decreases in SG&amp;A expenses were partially offset by $1.1 million related to consulting fees associated with cost savings initiatives and $0.4 million for a severance charge.</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SG&amp;A expenses as a percentage of net revenues increased primarily due to the aforementioned items, as well as SG&amp;A expense de-leverage associated with a decrease in sales.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October 29, 2022, net other income was $0.1 million, which was consistent with the comparable prior-year period.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thirteen weeks ended October 29, 2022, operating income decreased $2.0 million to $6.0 million in the current-year period, from $8.0 million in the comparable prior-year period. As a percentage of net revenues, operating income was 4.8% and 5.9% for the thirteen weeks ended October 29, 2022 and October 30, 2021, respectively. Operating income decreased due to the factors described in the captions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October 29, 2022, operating income in the VB Direct segment decreased $0.7 million, to $17.1 million from</w:t>
      </w:r>
    </w:p>
    <w:p>
      <w:pPr>
        <w:spacing w:after="0" w:line="29"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$17.8 million in the comparable prior-year period. As a percentage of VB Direct segment net revenues, operating income in the VB Direct segment was 21.3% and 20.6% for the thirteen weeks ended October 29, 2022 and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October 30, 2021, respectively. The increase in operating income as a percentage of VB Direct segment net revenues was primarily due to a reduction in advertising spending, employee-related expenses, and lease expense, partially offset by SG&amp;A expense de-leverage associated with decreased sales and a decrease in gross margin as a percentage of net revenues as described above.</w:t>
      </w:r>
    </w:p>
    <w:p>
      <w:pPr>
        <w:spacing w:after="0" w:line="11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October 29, 2022, operating income in the VB Indirect segment increased $1.7 million, or 22.8%, to $9.0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$7.3 million in the comparable prior-year period. As a percentage of VB Indirect segment net revenues, operating income in the VB Indirect segment was 40.4% and 35.1% for the thirteen weeks ended October 29, 2022 and October 30, 2021, respectively. The increase in operating income as a percentage of VB Indirect segment net revenues was primarily due to expense leverage associated with an increase in gross margin as a percentage of net revenues due in part to a change in customer mix and certain price increases, a decrease in employee-related expenses primarily related to headcount, and SG&amp;A expense leverage associated with increased sales.</w:t>
      </w:r>
    </w:p>
    <w:p>
      <w:pPr>
        <w:spacing w:after="0" w:line="12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October 29, 2022, operating loss in the Pura Vida segment increased $3.2 million to $(1.4) million from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of $1.8 million in the comparable prior-year period. As a percentage of Pura Vida segment net revenues, operating (loss) income in the Pura Vida segment was (6.2)% and 6.6% for the thirteen weeks ended October 29, 2022 and October 30, 2021, respectively. The increase in operating loss as a percentage of Pura Vida net revenues was primarily due to expense de-leverage associated with a decrease in sales, including a decline in social and digital media effectiveness, partially offset by certain price increases.</w:t>
      </w:r>
    </w:p>
    <w:p>
      <w:pPr>
        <w:spacing w:after="0" w:line="13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October 29, 2022, unallocated expenses decreased $0.2 million, or 1.3%, to $18.8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$19.0 million in the comparable prior-year period. The decrease in unallocated expenses was primarily due to a decrease of $0.6 million in employee-related expenses primarily due to a change in headcount and a decline of $0.8 million associated with other corporate expense reductions, partially offset by consulting fees of $1.0 million associated with cost savings initiatives and CEO search.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October 29, 2022, was 18.4%, compared to 21.6% for the thirteen weeks ended October 30, 2021. The year-over year effective tax rate decrease was primarily due to the relative impact of permanent and discrete items in the current-year period compared to the prior-year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thirteen weeks ended October 29, 2022, net income decreased $1.4 million to $4.8 million from $6.2 million in the comparable prior-year period due to the factors described in the captions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Redeemable Noncontrolling Interest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October 29, 2022, net loss attributable to redeemable noncontrolling interest was $(0.3) million compared to net income of</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$0.4 million in the prior-year period. This represents the allocation of the Pura Vida net (loss) income to the noncontrolling interest. The increase in net loss was due to the factors described above in the Pura Vida operating segment.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thirteen weeks ended October 29, 2022, net income attributable to Vera Bradley, Inc. decreased $0.6 million to $5.2 million from net income attributable to Vera Bradley, Inc. of $5.8 million in the comparable prior-year period due to the factors described in the captions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October 29, 2022, Compared to Thirty-Nine Weeks Ended October 30,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29, 2022, net revenues decreased $38.0 million, or 9.7%, to $352.9 million, from $390.9 million in the comparable prior-year period.</w:t>
      </w:r>
    </w:p>
    <w:p>
      <w:pPr>
        <w:spacing w:after="0" w:line="106"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October 29, 2022, net revenues in the VB Direct segment decreased $21.8 million, or 8.7%, to $228.7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$250.5 million in the comparable prior-year period. Vera Bradley comparable sales decreased $28.7 million, or 11.6%, which includes a 16.1% decrease in comparable store sales and a 1.2% decrease in e-commerce sales. This comparable sales decrease was partially offset by our non-comparable stores which contributed $6.4 million of revenue which included five additional factory outlet stores opened in the current fiscal year. The decrease in comparable sales and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comparable store sales was impacted by reduced traffic, conversion, and units sold primarily in the factory outlet channel. These decreases were partially offset by price increases on certain merchandise in the current-year.</w:t>
      </w:r>
    </w:p>
    <w:p>
      <w:pPr>
        <w:spacing w:after="0" w:line="120" w:lineRule="exact"/>
        <w:rPr>
          <w:sz w:val="20"/>
          <w:szCs w:val="20"/>
          <w:color w:val="auto"/>
        </w:rPr>
      </w:pPr>
    </w:p>
    <w:p>
      <w:pPr>
        <w:jc w:val="both"/>
        <w:ind w:right="140"/>
        <w:spacing w:after="0" w:line="25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October 29, 2022, net revenues in the VB Indirect segment increased $3.6 million, or 6.8%, to $56.6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$53.0 million in the comparable prior-year period. The increase was primarily due to an increase in orders from certain key accounts, partially offset by specialty account orders.</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thirty-nine weeks ended October 29, 2022, net revenues in the Pura Vida segment decreased $19.9 million, or 22.7%, to $67.5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$87.4 million in the comparable prior-year period. The decrease was primarily due to a decline of $16.2 million in e-commerce sales due to a decline in social and digital media effectiveness and lower marketing spending, as well as a decline of $5.0 million in wholesale orders. We are working to evolve our business model from one that is largely dependent on e-commerce and digital marketing to one that is a true omni-channel business with a more diversified marketing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thirty-nine weeks ended October 29, 2022, gross profit decreased $32.9 million, or 15.5%, to $178.9 million, from $211.8 million in the comparable prior-year period. As a percentage of net revenues, gross profit decreased to 50.7% for the thirty-nine weeks ended October 29, 2022, from 54.2% in the comparable prior-year period. Gross profit as a percentage of net revenues was negatively impacted by approximately 170 basis points for inventory adjustments related to the exit of certain technology products and excess mask inventory, as well as approximately 20 basis points for purchase order cancellation fees related to certain spring 2023 products. In addition, gross profit as a percentage of net revenues was impacted by inbound and outbound freight and shipping costs, de-leverage of overhead costs, and channel mix changes, partially offset by price increases on certain merchandise in the current-year.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For the thirty-nine weeks ended October 29, 2022, SG&amp;A expenses increased $0.9 million, or 0.5%, to $195.0 million, from $194.1 million in the comparable prior-year period. As a percentage of net revenues, SG&amp;A expenses increased to 55.3% for the thirty-nine weeks ended October 29, 2022, from 49.7% in the comparable prior-year period. SG&amp;A expenses related to Vera Bradley and corporate unallocated were $157.6 million compared to</w:t>
      </w:r>
    </w:p>
    <w:p>
      <w:pPr>
        <w:jc w:val="both"/>
        <w:ind w:right="120"/>
        <w:spacing w:after="0" w:line="230" w:lineRule="auto"/>
        <w:rPr>
          <w:sz w:val="20"/>
          <w:szCs w:val="20"/>
          <w:color w:val="auto"/>
        </w:rPr>
      </w:pPr>
      <w:r>
        <w:rPr>
          <w:rFonts w:ascii="Times New Roman" w:cs="Times New Roman" w:eastAsia="Times New Roman" w:hAnsi="Times New Roman"/>
          <w:sz w:val="18"/>
          <w:szCs w:val="18"/>
          <w:color w:val="auto"/>
        </w:rPr>
        <w:t>$152.5 million in the comparable prior-year period. SG&amp;A expenses related to Pura Vida were $37.4 million compared to $41.6 million in the comparable prior-year period. The increase in consolidated SG&amp;A expenses for the thirty-nine weeks ended October 29, 2022 was primarily due to severance charges of $6.1 million including for CEO retirement severance; an increase of $5.1 million for certain professional fees including $4.0 million of consulting fees related to our cost saving initiatives and CEO search; and $1.4 million for store and lease right-of-use asset impairment charges.</w:t>
      </w:r>
    </w:p>
    <w:p>
      <w:pPr>
        <w:spacing w:after="0" w:line="13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The aforementioned increases in SG&amp;A expenses were partially offset by a $6.7 million reduction in advertising expenses, primarily related to the Pura Vida brand; a $4.1 million reduction in expense associated with incentive compensation due to company performance estimates and forfeitures compared to the prior-year period; and a $1.2 million reduction in lease expense due to store closures and contingent rental payments associated with lower store sales.</w:t>
      </w:r>
    </w:p>
    <w:p>
      <w:pPr>
        <w:spacing w:after="0" w:line="18"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SG&amp;A expenses as a percentage of net revenues increased primarily due to the aforementioned items, as well as SG&amp;A expense de-leverage associated with decreased sales.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10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For the thirty-nine weeks ended October 29, 2022, impairment of goodwill and intangible assets totaled $29.3 million. These charges related to Pura Vida goodwill and the indefinite-lived Pura Vida brand asset and are reflected within the Pura Vida segment. For additional information, refer to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herein. There were no similar charges in the comparable prior-year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29, 2022, net other income decreased $0.5 million to other income of $0.4 million compared to $0.9 million in the comparable prior-year period. The decrease in net other income was primarily due to legal settlements in the prior-year period that did not recur.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thirty-nine weeks ended October 29, 2022, operating loss increased $63.7 million to $(45.1) million in the current-year period, from operating income of $18.6 million in the comparable prior-year period. As a percentage of net revenues, operating (loss) income was (12.8)% and 4.8% for the thirty-nine weeks ended October 29, 2022 and October 30, 2021, respectively. Operating loss increased due to the factors described in the captions above.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October 29, 2022, operating income in the VB Direct segment decreased $19.3 million, to $32.6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$51.9 million in the comparable prior-year period. As a percentage of VB Direct segment net revenues, operating income in the VB Direct segment was 14.3% and 20.7% for the thirty-nine weeks ended October 29, 2022 and October 30, 2021, respectively. The decrease in operating income as a percentage of VB Direct segment net revenues was primarily due to a decrease in gross margin as a percentage of net revenues as described above, including approximately 210 basis points related to inventory adjustments for the exit of certain technology products and excess mask products, as well as certain purchase order cancellation fees; SG&amp;A expense de-leverage associated with decreased sales; and a decrease in advertising expense, incentive compensation expense, and lease expense. These decreases in SG&amp;A expenses were partially offset by $0.8 million in store impairment charges.</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October 29, 2022, operating income in the VB Indirect segment increased $1.0 million, or 5.8%, to $18.4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$17.4 million in the comparable prior-year period. As a percentage of VB Indirect segment net revenues, operating income in the VB Indirect segment was 32.5% and 32.8% for the thirty-nine weeks ended October 29, 2022 and October 30, 2021, respectively. The decrease in operating income as a percentage of VB Indirect segment net revenues was due to a decrease in gross margin as a percentage of net revenues as described above, including approximately 170 basis points related to inventory adjustments for the exit of certain technology products and excess mask products, as well as certain purchase order cancellation fees, partially offset by SG&amp;A leverage associated with increased sales.</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thirty-nine weeks ended October 29, 2022, operating loss in the Pura Vida segment increased $36.3 million to $(28.8)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income of $7.5 million in the comparable prior-year period. As a percentage of Pura Vida segment net revenues, operating (loss) income in the Pura Vida segment was (42.7)% and 8.6% for the thirty-nine weeks ended October 29, 2022 and October 30, 2021, respectively. The increase in operating loss as a percentage of Pura Vida net revenues was primarily due to goodwill and indefinite-lived Pura Vida tradename impairment charges in the current-year period of $19.4 million and $9.9 million, respectively. In addition, there was expense de-leverage associated with a decrease in sales, as well as inventory adjustments for excess mask products which impacted the operating loss as a percentage of net revenues by approximately 140 basis points in the current year. These decreases to operating income were partially offset by reductions in advertising expense compared to the prior-year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thirty-nine weeks ended October 29, 2022, unallocated expenses increased $9.2 million, or 15.7%, to $67.3 million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$58.1 million in the comparable prior-year period. The increase in unallocated expenses was primarily due to severance charges of $5.7 million,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 retirement severance; consulting fees of $3.9 million associated with cost savings initiatives and CEO search; a decrease in net other income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primarily related to legal settlements in the prior-year period that did not recur; a $0.7 million increase in corporate advertising expense;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related to a lease right-of-use asset impairment charge in the current-year period. These increases were partially offset by a $2.2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employee-related expenses, primarily related to a decline in incentive compensation expense as a result of company performance estimates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9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thirty-nine weeks ended October 29, 2022, was 14.2%, compared to 20.9% for the thirty-nine weeks ended October 30, 2021. The year-over year effective tax rate decrease was primarily due to the relative impact of permanent and discrete items in the current-year period compared to the prior-year period, primarily as a result of non-deductible executive compensation and stock-based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29, 2022, net loss increased $53.4 million to $(38.8) million from net income of $14.6 million in the comparable prior-year period due to the factors described in the captions above</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Redeemable Noncontrolling Interest</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thirty-nine weeks ended October 29, 2022, net loss attributable to redeemable noncontrolling interest was $(7.2) million compared to net income attributable to redeemable noncontrolling interest of $1.9 million in the prior-year period. This represents the allocation of the Pura Vida net (loss) income to the noncontrolling interest. The increase in net (loss) income was due to the factors described above in the Pura Vida operating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Vera Bradley, Inc.</w:t>
      </w:r>
    </w:p>
    <w:p>
      <w:pPr>
        <w:spacing w:after="0" w:line="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29, 2022, net loss attributable to Vera Bradley, Inc. increased $44.3 million to $(31.6) million from net income attributable to Vera Bradley, Inc. of $12.7 million in the comparable prior-year period due to the factors described in the captions above.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October 29, 2022.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Pr>
          <w:p>
            <w:pPr>
              <w:spacing w:after="0"/>
              <w:rPr>
                <w:sz w:val="11"/>
                <w:szCs w:val="11"/>
                <w:color w:val="auto"/>
              </w:rPr>
            </w:pPr>
          </w:p>
        </w:tc>
        <w:tc>
          <w:tcPr>
            <w:tcW w:w="120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19,211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(3,173)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(5,415)</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(loss) income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thirty-nine weeks ended October 29, 2022 was $36.8 million compared to net cash provided by operating activities of $19.2 million for the thirty-nine weeks ended October 30, 2021. The increase in cash used in operating activities was primarily related to an increase in the net loss after non-cash charges of $29.2 million, as well as the change in assets and liabilities. Changes in assets and liabilities resulting in a use of cash were primarily related to the change in inventory which was impacted by decreased sales compared to the prior-year period, as well as incremental freight and duty costs and an increase in accounts receivable partly associated with increased VB Indirect segment sales. These factors were partially offset by non-cash inventory adjustments of $6.1 million primarily for the exit of certain technology products and excess mask products in the current-year period. Changes that provided a source of cash were due primarily to accounts payable which was mostly associated with timing of payments; income taxes, which we received net payments of $6.6 million during the current-year period; and accrued and other liabilities reflecting accruals associated with certain severance 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$7.0 million for the thirty-nine weeks ended October 29, 2022 compared to $3.2 million for the thirty-nine weeks ended October 30, 2021. The increase in cash used in investing activities was primarily a result of increased spending associated with purchases of property, plant, and equipment due mostly to relocations of certain existing Vera Bradley factory outlet stores, incremental Pura Vida retail stores, and timing of payments.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2023 are expected to be approximately $10.0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$19.3 million for the thirty-nine weeks ended October 29, 2022 compared to $5.4 million for the thirty-nine weeks ended October 30, 2021. The increase in cash used in financing activities was primarily due to $17.3 million of common stock repurchases in the current-year period compared to $2.0 million in the comparable prior-year period.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October 29, 2022.</w:t>
      </w:r>
    </w:p>
    <w:p>
      <w:pPr>
        <w:spacing w:after="0" w:line="6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29, 2022 and January 29, 2022, the Company had no borrowings outstanding and availability of $75.0 million under the Credit Agreement.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October 29, 2022, there were no material changes outside the ordinary course of business to material cash requirements, as disclosed in our Annual Report on Form 10-K for the fiscal year ended January 29,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of the Company’s significant accounting policies is included in Note 2 to the Company’s consolidated financial statements in the Company’s Annual Report on Form 10-K for the fiscal year ended January 29, 2022.</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29, 2022. There were no significant changes to any of the critical accounting policies and estimates described in the Annual Report as of October 29,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October 29, 2022, there was no material change in the market risks described in “Quantitative and Qualitative Disclosures About Market Risks” in the Company’s Annual Report on Form 10-K for the fiscal year ended January 29, 2022.</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October 29, 2022.</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follows, there have been no material changes to the risk factors previously set forth in the Company’s Annual Report on Form 10-K for the fiscal year ended January 29, 2022.</w:t>
      </w:r>
    </w:p>
    <w:p>
      <w:pPr>
        <w:spacing w:after="0" w:line="23" w:lineRule="exact"/>
        <w:rPr>
          <w:sz w:val="20"/>
          <w:szCs w:val="20"/>
          <w:color w:val="auto"/>
        </w:rPr>
      </w:pPr>
    </w:p>
    <w:p>
      <w:pPr>
        <w:jc w:val="both"/>
        <w:ind w:right="2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Pura Vida’s total assets are represented by goodwill, indefinite-lived intangible assets, and definite-lived intangible assets. We have taken impairment charges in the past for goodwill and indefinite-lived intangible assets and we could be required to take additional impairment charges in the future, which may adversely affect the company’s financial condition and results of operations.</w:t>
      </w:r>
    </w:p>
    <w:p>
      <w:pPr>
        <w:spacing w:after="0" w:line="20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used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 (2) the fair value of any noncontrolling interest in the acquiree over the net assets acquired and liabilities assumed. The purchase price allocation resulted in a goodwill value of $44.3 million and a value of $61.7 million related to other intangible assets. The carrying value of these assets as of October 29, 2022, was $24.8 million and $32.0 million, respectively. We test goodwill and indefinite-lived intangible assets for impairment annually, or more frequently if events or changes in circumstances indicate that goodwill may be impaired. Definite-lived intangible assets are subject to impairment testing, similar to our long-lived assets. During our assessment for the fiscal 2023 test in our second quarter, we determined that the fair values of the Pura Vida reporting unit and the Pura Vida brand were less than their carrying values. The Company has experienced significantly lower sales from its Pura Vida e-commerce channel due to a decline in social and digital media effectiveness. These lower sales volumes had a negative impact on the fair value determination of the aforementioned assets. As a result, we recorded an impairment charge of $9.9 million and $19.4 million for the Pura Vida brand and goodwill, respectively, for the thirty-nine weeks ended October 29, 2022. While we consider our assumptions in the determination of the fair value of these assets to be reasonable, they are complex and highly subjective. Adverse changes in key assumptions in future periods may result in further declines in the fair value estimates of goodwill and the Pura Vida brand below their carrying value resulting in impairment charges, which could be material. Our key assumptions may be impacted by macroeconomic conditions, including inflationary pressures and the impact on consumer discretionary spending, supply chain challenges, as well as a sustained decline in stock price and potential changes in business strategy.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October 29, 2022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w:t>
            </w:r>
          </w:p>
        </w:tc>
        <w:tc>
          <w:tcPr>
            <w:tcW w:w="0" w:type="dxa"/>
            <w:vAlign w:val="bottom"/>
          </w:tcPr>
          <w:p>
            <w:pPr>
              <w:spacing w:after="0"/>
              <w:rPr>
                <w:sz w:val="1"/>
                <w:szCs w:val="1"/>
                <w:color w:val="auto"/>
              </w:rPr>
            </w:pPr>
          </w:p>
        </w:tc>
      </w:tr>
      <w:tr>
        <w:trPr>
          <w:trHeight w:val="228"/>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2022 - August 27, 2022</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29,055,785</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28, 2022 - October 1, 2022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28,729,417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 2022 - October 29,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28,513,854</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tcBorders>
              <w:bottom w:val="single" w:sz="8" w:color="auto"/>
            </w:tcBorders>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Retention Letter Agreement dated December 6, 2022 with John Enwright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Retention Letter Agreement dated December 6, 2022 with Mary Beth Trypus</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Retention Letter Agreement dated December 6, 2022 with Beatrice Mac Cabe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0" w:type="dxa"/>
            <w:vAlign w:val="bottom"/>
            <w:tcBorders>
              <w:left w:val="single" w:sz="8" w:color="0000FF"/>
            </w:tcBorders>
            <w:gridSpan w:val="3"/>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CFO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hanging="69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7, 2022</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Enwright</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17"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December 1,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John Enwright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Chief Financial Officer</w:t>
      </w:r>
    </w:p>
    <w:p>
      <w:pPr>
        <w:spacing w:after="0" w:line="234" w:lineRule="auto"/>
        <w:rPr>
          <w:sz w:val="20"/>
          <w:szCs w:val="20"/>
          <w:color w:val="auto"/>
        </w:rPr>
      </w:pPr>
      <w:r>
        <w:rPr>
          <w:rFonts w:ascii="Times New Roman" w:cs="Times New Roman" w:eastAsia="Times New Roman" w:hAnsi="Times New Roman"/>
          <w:sz w:val="18"/>
          <w:szCs w:val="18"/>
          <w:color w:val="333333"/>
        </w:rPr>
        <w:t>Vera Bradley Designs, Inc.</w:t>
      </w:r>
    </w:p>
    <w:p>
      <w:pPr>
        <w:spacing w:after="0" w:line="235" w:lineRule="auto"/>
        <w:rPr>
          <w:sz w:val="20"/>
          <w:szCs w:val="20"/>
          <w:color w:val="auto"/>
        </w:rPr>
      </w:pPr>
      <w:r>
        <w:rPr>
          <w:rFonts w:ascii="Times New Roman" w:cs="Times New Roman" w:eastAsia="Times New Roman" w:hAnsi="Times New Roman"/>
          <w:sz w:val="18"/>
          <w:szCs w:val="18"/>
          <w:color w:val="333333"/>
        </w:rPr>
        <w:t>12420 Stonebridge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Roanoke, IN 46783</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333333"/>
        </w:rPr>
        <w:t>RE: Retention Bonus and Retention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Dear John:</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333333"/>
        </w:rPr>
        <w:t>To incentivize you to remain with and committed to Vera Bradley Designs, Inc. (the “</w:t>
      </w:r>
      <w:r>
        <w:rPr>
          <w:rFonts w:ascii="Times New Roman" w:cs="Times New Roman" w:eastAsia="Times New Roman" w:hAnsi="Times New Roman"/>
          <w:sz w:val="18"/>
          <w:szCs w:val="18"/>
          <w:b w:val="1"/>
          <w:bCs w:val="1"/>
          <w:color w:val="333333"/>
        </w:rPr>
        <w:t>Company</w:t>
      </w:r>
      <w:r>
        <w:rPr>
          <w:rFonts w:ascii="Times New Roman" w:cs="Times New Roman" w:eastAsia="Times New Roman" w:hAnsi="Times New Roman"/>
          <w:sz w:val="18"/>
          <w:szCs w:val="18"/>
          <w:color w:val="333333"/>
        </w:rPr>
        <w:t>” or “</w:t>
      </w:r>
      <w:r>
        <w:rPr>
          <w:rFonts w:ascii="Times New Roman" w:cs="Times New Roman" w:eastAsia="Times New Roman" w:hAnsi="Times New Roman"/>
          <w:sz w:val="18"/>
          <w:szCs w:val="18"/>
          <w:b w:val="1"/>
          <w:bCs w:val="1"/>
          <w:color w:val="333333"/>
        </w:rPr>
        <w:t>we</w:t>
      </w:r>
      <w:r>
        <w:rPr>
          <w:rFonts w:ascii="Times New Roman" w:cs="Times New Roman" w:eastAsia="Times New Roman" w:hAnsi="Times New Roman"/>
          <w:sz w:val="18"/>
          <w:szCs w:val="18"/>
          <w:color w:val="333333"/>
        </w:rPr>
        <w:t>”) and its subsidiaries (collectively “</w:t>
      </w:r>
      <w:r>
        <w:rPr>
          <w:rFonts w:ascii="Times New Roman" w:cs="Times New Roman" w:eastAsia="Times New Roman" w:hAnsi="Times New Roman"/>
          <w:sz w:val="18"/>
          <w:szCs w:val="18"/>
          <w:b w:val="1"/>
          <w:bCs w:val="1"/>
          <w:color w:val="333333"/>
        </w:rPr>
        <w:t>Vera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Bradley</w:t>
      </w:r>
      <w:r>
        <w:rPr>
          <w:rFonts w:ascii="Times New Roman" w:cs="Times New Roman" w:eastAsia="Times New Roman" w:hAnsi="Times New Roman"/>
          <w:sz w:val="18"/>
          <w:szCs w:val="18"/>
          <w:color w:val="333333"/>
        </w:rPr>
        <w:t>”), we are offering you the opportunity to earn a retention bonus in the gross amount of</w:t>
      </w:r>
      <w:r>
        <w:rPr>
          <w:rFonts w:ascii="Times New Roman" w:cs="Times New Roman" w:eastAsia="Times New Roman" w:hAnsi="Times New Roman"/>
          <w:sz w:val="18"/>
          <w:szCs w:val="18"/>
          <w:b w:val="1"/>
          <w:bCs w:val="1"/>
          <w:color w:val="333333"/>
        </w:rPr>
        <w:t xml:space="preserve"> $250,000 </w:t>
      </w:r>
      <w:r>
        <w:rPr>
          <w:rFonts w:ascii="Times New Roman" w:cs="Times New Roman" w:eastAsia="Times New Roman" w:hAnsi="Times New Roman"/>
          <w:sz w:val="18"/>
          <w:szCs w:val="18"/>
          <w:color w:val="333333"/>
        </w:rPr>
        <w:t>(the “</w:t>
      </w:r>
      <w:r>
        <w:rPr>
          <w:rFonts w:ascii="Times New Roman" w:cs="Times New Roman" w:eastAsia="Times New Roman" w:hAnsi="Times New Roman"/>
          <w:sz w:val="18"/>
          <w:szCs w:val="18"/>
          <w:b w:val="1"/>
          <w:bCs w:val="1"/>
          <w:color w:val="333333"/>
        </w:rPr>
        <w:t>Retention Bonus</w:t>
      </w:r>
      <w:r>
        <w:rPr>
          <w:rFonts w:ascii="Times New Roman" w:cs="Times New Roman" w:eastAsia="Times New Roman" w:hAnsi="Times New Roman"/>
          <w:sz w:val="18"/>
          <w:szCs w:val="18"/>
          <w:color w:val="333333"/>
        </w:rPr>
        <w:t>”) upon the terms set forth</w:t>
      </w:r>
    </w:p>
    <w:p>
      <w:pPr>
        <w:spacing w:after="0" w:line="234" w:lineRule="auto"/>
        <w:rPr>
          <w:sz w:val="20"/>
          <w:szCs w:val="20"/>
          <w:color w:val="auto"/>
        </w:rPr>
      </w:pPr>
      <w:r>
        <w:rPr>
          <w:rFonts w:ascii="Times New Roman" w:cs="Times New Roman" w:eastAsia="Times New Roman" w:hAnsi="Times New Roman"/>
          <w:sz w:val="18"/>
          <w:szCs w:val="18"/>
          <w:color w:val="333333"/>
        </w:rPr>
        <w:t>in this letter agreement (“</w:t>
      </w:r>
      <w:r>
        <w:rPr>
          <w:rFonts w:ascii="Times New Roman" w:cs="Times New Roman" w:eastAsia="Times New Roman" w:hAnsi="Times New Roman"/>
          <w:sz w:val="18"/>
          <w:szCs w:val="18"/>
          <w:b w:val="1"/>
          <w:bCs w:val="1"/>
          <w:color w:val="333333"/>
        </w:rPr>
        <w:t>Agreement</w:t>
      </w:r>
      <w:r>
        <w:rPr>
          <w:rFonts w:ascii="Times New Roman" w:cs="Times New Roman" w:eastAsia="Times New Roman" w:hAnsi="Times New Roman"/>
          <w:sz w:val="18"/>
          <w:szCs w:val="18"/>
          <w:color w:val="333333"/>
        </w:rPr>
        <w:t>”). As a further incentive, you are also being offered a time-vested restricted stock award with a grant date value of</w:t>
      </w:r>
    </w:p>
    <w:p>
      <w:pPr>
        <w:spacing w:after="0" w:line="235" w:lineRule="auto"/>
        <w:rPr>
          <w:sz w:val="20"/>
          <w:szCs w:val="20"/>
          <w:color w:val="auto"/>
        </w:rPr>
      </w:pPr>
      <w:r>
        <w:rPr>
          <w:rFonts w:ascii="Times New Roman" w:cs="Times New Roman" w:eastAsia="Times New Roman" w:hAnsi="Times New Roman"/>
          <w:sz w:val="18"/>
          <w:szCs w:val="18"/>
          <w:b w:val="1"/>
          <w:bCs w:val="1"/>
          <w:color w:val="333333"/>
        </w:rPr>
        <w:t xml:space="preserve">$250,000 </w:t>
      </w:r>
      <w:r>
        <w:rPr>
          <w:rFonts w:ascii="Times New Roman" w:cs="Times New Roman" w:eastAsia="Times New Roman" w:hAnsi="Times New Roman"/>
          <w:sz w:val="18"/>
          <w:szCs w:val="18"/>
          <w:color w:val="333333"/>
        </w:rPr>
        <w:t>(the “</w:t>
      </w:r>
      <w:r>
        <w:rPr>
          <w:rFonts w:ascii="Times New Roman" w:cs="Times New Roman" w:eastAsia="Times New Roman" w:hAnsi="Times New Roman"/>
          <w:sz w:val="18"/>
          <w:szCs w:val="18"/>
          <w:b w:val="1"/>
          <w:bCs w:val="1"/>
          <w:color w:val="333333"/>
        </w:rPr>
        <w:t>Retention Grant</w:t>
      </w:r>
      <w:r>
        <w:rPr>
          <w:rFonts w:ascii="Times New Roman" w:cs="Times New Roman" w:eastAsia="Times New Roman" w:hAnsi="Times New Roman"/>
          <w:sz w:val="18"/>
          <w:szCs w:val="18"/>
          <w:color w:val="333333"/>
        </w:rPr>
        <w:t>”). In order to be eligible for the Retention Bonus and the Retention Grant, you must sign and return this Agreement to 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by December 6, 2022 acknowledging your agreement to the terms specified in this letter.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Retention Bonus</w:t>
      </w:r>
    </w:p>
    <w:p>
      <w:pPr>
        <w:spacing w:after="0" w:line="23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333333"/>
        </w:rPr>
        <w:t>If you accept this offer and satisfy the terms of this Agreement to earn the Retention Bonus, then on December 1, 2023 (the “</w:t>
      </w:r>
      <w:r>
        <w:rPr>
          <w:rFonts w:ascii="Times New Roman" w:cs="Times New Roman" w:eastAsia="Times New Roman" w:hAnsi="Times New Roman"/>
          <w:sz w:val="18"/>
          <w:szCs w:val="18"/>
          <w:b w:val="1"/>
          <w:bCs w:val="1"/>
          <w:color w:val="333333"/>
        </w:rPr>
        <w:t>Retention Date</w:t>
      </w:r>
      <w:r>
        <w:rPr>
          <w:rFonts w:ascii="Times New Roman" w:cs="Times New Roman" w:eastAsia="Times New Roman" w:hAnsi="Times New Roman"/>
          <w:sz w:val="18"/>
          <w:szCs w:val="18"/>
          <w:color w:val="333333"/>
        </w:rPr>
        <w:t>”) we will pay to you in a cash lump sum the full amount of the Retention Bonus (less required withholdings).</w:t>
      </w:r>
    </w:p>
    <w:p>
      <w:pPr>
        <w:spacing w:after="0" w:line="185"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17"/>
          <w:szCs w:val="17"/>
          <w:color w:val="333333"/>
        </w:rPr>
        <w:t>You will earn and receive payment of the Retention Bonus only if (i) you are employed by a Vera Bradley entity on the Retention Date or your employment is terminated before the Retention Date (a) by a Vera Bradley entity without Cause, or (b) as a result of your resignation for Good Reason, or</w:t>
      </w:r>
    </w:p>
    <w:p>
      <w:pPr>
        <w:spacing w:after="0" w:line="1" w:lineRule="exact"/>
        <w:rPr>
          <w:sz w:val="20"/>
          <w:szCs w:val="20"/>
          <w:color w:val="auto"/>
        </w:rPr>
      </w:pPr>
    </w:p>
    <w:p>
      <w:pPr>
        <w:ind w:right="60" w:firstLine="8"/>
        <w:spacing w:after="0" w:line="243" w:lineRule="auto"/>
        <w:tabs>
          <w:tab w:leader="none" w:pos="245" w:val="left"/>
        </w:tabs>
        <w:numPr>
          <w:ilvl w:val="0"/>
          <w:numId w:val="3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due to your death or Disability; and (ii) you (or your estate in the case of death) sign and do not revoke a general release of claims in a form satisfactory to the Company within forty-five (45) days after your employment termination.</w:t>
      </w:r>
    </w:p>
    <w:p>
      <w:pPr>
        <w:spacing w:after="0" w:line="195"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333333"/>
        </w:rPr>
        <w:t>If you resign without Good Reason or your employment is terminated by a Vera Bradley entity for Cause before the Retention Date, then you will not earn the Retention Bonus. If your employment is terminated without Cause or due to your death or Disability or you resign with Good Reason before the Retention Date, and you (or your estate in the case of death) fail to return the required signed release within 45 days after your termination or you revoke the release, then you will not earn the Retention Bonus. Note, your employment will be considered to have been terminated without Cause if your employment with all Vera Bradley entities is terminated in connection with a sale of assets, even if you accept employment with and are immediately rehired by a buyer.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Retention Grant</w:t>
      </w:r>
    </w:p>
    <w:p>
      <w:pPr>
        <w:spacing w:after="0" w:line="24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333333"/>
        </w:rPr>
        <w:t>If you accept this offer and return a signed copy of this Agreement by the deadline set forth above, then, on or about December 8, 2022, the Company will issue to you the Retention Grant. The Retention Grant will be designed to vest pro-rata based on continued service over a three-year period and will be documented in and subject to a separate award agreement signed by you and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General Terms</w:t>
      </w:r>
    </w:p>
    <w:p>
      <w:pPr>
        <w:spacing w:after="0" w:line="24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333333"/>
        </w:rPr>
        <w:t>Except as may otherwise be required by law, you agree not to disclose the existence of this Agreement or any of its terms to anyone other than your spouse or domestic partner and your financial, accounting, tax or legal advisor who agrees to be bound not to make any such disclosure.</w:t>
      </w:r>
    </w:p>
    <w:p>
      <w:pPr>
        <w:sectPr>
          <w:pgSz w:w="11900" w:h="16838" w:orient="portrait"/>
          <w:cols w:equalWidth="0" w:num="1">
            <w:col w:w="11240"/>
          </w:cols>
          <w:pgMar w:left="320" w:top="1413" w:right="339" w:bottom="1440" w:gutter="0" w:footer="0" w:header="0"/>
        </w:sectPr>
      </w:pPr>
    </w:p>
    <w:bookmarkStart w:id="47" w:name="page48"/>
    <w:bookmarkEnd w:id="47"/>
    <w:p>
      <w:pPr>
        <w:spacing w:after="0" w:line="207"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333333"/>
        </w:rPr>
        <w:t>This Agreement does not confer upon you any right to continue in the employment of Vera Bradley for any period or interfere with or otherwise restrict in any way the rights of the Company, any of its affiliates, or you to terminate your employment at any time for any reason whatsoever, with or without Cause.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333333"/>
        </w:rPr>
        <w:t>Any capitalized terms not defined herein shall have the meaning set forth in the 2014 Executive Severance Plan. For purposes of this Agreement:</w:t>
      </w:r>
    </w:p>
    <w:p>
      <w:pPr>
        <w:spacing w:after="0" w:line="23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b w:val="1"/>
          <w:bCs w:val="1"/>
          <w:color w:val="333333"/>
        </w:rPr>
        <w:t>Cause</w:t>
      </w:r>
      <w:r>
        <w:rPr>
          <w:rFonts w:ascii="Times New Roman" w:cs="Times New Roman" w:eastAsia="Times New Roman" w:hAnsi="Times New Roman"/>
          <w:sz w:val="18"/>
          <w:szCs w:val="18"/>
          <w:color w:val="333333"/>
        </w:rPr>
        <w:t>” means: (i) an intentional act of fraud, embezzlement or theft by you in connection with your duties or in the course of your employment with the Company or an Affiliate; (ii) your intentional wrongful material damage to the property of the Company or its Affiliates; (iii) your intentional material breach of this Agreement while you are in the employ of the Company or an Affiliate; (iv) an act of Gross Misconduct (as defined below); or (v) a conviction for a misdemeanor involving moral turpitude or a charge of a felony; and, in each case, the reasonable, good faith determination by the Board that any such act or omission may be harmful to the Company or an Affiliate. For purposes of this Agreement, “Gross Misconduct” shall mean a willful or grossly negligent act or omission that has or will have a material and adverse impact on the business or reputation of the Company or its Affiliates, or on the business of the customers or suppliers of the Company or its Affiliates as such relate to the Company. In addition, your employment shall be deemed to have terminated for Cause if, based on facts and circumstances discovered after your employment has terminated, the Board determines in reasonable good faith, within one (1) year after your employment terminated, and after appropriate investigation and an opportunity for you to be interviewed (with or without counsel as you may determine) by a subcommittee of the independent Board members or its representative, that you committed an act that would have justified a termination for Cause.</w:t>
      </w:r>
    </w:p>
    <w:p>
      <w:pPr>
        <w:spacing w:after="0" w:line="209"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b w:val="1"/>
          <w:bCs w:val="1"/>
          <w:color w:val="333333"/>
        </w:rPr>
        <w:t>Good Reason</w:t>
      </w:r>
      <w:r>
        <w:rPr>
          <w:rFonts w:ascii="Times New Roman" w:cs="Times New Roman" w:eastAsia="Times New Roman" w:hAnsi="Times New Roman"/>
          <w:sz w:val="18"/>
          <w:szCs w:val="18"/>
          <w:color w:val="333333"/>
        </w:rPr>
        <w:t>” means the occurrence of any of the following events without your express written consent, which event has not been (or is not able to be) cured by the Company within thirty (30) days following your notice to the Company thereof:</w:t>
      </w:r>
    </w:p>
    <w:p>
      <w:pPr>
        <w:spacing w:after="0" w:line="185" w:lineRule="exact"/>
        <w:rPr>
          <w:sz w:val="20"/>
          <w:szCs w:val="20"/>
          <w:color w:val="auto"/>
        </w:rPr>
      </w:pPr>
    </w:p>
    <w:p>
      <w:pPr>
        <w:jc w:val="both"/>
        <w:ind w:right="420" w:firstLine="648"/>
        <w:spacing w:after="0" w:line="250" w:lineRule="auto"/>
        <w:rPr>
          <w:sz w:val="20"/>
          <w:szCs w:val="20"/>
          <w:color w:val="auto"/>
        </w:rPr>
      </w:pPr>
      <w:r>
        <w:rPr>
          <w:rFonts w:ascii="Times New Roman" w:cs="Times New Roman" w:eastAsia="Times New Roman" w:hAnsi="Times New Roman"/>
          <w:sz w:val="18"/>
          <w:szCs w:val="18"/>
          <w:color w:val="333333"/>
        </w:rPr>
        <w:t>i. A material reduction by the Company of your Base Salary, other than a reduction approved by the Compensation Committee that similarly applies to all executive employees of the Company holding a title similar to yours, provided that such a reduction in Base Salary shall not exceed ten percent (10%) of your highest Base Salary;</w:t>
      </w:r>
    </w:p>
    <w:p>
      <w:pPr>
        <w:spacing w:after="0" w:line="190" w:lineRule="exact"/>
        <w:rPr>
          <w:sz w:val="20"/>
          <w:szCs w:val="20"/>
          <w:color w:val="auto"/>
        </w:rPr>
      </w:pPr>
    </w:p>
    <w:p>
      <w:pPr>
        <w:ind w:right="80" w:firstLine="656"/>
        <w:spacing w:after="0" w:line="250" w:lineRule="auto"/>
        <w:tabs>
          <w:tab w:leader="none" w:pos="838" w:val="left"/>
        </w:tabs>
        <w:numPr>
          <w:ilvl w:val="0"/>
          <w:numId w:val="3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A material reduction by the Company of your annual bonus opportunity, other than a reduction approved by the Compensation Committee that similarly applies to all executive employees of the Company holding a title similar to yours, provided that such a reduction in annual target bonus opportunity shall not exceed fifteen percent (15%) of your highest target bonus opportunity (as expressed in dollars);</w:t>
      </w:r>
    </w:p>
    <w:p>
      <w:pPr>
        <w:spacing w:after="0" w:line="203" w:lineRule="exact"/>
        <w:rPr>
          <w:rFonts w:ascii="Times New Roman" w:cs="Times New Roman" w:eastAsia="Times New Roman" w:hAnsi="Times New Roman"/>
          <w:sz w:val="18"/>
          <w:szCs w:val="18"/>
          <w:color w:val="333333"/>
        </w:rPr>
      </w:pPr>
    </w:p>
    <w:p>
      <w:pPr>
        <w:ind w:left="900" w:hanging="244"/>
        <w:spacing w:after="0"/>
        <w:tabs>
          <w:tab w:leader="none" w:pos="900" w:val="left"/>
        </w:tabs>
        <w:numPr>
          <w:ilvl w:val="0"/>
          <w:numId w:val="35"/>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A relocation of your office to a place greater than fifty (50) miles in distance from the current executive offices of the Company in Fort Wayne,</w:t>
      </w:r>
    </w:p>
    <w:p>
      <w:pPr>
        <w:spacing w:after="0" w:line="27" w:lineRule="exact"/>
        <w:rPr>
          <w:rFonts w:ascii="Times New Roman" w:cs="Times New Roman" w:eastAsia="Times New Roman" w:hAnsi="Times New Roman"/>
          <w:sz w:val="17"/>
          <w:szCs w:val="17"/>
          <w:color w:val="333333"/>
        </w:rPr>
      </w:pPr>
    </w:p>
    <w:p>
      <w:pPr>
        <w:spacing w:after="0"/>
        <w:rPr>
          <w:rFonts w:ascii="Times New Roman" w:cs="Times New Roman" w:eastAsia="Times New Roman" w:hAnsi="Times New Roman"/>
          <w:sz w:val="17"/>
          <w:szCs w:val="17"/>
          <w:color w:val="333333"/>
        </w:rPr>
      </w:pPr>
      <w:r>
        <w:rPr>
          <w:rFonts w:ascii="Times New Roman" w:cs="Times New Roman" w:eastAsia="Times New Roman" w:hAnsi="Times New Roman"/>
          <w:sz w:val="18"/>
          <w:szCs w:val="18"/>
          <w:color w:val="333333"/>
        </w:rPr>
        <w:t>Indiana; or</w:t>
      </w:r>
    </w:p>
    <w:p>
      <w:pPr>
        <w:spacing w:after="0" w:line="218" w:lineRule="exact"/>
        <w:rPr>
          <w:rFonts w:ascii="Times New Roman" w:cs="Times New Roman" w:eastAsia="Times New Roman" w:hAnsi="Times New Roman"/>
          <w:sz w:val="17"/>
          <w:szCs w:val="17"/>
          <w:color w:val="333333"/>
        </w:rPr>
      </w:pPr>
    </w:p>
    <w:p>
      <w:pPr>
        <w:ind w:right="500" w:firstLine="656"/>
        <w:spacing w:after="0" w:line="266" w:lineRule="auto"/>
        <w:tabs>
          <w:tab w:leader="none" w:pos="866" w:val="left"/>
        </w:tabs>
        <w:numPr>
          <w:ilvl w:val="0"/>
          <w:numId w:val="3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Only in the case of a Change in Control and only in the case of CEO Direct Reports, the material reduction of your authorities, duties, or responsibilities with the Company.</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333333"/>
        </w:rPr>
        <w:t>In no event shall this Agreement impact any rights or benefits to which you are otherwise entitled, including but not limited to any benefits under the 2014 Executive Severance Plan.</w:t>
      </w:r>
    </w:p>
    <w:p>
      <w:pPr>
        <w:spacing w:after="0" w:line="18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333333"/>
        </w:rPr>
        <w:t>Interpretations, determinations, and actions regarding this Agreement shall be made by the Compensation Committee of the Company’s Board of Directors. Any such determination and any interpretation, rule, or decision under this Agreement is final and binding for all purposes and upon all interested persons and their heirs and personal representatives. The Retention Bonus and the Retention Grant shall be subject to the Company’s Compensation Recovery Policy.</w:t>
      </w:r>
    </w:p>
    <w:p>
      <w:pPr>
        <w:spacing w:after="0" w:line="194"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333333"/>
        </w:rPr>
        <w:t>This Agreement will in all respects be governed by, and construed in accordance with, the laws of the State of Indiana, without reference to conflicts of law principles thereunder. Any litigation arising out of this agreement shall be brought exclusively in the federal or state courts sitting in Fort Wayne Indiana, to which jurisdiction you and the Company hereby submit with respect to litigation arising out of this Agreement, and both you and the Company hereby knowingly and willingly waive your rights to a jury trial in any such litigation.</w:t>
      </w:r>
    </w:p>
    <w:p>
      <w:pPr>
        <w:sectPr>
          <w:pgSz w:w="11900" w:h="16838" w:orient="portrait"/>
          <w:cols w:equalWidth="0" w:num="1">
            <w:col w:w="11200"/>
          </w:cols>
          <w:pgMar w:left="320" w:top="1440"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333333"/>
        </w:rPr>
        <w:t>Please indicate your acceptance of the provisions of this Agreement by signing the enclosed copy of this letter and returning it to me by December 6, 2022.</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333333"/>
        </w:rPr>
        <w:t>Very truly yours,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VERA BRADLEY DESIGNS, INC.</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Mark C. Dely</w:t>
      </w:r>
    </w:p>
    <w:p>
      <w:pPr>
        <w:ind w:left="3900"/>
        <w:spacing w:after="0" w:line="237" w:lineRule="auto"/>
        <w:rPr>
          <w:sz w:val="20"/>
          <w:szCs w:val="20"/>
          <w:color w:val="auto"/>
        </w:rPr>
      </w:pPr>
      <w:r>
        <w:rPr>
          <w:rFonts w:ascii="Times New Roman" w:cs="Times New Roman" w:eastAsia="Times New Roman" w:hAnsi="Times New Roman"/>
          <w:sz w:val="18"/>
          <w:szCs w:val="18"/>
          <w:color w:val="333333"/>
        </w:rPr>
        <w:t>Mark C. Dely</w:t>
      </w:r>
    </w:p>
    <w:p>
      <w:pPr>
        <w:ind w:left="3900"/>
        <w:spacing w:after="0"/>
        <w:rPr>
          <w:sz w:val="20"/>
          <w:szCs w:val="20"/>
          <w:color w:val="auto"/>
        </w:rPr>
      </w:pPr>
      <w:r>
        <w:rPr>
          <w:rFonts w:ascii="Times New Roman" w:cs="Times New Roman" w:eastAsia="Times New Roman" w:hAnsi="Times New Roman"/>
          <w:sz w:val="18"/>
          <w:szCs w:val="18"/>
          <w:color w:val="333333"/>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Enwright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6, 2022</w:t>
      </w:r>
    </w:p>
    <w:p>
      <w:pPr>
        <w:sectPr>
          <w:pgSz w:w="11900" w:h="16838" w:orient="portrait"/>
          <w:cols w:equalWidth="0" w:num="1">
            <w:col w:w="11180"/>
          </w:cols>
          <w:pgMar w:left="320" w:top="1404" w:right="3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December 1,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Mary Beth Trypus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Chief Revenue Officer</w:t>
      </w:r>
    </w:p>
    <w:p>
      <w:pPr>
        <w:spacing w:after="0" w:line="234" w:lineRule="auto"/>
        <w:rPr>
          <w:sz w:val="20"/>
          <w:szCs w:val="20"/>
          <w:color w:val="auto"/>
        </w:rPr>
      </w:pPr>
      <w:r>
        <w:rPr>
          <w:rFonts w:ascii="Times New Roman" w:cs="Times New Roman" w:eastAsia="Times New Roman" w:hAnsi="Times New Roman"/>
          <w:sz w:val="18"/>
          <w:szCs w:val="18"/>
          <w:color w:val="333333"/>
        </w:rPr>
        <w:t>Vera Bradley Designs, Inc.</w:t>
      </w:r>
    </w:p>
    <w:p>
      <w:pPr>
        <w:spacing w:after="0" w:line="235" w:lineRule="auto"/>
        <w:rPr>
          <w:sz w:val="20"/>
          <w:szCs w:val="20"/>
          <w:color w:val="auto"/>
        </w:rPr>
      </w:pPr>
      <w:r>
        <w:rPr>
          <w:rFonts w:ascii="Times New Roman" w:cs="Times New Roman" w:eastAsia="Times New Roman" w:hAnsi="Times New Roman"/>
          <w:sz w:val="18"/>
          <w:szCs w:val="18"/>
          <w:color w:val="333333"/>
        </w:rPr>
        <w:t>12420 Stonebridge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Roanoke, IN 46783</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333333"/>
        </w:rPr>
        <w:t>RE: Retention Bonus and Retention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Dear Mary Beth:</w:t>
      </w:r>
    </w:p>
    <w:p>
      <w:pPr>
        <w:spacing w:after="0" w:line="23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333333"/>
        </w:rPr>
        <w:t>To incentivize you to remain with and committed to Vera Bradley Designs, Inc. (the “</w:t>
      </w:r>
      <w:r>
        <w:rPr>
          <w:rFonts w:ascii="Times New Roman" w:cs="Times New Roman" w:eastAsia="Times New Roman" w:hAnsi="Times New Roman"/>
          <w:sz w:val="18"/>
          <w:szCs w:val="18"/>
          <w:b w:val="1"/>
          <w:bCs w:val="1"/>
          <w:color w:val="333333"/>
        </w:rPr>
        <w:t>Company</w:t>
      </w:r>
      <w:r>
        <w:rPr>
          <w:rFonts w:ascii="Times New Roman" w:cs="Times New Roman" w:eastAsia="Times New Roman" w:hAnsi="Times New Roman"/>
          <w:sz w:val="18"/>
          <w:szCs w:val="18"/>
          <w:color w:val="333333"/>
        </w:rPr>
        <w:t>” or “</w:t>
      </w:r>
      <w:r>
        <w:rPr>
          <w:rFonts w:ascii="Times New Roman" w:cs="Times New Roman" w:eastAsia="Times New Roman" w:hAnsi="Times New Roman"/>
          <w:sz w:val="18"/>
          <w:szCs w:val="18"/>
          <w:b w:val="1"/>
          <w:bCs w:val="1"/>
          <w:color w:val="333333"/>
        </w:rPr>
        <w:t>we</w:t>
      </w:r>
      <w:r>
        <w:rPr>
          <w:rFonts w:ascii="Times New Roman" w:cs="Times New Roman" w:eastAsia="Times New Roman" w:hAnsi="Times New Roman"/>
          <w:sz w:val="18"/>
          <w:szCs w:val="18"/>
          <w:color w:val="333333"/>
        </w:rPr>
        <w:t>”) and its subsidiaries (collectively “</w:t>
      </w:r>
      <w:r>
        <w:rPr>
          <w:rFonts w:ascii="Times New Roman" w:cs="Times New Roman" w:eastAsia="Times New Roman" w:hAnsi="Times New Roman"/>
          <w:sz w:val="18"/>
          <w:szCs w:val="18"/>
          <w:b w:val="1"/>
          <w:bCs w:val="1"/>
          <w:color w:val="333333"/>
        </w:rPr>
        <w:t>Vera</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b w:val="1"/>
          <w:bCs w:val="1"/>
          <w:color w:val="333333"/>
        </w:rPr>
        <w:t>Bradley</w:t>
      </w:r>
      <w:r>
        <w:rPr>
          <w:rFonts w:ascii="Times New Roman" w:cs="Times New Roman" w:eastAsia="Times New Roman" w:hAnsi="Times New Roman"/>
          <w:sz w:val="18"/>
          <w:szCs w:val="18"/>
          <w:color w:val="333333"/>
        </w:rPr>
        <w:t>”), we are offering you the opportunity to earn a retention bonus in the gross amount of</w:t>
      </w:r>
      <w:r>
        <w:rPr>
          <w:rFonts w:ascii="Times New Roman" w:cs="Times New Roman" w:eastAsia="Times New Roman" w:hAnsi="Times New Roman"/>
          <w:sz w:val="18"/>
          <w:szCs w:val="18"/>
          <w:b w:val="1"/>
          <w:bCs w:val="1"/>
          <w:color w:val="333333"/>
        </w:rPr>
        <w:t xml:space="preserve"> $100,000 </w:t>
      </w:r>
      <w:r>
        <w:rPr>
          <w:rFonts w:ascii="Times New Roman" w:cs="Times New Roman" w:eastAsia="Times New Roman" w:hAnsi="Times New Roman"/>
          <w:sz w:val="18"/>
          <w:szCs w:val="18"/>
          <w:color w:val="333333"/>
        </w:rPr>
        <w:t>(the “</w:t>
      </w:r>
      <w:r>
        <w:rPr>
          <w:rFonts w:ascii="Times New Roman" w:cs="Times New Roman" w:eastAsia="Times New Roman" w:hAnsi="Times New Roman"/>
          <w:sz w:val="18"/>
          <w:szCs w:val="18"/>
          <w:b w:val="1"/>
          <w:bCs w:val="1"/>
          <w:color w:val="333333"/>
        </w:rPr>
        <w:t>Retention Bonus</w:t>
      </w:r>
      <w:r>
        <w:rPr>
          <w:rFonts w:ascii="Times New Roman" w:cs="Times New Roman" w:eastAsia="Times New Roman" w:hAnsi="Times New Roman"/>
          <w:sz w:val="18"/>
          <w:szCs w:val="18"/>
          <w:color w:val="333333"/>
        </w:rPr>
        <w:t>”) upon the terms set forth</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333333"/>
        </w:rPr>
        <w:t>in this letter agreement (“</w:t>
      </w:r>
      <w:r>
        <w:rPr>
          <w:rFonts w:ascii="Times New Roman" w:cs="Times New Roman" w:eastAsia="Times New Roman" w:hAnsi="Times New Roman"/>
          <w:sz w:val="18"/>
          <w:szCs w:val="18"/>
          <w:b w:val="1"/>
          <w:bCs w:val="1"/>
          <w:color w:val="333333"/>
        </w:rPr>
        <w:t>Agreement</w:t>
      </w:r>
      <w:r>
        <w:rPr>
          <w:rFonts w:ascii="Times New Roman" w:cs="Times New Roman" w:eastAsia="Times New Roman" w:hAnsi="Times New Roman"/>
          <w:sz w:val="18"/>
          <w:szCs w:val="18"/>
          <w:color w:val="333333"/>
        </w:rPr>
        <w:t xml:space="preserve">”). As a further incentive, you are also being offered a time-vested restricted stock award with a grant date value of </w:t>
      </w:r>
      <w:r>
        <w:rPr>
          <w:rFonts w:ascii="Times New Roman" w:cs="Times New Roman" w:eastAsia="Times New Roman" w:hAnsi="Times New Roman"/>
          <w:sz w:val="18"/>
          <w:szCs w:val="18"/>
          <w:b w:val="1"/>
          <w:bCs w:val="1"/>
          <w:color w:val="333333"/>
        </w:rPr>
        <w:t xml:space="preserve">$250,000 </w:t>
      </w:r>
      <w:r>
        <w:rPr>
          <w:rFonts w:ascii="Times New Roman" w:cs="Times New Roman" w:eastAsia="Times New Roman" w:hAnsi="Times New Roman"/>
          <w:sz w:val="18"/>
          <w:szCs w:val="18"/>
          <w:color w:val="333333"/>
        </w:rPr>
        <w:t>(the “</w:t>
      </w:r>
      <w:r>
        <w:rPr>
          <w:rFonts w:ascii="Times New Roman" w:cs="Times New Roman" w:eastAsia="Times New Roman" w:hAnsi="Times New Roman"/>
          <w:sz w:val="18"/>
          <w:szCs w:val="18"/>
          <w:b w:val="1"/>
          <w:bCs w:val="1"/>
          <w:color w:val="333333"/>
        </w:rPr>
        <w:t>Retention Grant</w:t>
      </w:r>
      <w:r>
        <w:rPr>
          <w:rFonts w:ascii="Times New Roman" w:cs="Times New Roman" w:eastAsia="Times New Roman" w:hAnsi="Times New Roman"/>
          <w:sz w:val="18"/>
          <w:szCs w:val="18"/>
          <w:color w:val="333333"/>
        </w:rPr>
        <w:t>”). In order to be eligible for the Retention Bonus and the Retention Grant, you must sign and return this Agreement to me</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333333"/>
        </w:rPr>
        <w:t>by December 6, 2022 acknowledging your agreement to the terms specified in this letter.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Retention Bonus</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333333"/>
        </w:rPr>
        <w:t>If you accept this offer and satisfy the terms of this Agreement to earn the Retention Bonus, then on December 1, 2023 (the “</w:t>
      </w:r>
      <w:r>
        <w:rPr>
          <w:rFonts w:ascii="Times New Roman" w:cs="Times New Roman" w:eastAsia="Times New Roman" w:hAnsi="Times New Roman"/>
          <w:sz w:val="18"/>
          <w:szCs w:val="18"/>
          <w:b w:val="1"/>
          <w:bCs w:val="1"/>
          <w:color w:val="333333"/>
        </w:rPr>
        <w:t>Retention Date</w:t>
      </w:r>
      <w:r>
        <w:rPr>
          <w:rFonts w:ascii="Times New Roman" w:cs="Times New Roman" w:eastAsia="Times New Roman" w:hAnsi="Times New Roman"/>
          <w:sz w:val="18"/>
          <w:szCs w:val="18"/>
          <w:color w:val="333333"/>
        </w:rPr>
        <w:t>”) we will pay to you in a cash lump sum the full amount of the Retention Bonus (less required withholdings).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333333"/>
        </w:rPr>
        <w:t>You will earn and receive payment of the Retention Bonus only if (i) you are employed by a Vera Bradley entity on the Retention Date or your employment is terminated before the Retention Date (a) by a Vera Bradley entity without Cause, or (b) as a result of your resignation for Good Reason, or</w:t>
      </w:r>
    </w:p>
    <w:p>
      <w:pPr>
        <w:spacing w:after="0" w:line="1" w:lineRule="exact"/>
        <w:rPr>
          <w:sz w:val="20"/>
          <w:szCs w:val="20"/>
          <w:color w:val="auto"/>
        </w:rPr>
      </w:pPr>
    </w:p>
    <w:p>
      <w:pPr>
        <w:ind w:firstLine="8"/>
        <w:spacing w:after="0" w:line="243" w:lineRule="auto"/>
        <w:tabs>
          <w:tab w:leader="none" w:pos="246" w:val="left"/>
        </w:tabs>
        <w:numPr>
          <w:ilvl w:val="0"/>
          <w:numId w:val="3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due to your death or Disability; and (ii) you (or your estate in the case of death) sign and do not revoke a general release of claims in a form satisfactory to the Company within forty-five (45) days after your employment termination.</w:t>
      </w:r>
    </w:p>
    <w:p>
      <w:pPr>
        <w:spacing w:after="0" w:line="19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333333"/>
        </w:rPr>
        <w:t>If you resign without Good Reason or your employment is terminated by a Vera Bradley entity for Cause before the Retention Date, then you will not earn the Retention Bonus. If your employment is terminated without Cause or due to your death or Disability or you resign with Good Reason before the Retention Date, and you (or your estate in the case of death) fail to return the required signed release within 45 days after your termination or you revoke the release, then you will not earn the Retention Bonus. Note, your employment will be considered to have been terminated without Cause if your employment with all Vera Bradley entities is terminated in connection with a sale of assets, even if you accept employment with and are immediately rehired by a buyer.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Retention Grant</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333333"/>
        </w:rPr>
        <w:t>If you accept this offer and return a signed copy of this Agreement by the deadline set forth above, then, on or about December 8, 2022, the Company will issue to you the Retention Grant. The Retention Grant will be designed to vest pro-rata based on continued service over a three-year period and will be documented in and subject to a separate award agreement signed by you and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General Terms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333333"/>
        </w:rPr>
        <w:t>Except as may otherwise be required by law, you agree not to disclose the existence of this Agreement or any of its terms to anyone other than your spouse or domestic partner and your financial, accounting, tax or legal advisor who agrees to be bound not to make any such disclosure.</w:t>
      </w:r>
    </w:p>
    <w:p>
      <w:pPr>
        <w:sectPr>
          <w:pgSz w:w="11900" w:h="16838" w:orient="portrait"/>
          <w:cols w:equalWidth="0" w:num="1">
            <w:col w:w="11240"/>
          </w:cols>
          <w:pgMar w:left="320" w:top="1413" w:right="339" w:bottom="1440" w:gutter="0" w:footer="0" w:header="0"/>
        </w:sectPr>
      </w:pPr>
    </w:p>
    <w:bookmarkStart w:id="50" w:name="page51"/>
    <w:bookmarkEnd w:id="50"/>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333333"/>
        </w:rPr>
        <w:t>This Agreement does not confer upon you any right to continue in the employment of Vera Bradley for any period or interfere with or otherwise restrict in any way the rights of the Company, any of its affiliates, or you to terminate your employment at any time for any reason whatsoever, with or without Cause.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333333"/>
        </w:rPr>
        <w:t>Any capitalized terms not defined herein shall have the meaning set forth in the 2014 Executive Severance Plan. For purposes of this Agreement:</w:t>
      </w:r>
    </w:p>
    <w:p>
      <w:pPr>
        <w:spacing w:after="0" w:line="2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b w:val="1"/>
          <w:bCs w:val="1"/>
          <w:color w:val="333333"/>
        </w:rPr>
        <w:t>Cause</w:t>
      </w:r>
      <w:r>
        <w:rPr>
          <w:rFonts w:ascii="Times New Roman" w:cs="Times New Roman" w:eastAsia="Times New Roman" w:hAnsi="Times New Roman"/>
          <w:sz w:val="18"/>
          <w:szCs w:val="18"/>
          <w:color w:val="333333"/>
        </w:rPr>
        <w:t>” means: (i) an intentional act of fraud, embezzlement or theft by you in connection with your duties or in the course of your employment with the Company or an Affiliate; (ii) your intentional wrongful material damage to the property of the Company or its Affiliates; (iii) your intentional material breach of this Agreement while you are in the employ of the Company or an Affiliate; (iv) an act of Gross Misconduct (as defined below); or (v) a conviction for a misdemeanor involving moral turpitude or a charge of a felony; and, in each case, the reasonable, good faith determination by the Board that any such act or omission may be harmful to the Company or an Affiliate. For purposes of this Agreement, “Gross Misconduct” shall mean a willful or grossly negligent act or omission that has or will have a material and adverse impact on the business or reputation of the Company or its Affiliates, or on the business of the customers or suppliers of the Company or its Affiliates as such relate to the Company. In addition, your employment shall be deemed to have terminated for Cause if, based on facts and circumstances discovered after your employment has terminated, the Board determines in reasonable good faith, within one (1) year after your employment terminated, and after appropriate investigation and an opportunity for you to be interviewed (with or without counsel as you may determine) by a subcommittee of the independent Board members or its representative, that you committed an act that would have justified a termination for Cause.</w:t>
      </w:r>
    </w:p>
    <w:p>
      <w:pPr>
        <w:spacing w:after="0" w:line="20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b w:val="1"/>
          <w:bCs w:val="1"/>
          <w:color w:val="333333"/>
        </w:rPr>
        <w:t>Good Reason</w:t>
      </w:r>
      <w:r>
        <w:rPr>
          <w:rFonts w:ascii="Times New Roman" w:cs="Times New Roman" w:eastAsia="Times New Roman" w:hAnsi="Times New Roman"/>
          <w:sz w:val="18"/>
          <w:szCs w:val="18"/>
          <w:color w:val="333333"/>
        </w:rPr>
        <w:t>” means the occurrence of any of the following events without your express written consent, which event has not been (or is not able to be) cured by the Company within thirty (30) days following your notice to the Company thereof:</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333333"/>
        </w:rPr>
        <w:t>i. A material reduction by the Company of your Base Salary, other than a reduction approved by the Compensation Committee that similarly applies to all executive employees of the Company holding a title similar to yours, provided that such a reduction in Base Salary shall not exceed ten percent (10%) of your highest Base Salary;</w:t>
      </w:r>
    </w:p>
    <w:p>
      <w:pPr>
        <w:spacing w:after="0" w:line="190" w:lineRule="exact"/>
        <w:rPr>
          <w:sz w:val="20"/>
          <w:szCs w:val="20"/>
          <w:color w:val="auto"/>
        </w:rPr>
      </w:pPr>
    </w:p>
    <w:p>
      <w:pPr>
        <w:jc w:val="both"/>
        <w:ind w:firstLine="656"/>
        <w:spacing w:after="0" w:line="250" w:lineRule="auto"/>
        <w:tabs>
          <w:tab w:leader="none" w:pos="838" w:val="left"/>
        </w:tabs>
        <w:numPr>
          <w:ilvl w:val="0"/>
          <w:numId w:val="3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A material reduction by the Company of your annual bonus opportunity, other than a reduction approved by the Compensation Committee that similarly applies to all executive employees of the Company holding a title similar to yours, provided that such a reduction in annual target bonus opportunity shall not exceed fifteen percent (15%) of your highest target bonus opportunity (as expressed in dollars);</w:t>
      </w:r>
    </w:p>
    <w:p>
      <w:pPr>
        <w:spacing w:after="0" w:line="203" w:lineRule="exact"/>
        <w:rPr>
          <w:rFonts w:ascii="Times New Roman" w:cs="Times New Roman" w:eastAsia="Times New Roman" w:hAnsi="Times New Roman"/>
          <w:sz w:val="18"/>
          <w:szCs w:val="18"/>
          <w:color w:val="333333"/>
        </w:rPr>
      </w:pPr>
    </w:p>
    <w:p>
      <w:pPr>
        <w:ind w:left="900" w:hanging="244"/>
        <w:spacing w:after="0"/>
        <w:tabs>
          <w:tab w:leader="none" w:pos="900" w:val="left"/>
        </w:tabs>
        <w:numPr>
          <w:ilvl w:val="0"/>
          <w:numId w:val="3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A relocation of your office to a place greater than fifty (50) miles in distance from the current executive offices of the Company in Fort Wayne,</w:t>
      </w:r>
    </w:p>
    <w:p>
      <w:pPr>
        <w:spacing w:after="0" w:line="15" w:lineRule="exact"/>
        <w:rPr>
          <w:rFonts w:ascii="Times New Roman" w:cs="Times New Roman" w:eastAsia="Times New Roman" w:hAnsi="Times New Roman"/>
          <w:sz w:val="18"/>
          <w:szCs w:val="18"/>
          <w:color w:val="333333"/>
        </w:rPr>
      </w:pPr>
    </w:p>
    <w:p>
      <w:pPr>
        <w:spacing w:after="0"/>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Indiana; or</w:t>
      </w:r>
    </w:p>
    <w:p>
      <w:pPr>
        <w:spacing w:after="0" w:line="218" w:lineRule="exact"/>
        <w:rPr>
          <w:rFonts w:ascii="Times New Roman" w:cs="Times New Roman" w:eastAsia="Times New Roman" w:hAnsi="Times New Roman"/>
          <w:sz w:val="18"/>
          <w:szCs w:val="18"/>
          <w:color w:val="333333"/>
        </w:rPr>
      </w:pPr>
    </w:p>
    <w:p>
      <w:pPr>
        <w:ind w:firstLine="656"/>
        <w:spacing w:after="0" w:line="266" w:lineRule="auto"/>
        <w:tabs>
          <w:tab w:leader="none" w:pos="880" w:val="left"/>
        </w:tabs>
        <w:numPr>
          <w:ilvl w:val="0"/>
          <w:numId w:val="3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Only in the case of a Change in Control and only in the case of CEO Direct Reports, the material reduction of your authorities, duties, or responsibilities with the Company.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333333"/>
        </w:rPr>
        <w:t>In no event shall this Agreement impact any rights or benefits to which you are otherwise entitled, including but not limited to any benefits under the 2014 Executive Severance Plan.</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333333"/>
        </w:rPr>
        <w:t>Interpretations, determinations, and actions regarding this Agreement shall be made by the Compensation Committee of the Company’s Board of Directors. Any such determination and any interpretation, rule, or decision under this Agreement is final and binding for all purposes and upon all interested persons and their heirs and personal representatives. The Retention Bonus and the Retention Grant shall be subject to the Company’s Compensation Recovery Policy.</w:t>
      </w:r>
    </w:p>
    <w:p>
      <w:pPr>
        <w:spacing w:after="0" w:line="194"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333333"/>
        </w:rPr>
        <w:t>This Agreement will in all respects be governed by, and construed in accordance with, the laws of the State of Indiana, without reference to conflicts of law principles thereunder. Any litigation arising out of this agreement shall be brought exclusively in the federal or state courts sitting in Fort Wayne Indiana, to which jurisdiction you and the Company hereby submit with respect to litigation arising out of this Agreement, and both you and the Company hereby knowingly and willingly waive your rights to a jury trial in any such litigation.</w:t>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333333"/>
        </w:rPr>
        <w:t>Please indicate your acceptance of the provisions of this Agreement by signing the enclosed copy of this letter and returning it to me by December 6, 2022.</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333333"/>
        </w:rPr>
        <w:t>Very truly yours,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VERA BRADLEY DESIGNS, INC.</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Mark C. Dely</w:t>
      </w:r>
    </w:p>
    <w:p>
      <w:pPr>
        <w:ind w:left="3900"/>
        <w:spacing w:after="0" w:line="237" w:lineRule="auto"/>
        <w:rPr>
          <w:sz w:val="20"/>
          <w:szCs w:val="20"/>
          <w:color w:val="auto"/>
        </w:rPr>
      </w:pPr>
      <w:r>
        <w:rPr>
          <w:rFonts w:ascii="Times New Roman" w:cs="Times New Roman" w:eastAsia="Times New Roman" w:hAnsi="Times New Roman"/>
          <w:sz w:val="18"/>
          <w:szCs w:val="18"/>
          <w:color w:val="333333"/>
        </w:rPr>
        <w:t>Mark C. Dely</w:t>
      </w:r>
    </w:p>
    <w:p>
      <w:pPr>
        <w:ind w:left="3900"/>
        <w:spacing w:after="0"/>
        <w:rPr>
          <w:sz w:val="20"/>
          <w:szCs w:val="20"/>
          <w:color w:val="auto"/>
        </w:rPr>
      </w:pPr>
      <w:r>
        <w:rPr>
          <w:rFonts w:ascii="Times New Roman" w:cs="Times New Roman" w:eastAsia="Times New Roman" w:hAnsi="Times New Roman"/>
          <w:sz w:val="18"/>
          <w:szCs w:val="18"/>
          <w:color w:val="333333"/>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Beth Trypus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Beth Trypus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6, 2022</w:t>
      </w:r>
    </w:p>
    <w:p>
      <w:pPr>
        <w:sectPr>
          <w:pgSz w:w="11900" w:h="16838" w:orient="portrait"/>
          <w:cols w:equalWidth="0" w:num="1">
            <w:col w:w="11180"/>
          </w:cols>
          <w:pgMar w:left="320" w:top="1404" w:right="3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December 1,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Beatrice Mac Cabe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Chief Creative Officer</w:t>
      </w:r>
    </w:p>
    <w:p>
      <w:pPr>
        <w:spacing w:after="0" w:line="234" w:lineRule="auto"/>
        <w:rPr>
          <w:sz w:val="20"/>
          <w:szCs w:val="20"/>
          <w:color w:val="auto"/>
        </w:rPr>
      </w:pPr>
      <w:r>
        <w:rPr>
          <w:rFonts w:ascii="Times New Roman" w:cs="Times New Roman" w:eastAsia="Times New Roman" w:hAnsi="Times New Roman"/>
          <w:sz w:val="18"/>
          <w:szCs w:val="18"/>
          <w:color w:val="333333"/>
        </w:rPr>
        <w:t>Vera Bradley Designs, Inc.</w:t>
      </w:r>
    </w:p>
    <w:p>
      <w:pPr>
        <w:spacing w:after="0" w:line="235" w:lineRule="auto"/>
        <w:rPr>
          <w:sz w:val="20"/>
          <w:szCs w:val="20"/>
          <w:color w:val="auto"/>
        </w:rPr>
      </w:pPr>
      <w:r>
        <w:rPr>
          <w:rFonts w:ascii="Times New Roman" w:cs="Times New Roman" w:eastAsia="Times New Roman" w:hAnsi="Times New Roman"/>
          <w:sz w:val="18"/>
          <w:szCs w:val="18"/>
          <w:color w:val="333333"/>
        </w:rPr>
        <w:t>12420 Stonebridge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Roanoke, IN 46783</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333333"/>
        </w:rPr>
        <w:t>RE: Retention Bonus and Retention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Dear Beatrice:</w:t>
      </w:r>
    </w:p>
    <w:p>
      <w:pPr>
        <w:spacing w:after="0" w:line="23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333333"/>
        </w:rPr>
        <w:t>To incentivize you to remain with and committed to Vera Bradley Designs, Inc. (the “</w:t>
      </w:r>
      <w:r>
        <w:rPr>
          <w:rFonts w:ascii="Times New Roman" w:cs="Times New Roman" w:eastAsia="Times New Roman" w:hAnsi="Times New Roman"/>
          <w:sz w:val="18"/>
          <w:szCs w:val="18"/>
          <w:b w:val="1"/>
          <w:bCs w:val="1"/>
          <w:color w:val="333333"/>
        </w:rPr>
        <w:t>Company</w:t>
      </w:r>
      <w:r>
        <w:rPr>
          <w:rFonts w:ascii="Times New Roman" w:cs="Times New Roman" w:eastAsia="Times New Roman" w:hAnsi="Times New Roman"/>
          <w:sz w:val="18"/>
          <w:szCs w:val="18"/>
          <w:color w:val="333333"/>
        </w:rPr>
        <w:t>” or “</w:t>
      </w:r>
      <w:r>
        <w:rPr>
          <w:rFonts w:ascii="Times New Roman" w:cs="Times New Roman" w:eastAsia="Times New Roman" w:hAnsi="Times New Roman"/>
          <w:sz w:val="18"/>
          <w:szCs w:val="18"/>
          <w:b w:val="1"/>
          <w:bCs w:val="1"/>
          <w:color w:val="333333"/>
        </w:rPr>
        <w:t>we</w:t>
      </w:r>
      <w:r>
        <w:rPr>
          <w:rFonts w:ascii="Times New Roman" w:cs="Times New Roman" w:eastAsia="Times New Roman" w:hAnsi="Times New Roman"/>
          <w:sz w:val="18"/>
          <w:szCs w:val="18"/>
          <w:color w:val="333333"/>
        </w:rPr>
        <w:t>”) and its subsidiaries (collectively “</w:t>
      </w:r>
      <w:r>
        <w:rPr>
          <w:rFonts w:ascii="Times New Roman" w:cs="Times New Roman" w:eastAsia="Times New Roman" w:hAnsi="Times New Roman"/>
          <w:sz w:val="18"/>
          <w:szCs w:val="18"/>
          <w:b w:val="1"/>
          <w:bCs w:val="1"/>
          <w:color w:val="333333"/>
        </w:rPr>
        <w:t>Vera</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b w:val="1"/>
          <w:bCs w:val="1"/>
          <w:color w:val="333333"/>
        </w:rPr>
        <w:t>Bradley</w:t>
      </w:r>
      <w:r>
        <w:rPr>
          <w:rFonts w:ascii="Times New Roman" w:cs="Times New Roman" w:eastAsia="Times New Roman" w:hAnsi="Times New Roman"/>
          <w:sz w:val="18"/>
          <w:szCs w:val="18"/>
          <w:color w:val="333333"/>
        </w:rPr>
        <w:t>”), we are offering you the opportunity to earn a retention bonus in the gross amount of</w:t>
      </w:r>
      <w:r>
        <w:rPr>
          <w:rFonts w:ascii="Times New Roman" w:cs="Times New Roman" w:eastAsia="Times New Roman" w:hAnsi="Times New Roman"/>
          <w:sz w:val="18"/>
          <w:szCs w:val="18"/>
          <w:b w:val="1"/>
          <w:bCs w:val="1"/>
          <w:color w:val="333333"/>
        </w:rPr>
        <w:t xml:space="preserve"> $100,000 </w:t>
      </w:r>
      <w:r>
        <w:rPr>
          <w:rFonts w:ascii="Times New Roman" w:cs="Times New Roman" w:eastAsia="Times New Roman" w:hAnsi="Times New Roman"/>
          <w:sz w:val="18"/>
          <w:szCs w:val="18"/>
          <w:color w:val="333333"/>
        </w:rPr>
        <w:t>(the “</w:t>
      </w:r>
      <w:r>
        <w:rPr>
          <w:rFonts w:ascii="Times New Roman" w:cs="Times New Roman" w:eastAsia="Times New Roman" w:hAnsi="Times New Roman"/>
          <w:sz w:val="18"/>
          <w:szCs w:val="18"/>
          <w:b w:val="1"/>
          <w:bCs w:val="1"/>
          <w:color w:val="333333"/>
        </w:rPr>
        <w:t>Retention Bonus</w:t>
      </w:r>
      <w:r>
        <w:rPr>
          <w:rFonts w:ascii="Times New Roman" w:cs="Times New Roman" w:eastAsia="Times New Roman" w:hAnsi="Times New Roman"/>
          <w:sz w:val="18"/>
          <w:szCs w:val="18"/>
          <w:color w:val="333333"/>
        </w:rPr>
        <w:t>”) upon the terms set forth</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333333"/>
        </w:rPr>
        <w:t>in this letter agreement (“</w:t>
      </w:r>
      <w:r>
        <w:rPr>
          <w:rFonts w:ascii="Times New Roman" w:cs="Times New Roman" w:eastAsia="Times New Roman" w:hAnsi="Times New Roman"/>
          <w:sz w:val="18"/>
          <w:szCs w:val="18"/>
          <w:b w:val="1"/>
          <w:bCs w:val="1"/>
          <w:color w:val="333333"/>
        </w:rPr>
        <w:t>Agreement</w:t>
      </w:r>
      <w:r>
        <w:rPr>
          <w:rFonts w:ascii="Times New Roman" w:cs="Times New Roman" w:eastAsia="Times New Roman" w:hAnsi="Times New Roman"/>
          <w:sz w:val="18"/>
          <w:szCs w:val="18"/>
          <w:color w:val="333333"/>
        </w:rPr>
        <w:t xml:space="preserve">”). As a further incentive, you are also being offered a time-vested restricted stock award with a grant date value of </w:t>
      </w:r>
      <w:r>
        <w:rPr>
          <w:rFonts w:ascii="Times New Roman" w:cs="Times New Roman" w:eastAsia="Times New Roman" w:hAnsi="Times New Roman"/>
          <w:sz w:val="18"/>
          <w:szCs w:val="18"/>
          <w:b w:val="1"/>
          <w:bCs w:val="1"/>
          <w:color w:val="333333"/>
        </w:rPr>
        <w:t xml:space="preserve">$250,000 </w:t>
      </w:r>
      <w:r>
        <w:rPr>
          <w:rFonts w:ascii="Times New Roman" w:cs="Times New Roman" w:eastAsia="Times New Roman" w:hAnsi="Times New Roman"/>
          <w:sz w:val="18"/>
          <w:szCs w:val="18"/>
          <w:color w:val="333333"/>
        </w:rPr>
        <w:t>(the “</w:t>
      </w:r>
      <w:r>
        <w:rPr>
          <w:rFonts w:ascii="Times New Roman" w:cs="Times New Roman" w:eastAsia="Times New Roman" w:hAnsi="Times New Roman"/>
          <w:sz w:val="18"/>
          <w:szCs w:val="18"/>
          <w:b w:val="1"/>
          <w:bCs w:val="1"/>
          <w:color w:val="333333"/>
        </w:rPr>
        <w:t>Retention Grant</w:t>
      </w:r>
      <w:r>
        <w:rPr>
          <w:rFonts w:ascii="Times New Roman" w:cs="Times New Roman" w:eastAsia="Times New Roman" w:hAnsi="Times New Roman"/>
          <w:sz w:val="18"/>
          <w:szCs w:val="18"/>
          <w:color w:val="333333"/>
        </w:rPr>
        <w:t>”). In order to be eligible for the Retention Bonus and the Retention Grant, you must sign and return this Agreement to me</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333333"/>
        </w:rPr>
        <w:t>by December 6, 2022 acknowledging your agreement to the terms specified in this letter.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Retention Bonus</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333333"/>
        </w:rPr>
        <w:t>If you accept this offer and satisfy the terms of this Agreement to earn the Retention Bonus, then on December 1, 2023 (the “</w:t>
      </w:r>
      <w:r>
        <w:rPr>
          <w:rFonts w:ascii="Times New Roman" w:cs="Times New Roman" w:eastAsia="Times New Roman" w:hAnsi="Times New Roman"/>
          <w:sz w:val="18"/>
          <w:szCs w:val="18"/>
          <w:b w:val="1"/>
          <w:bCs w:val="1"/>
          <w:color w:val="333333"/>
        </w:rPr>
        <w:t>Retention Date</w:t>
      </w:r>
      <w:r>
        <w:rPr>
          <w:rFonts w:ascii="Times New Roman" w:cs="Times New Roman" w:eastAsia="Times New Roman" w:hAnsi="Times New Roman"/>
          <w:sz w:val="18"/>
          <w:szCs w:val="18"/>
          <w:color w:val="333333"/>
        </w:rPr>
        <w:t>”) we will pay to you in a cash lump sum the full amount of the Retention Bonus (less required withholdings).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333333"/>
        </w:rPr>
        <w:t>You will earn and receive payment of the Retention Bonus only if (i) you are employed by a Vera Bradley entity on the Retention Date or your employment is terminated before the Retention Date (a) by a Vera Bradley entity without Cause, or (b) as a result of your resignation for Good Reason, or</w:t>
      </w:r>
    </w:p>
    <w:p>
      <w:pPr>
        <w:spacing w:after="0" w:line="1" w:lineRule="exact"/>
        <w:rPr>
          <w:sz w:val="20"/>
          <w:szCs w:val="20"/>
          <w:color w:val="auto"/>
        </w:rPr>
      </w:pPr>
    </w:p>
    <w:p>
      <w:pPr>
        <w:ind w:firstLine="8"/>
        <w:spacing w:after="0" w:line="243" w:lineRule="auto"/>
        <w:tabs>
          <w:tab w:leader="none" w:pos="246" w:val="left"/>
        </w:tabs>
        <w:numPr>
          <w:ilvl w:val="0"/>
          <w:numId w:val="3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due to your death or Disability; and (ii) you (or your estate in the case of death) sign and do not revoke a general release of claims in a form satisfactory to the Company within forty-five (45) days after your employment termination.</w:t>
      </w:r>
    </w:p>
    <w:p>
      <w:pPr>
        <w:spacing w:after="0" w:line="19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333333"/>
        </w:rPr>
        <w:t>If you resign without Good Reason or your employment is terminated by a Vera Bradley entity for Cause before the Retention Date, then you will not earn the Retention Bonus. If your employment is terminated without Cause or due to your death or Disability or you resign with Good Reason before the Retention Date, and you (or your estate in the case of death) fail to return the required signed release within 45 days after your termination or you revoke the release, then you will not earn the Retention Bonus. Note, your employment will be considered to have been terminated without Cause if your employment with all Vera Bradley entities is terminated in connection with a sale of assets, even if you accept employment with and are immediately rehired by a buyer.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Retention Grant</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333333"/>
        </w:rPr>
        <w:t>If you accept this offer and return a signed copy of this Agreement by the deadline set forth above, then, on or about December 8, 2022, the Company will issue to you the Retention Grant. The Retention Grant will be designed to vest pro-rata based on continued service over a three-year period and will be documented in and subject to a separate award agreement signed by you and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General Terms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333333"/>
        </w:rPr>
        <w:t>Except as may otherwise be required by law, you agree not to disclose the existence of this Agreement or any of its terms to anyone other than your spouse or domestic partner and your financial, accounting, tax or legal advisor who agrees to be bound not to make any such disclosure.</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333333"/>
        </w:rPr>
        <w:t>This Agreement does not confer upon you any right to continue in the employment of Vera Bradley for any period or interfere with or otherwise restrict in any way the rights of the Company, any of its affiliates, or you to terminate your employment at any time for any reason whatsoever, with or without Cause.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333333"/>
        </w:rPr>
        <w:t>Any capitalized terms not defined herein shall have the meaning set forth in the 2014 Executive Severance Plan. For purposes of this Agreement:</w:t>
      </w:r>
    </w:p>
    <w:p>
      <w:pPr>
        <w:spacing w:after="0" w:line="2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b w:val="1"/>
          <w:bCs w:val="1"/>
          <w:color w:val="333333"/>
        </w:rPr>
        <w:t>Cause</w:t>
      </w:r>
      <w:r>
        <w:rPr>
          <w:rFonts w:ascii="Times New Roman" w:cs="Times New Roman" w:eastAsia="Times New Roman" w:hAnsi="Times New Roman"/>
          <w:sz w:val="18"/>
          <w:szCs w:val="18"/>
          <w:color w:val="333333"/>
        </w:rPr>
        <w:t>” means: (i) an intentional act of fraud, embezzlement or theft by you in connection with your duties or in the course of your employment with the Company or an Affiliate; (ii) your intentional wrongful material damage to the property of the Company or its Affiliates; (iii) your intentional material breach of this Agreement while you are in the employ of the Company or an Affiliate; (iv) an act of Gross Misconduct (as defined below); or (v) a conviction for a misdemeanor involving moral turpitude or a charge of a felony; and, in each case, the reasonable, good faith determination by the Board that any such act or omission may be harmful to the Company or an Affiliate. For purposes of this Agreement, “Gross Misconduct” shall mean a willful or grossly negligent act or omission that has or will have a material and adverse impact on the business or reputation of the Company or its Affiliates, or on the business of the customers or suppliers of the Company or its Affiliates as such relate to the Company. In addition, your employment shall be deemed to have terminated for Cause if, based on facts and circumstances discovered after your employment has terminated, the Board determines in reasonable good faith, within one (1) year after your employment terminated, and after appropriate investigation and an opportunity for you to be interviewed (with or without counsel as you may determine) by a subcommittee of the independent Board members or its representative, that you committed an act that would have justified a termination for Cause.</w:t>
      </w:r>
    </w:p>
    <w:p>
      <w:pPr>
        <w:spacing w:after="0" w:line="20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b w:val="1"/>
          <w:bCs w:val="1"/>
          <w:color w:val="333333"/>
        </w:rPr>
        <w:t>Good Reason</w:t>
      </w:r>
      <w:r>
        <w:rPr>
          <w:rFonts w:ascii="Times New Roman" w:cs="Times New Roman" w:eastAsia="Times New Roman" w:hAnsi="Times New Roman"/>
          <w:sz w:val="18"/>
          <w:szCs w:val="18"/>
          <w:color w:val="333333"/>
        </w:rPr>
        <w:t>” means the occurrence of any of the following events without your express written consent, which event has not been (or is not able to be) cured by the Company within thirty (30) days following your notice to the Company thereof:</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333333"/>
        </w:rPr>
        <w:t>i. A material reduction by the Company of your Base Salary, other than a reduction approved by the Compensation Committee that similarly applies to all executive employees of the Company holding a title similar to yours, provided that such a reduction in Base Salary shall not exceed ten percent (10%) of your highest Base Salary;</w:t>
      </w:r>
    </w:p>
    <w:p>
      <w:pPr>
        <w:spacing w:after="0" w:line="190" w:lineRule="exact"/>
        <w:rPr>
          <w:sz w:val="20"/>
          <w:szCs w:val="20"/>
          <w:color w:val="auto"/>
        </w:rPr>
      </w:pPr>
    </w:p>
    <w:p>
      <w:pPr>
        <w:jc w:val="both"/>
        <w:ind w:firstLine="656"/>
        <w:spacing w:after="0" w:line="250" w:lineRule="auto"/>
        <w:tabs>
          <w:tab w:leader="none" w:pos="838" w:val="left"/>
        </w:tabs>
        <w:numPr>
          <w:ilvl w:val="0"/>
          <w:numId w:val="3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A material reduction by the Company of your annual bonus opportunity, other than a reduction approved by the Compensation Committee that similarly applies to all executive employees of the Company holding a title similar to yours, provided that such a reduction in annual target bonus opportunity shall not exceed fifteen percent (15%) of your highest target bonus opportunity (as expressed in dollars);</w:t>
      </w:r>
    </w:p>
    <w:p>
      <w:pPr>
        <w:spacing w:after="0" w:line="203" w:lineRule="exact"/>
        <w:rPr>
          <w:rFonts w:ascii="Times New Roman" w:cs="Times New Roman" w:eastAsia="Times New Roman" w:hAnsi="Times New Roman"/>
          <w:sz w:val="18"/>
          <w:szCs w:val="18"/>
          <w:color w:val="333333"/>
        </w:rPr>
      </w:pPr>
    </w:p>
    <w:p>
      <w:pPr>
        <w:ind w:left="900" w:hanging="244"/>
        <w:spacing w:after="0"/>
        <w:tabs>
          <w:tab w:leader="none" w:pos="900" w:val="left"/>
        </w:tabs>
        <w:numPr>
          <w:ilvl w:val="0"/>
          <w:numId w:val="3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A relocation of your office to a place greater than fifty (50) miles in distance from the current executive offices of the Company in Fort Wayne,</w:t>
      </w:r>
    </w:p>
    <w:p>
      <w:pPr>
        <w:spacing w:after="0" w:line="15" w:lineRule="exact"/>
        <w:rPr>
          <w:rFonts w:ascii="Times New Roman" w:cs="Times New Roman" w:eastAsia="Times New Roman" w:hAnsi="Times New Roman"/>
          <w:sz w:val="18"/>
          <w:szCs w:val="18"/>
          <w:color w:val="333333"/>
        </w:rPr>
      </w:pPr>
    </w:p>
    <w:p>
      <w:pPr>
        <w:spacing w:after="0"/>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Indiana; or</w:t>
      </w:r>
    </w:p>
    <w:p>
      <w:pPr>
        <w:spacing w:after="0" w:line="218" w:lineRule="exact"/>
        <w:rPr>
          <w:rFonts w:ascii="Times New Roman" w:cs="Times New Roman" w:eastAsia="Times New Roman" w:hAnsi="Times New Roman"/>
          <w:sz w:val="18"/>
          <w:szCs w:val="18"/>
          <w:color w:val="333333"/>
        </w:rPr>
      </w:pPr>
    </w:p>
    <w:p>
      <w:pPr>
        <w:ind w:firstLine="656"/>
        <w:spacing w:after="0" w:line="266" w:lineRule="auto"/>
        <w:tabs>
          <w:tab w:leader="none" w:pos="880" w:val="left"/>
        </w:tabs>
        <w:numPr>
          <w:ilvl w:val="0"/>
          <w:numId w:val="3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Only in the case of a Change in Control and only in the case of CEO Direct Reports, the material reduction of your authorities, duties, or responsibilities with the Company.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333333"/>
        </w:rPr>
        <w:t>In no event shall this Agreement impact any rights or benefits to which you are otherwise entitled, including but not limited to any benefits under the 2014 Executive Severance Plan.</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333333"/>
        </w:rPr>
        <w:t>Interpretations, determinations, and actions regarding this Agreement shall be made by the Compensation Committee of the Company’s Board of Directors. Any such determination and any interpretation, rule, or decision under this Agreement is final and binding for all purposes and upon all interested persons and their heirs and personal representatives. The Retention Bonus and the Retention Grant shall be subject to the Company’s Compensation Recovery Policy.</w:t>
      </w:r>
    </w:p>
    <w:p>
      <w:pPr>
        <w:spacing w:after="0" w:line="194"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333333"/>
        </w:rPr>
        <w:t>This Agreement will in all respects be governed by, and construed in accordance with, the laws of the State of Indiana, without reference to conflicts of law principles thereunder. Any litigation arising out of this agreement shall be brought exclusively in the federal or state courts sitting in Fort Wayne Indiana, to which jurisdiction you and the Company hereby submit with respect to litigation arising out of this Agreement, and both you and the Company hereby knowingly and willingly waive your rights to a jury trial in any such litigation.</w:t>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333333"/>
        </w:rPr>
        <w:t>Please indicate your acceptance of the provisions of this Agreement by signing the enclosed copy of this letter and returning it to me by December 6, 2022.</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333333"/>
        </w:rPr>
        <w:t>Very truly yours,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VERA BRADLEY DESIGNS, INC.</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Mark C. Dely</w:t>
      </w:r>
    </w:p>
    <w:p>
      <w:pPr>
        <w:ind w:left="3900"/>
        <w:spacing w:after="0" w:line="237" w:lineRule="auto"/>
        <w:rPr>
          <w:sz w:val="20"/>
          <w:szCs w:val="20"/>
          <w:color w:val="auto"/>
        </w:rPr>
      </w:pPr>
      <w:r>
        <w:rPr>
          <w:rFonts w:ascii="Times New Roman" w:cs="Times New Roman" w:eastAsia="Times New Roman" w:hAnsi="Times New Roman"/>
          <w:sz w:val="18"/>
          <w:szCs w:val="18"/>
          <w:color w:val="333333"/>
        </w:rPr>
        <w:t>Mark C. Dely</w:t>
      </w:r>
    </w:p>
    <w:p>
      <w:pPr>
        <w:ind w:left="3900"/>
        <w:spacing w:after="0"/>
        <w:rPr>
          <w:sz w:val="20"/>
          <w:szCs w:val="20"/>
          <w:color w:val="auto"/>
        </w:rPr>
      </w:pPr>
      <w:r>
        <w:rPr>
          <w:rFonts w:ascii="Times New Roman" w:cs="Times New Roman" w:eastAsia="Times New Roman" w:hAnsi="Times New Roman"/>
          <w:sz w:val="18"/>
          <w:szCs w:val="18"/>
          <w:color w:val="333333"/>
        </w:rPr>
        <w:t>Corporate Secretary</w:t>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Beatrice Mac 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Beatrice Mac Cabe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6, 2022</w:t>
      </w:r>
    </w:p>
    <w:p>
      <w:pPr>
        <w:sectPr>
          <w:pgSz w:w="11900" w:h="16838" w:orient="portrait"/>
          <w:cols w:equalWidth="0" w:num="1">
            <w:col w:w="11180"/>
          </w:cols>
          <w:pgMar w:left="320" w:top="1404" w:right="3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Jacqueline Ardrey, certify that:</w:t>
      </w:r>
    </w:p>
    <w:p>
      <w:pPr>
        <w:spacing w:after="0" w:line="104"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7,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Jacqueline Ardrey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Ardrey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7,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Enwright</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Jacqueline Ardrey, the Chief Executive Officer of Vera Bradley, Inc., certify that (i) the quarterly report on Form 10-Q for the fiscal quarter ended October 29, 2022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quarterly report on Form 10-Q for the fiscal quarter ended October 29, 2022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John Enwright</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lvl w:ilvl="1">
      <w:lvlJc w:val="left"/>
      <w:lvlText w:val="•"/>
      <w:numFmt w:val="bullet"/>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4"/>
    </w:lvl>
  </w:abstractNum>
  <w:abstractNum w:abstractNumId="12">
    <w:nsid w:val="54E49EB4"/>
    <w:multiLevelType w:val="hybridMultilevel"/>
    <w:lvl w:ilvl="0">
      <w:lvlJc w:val="left"/>
      <w:lvlText w:val="%1."/>
      <w:numFmt w:val="decimal"/>
      <w:start w:val="5"/>
    </w:lvl>
    <w:lvl w:ilvl="1">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6"/>
    </w:lvl>
  </w:abstractNum>
  <w:abstractNum w:abstractNumId="15">
    <w:nsid w:val="836C40E"/>
    <w:multiLevelType w:val="hybridMultilevel"/>
    <w:lvl w:ilvl="0">
      <w:lvlJc w:val="left"/>
      <w:lvlText w:val="%1."/>
      <w:numFmt w:val="decimal"/>
      <w:start w:val="7"/>
    </w:lvl>
  </w:abstractNum>
  <w:abstractNum w:abstractNumId="16">
    <w:nsid w:val="2901D82"/>
    <w:multiLevelType w:val="hybridMultilevel"/>
    <w:lvl w:ilvl="0">
      <w:lvlJc w:val="left"/>
      <w:lvlText w:val="%1."/>
      <w:numFmt w:val="decimal"/>
      <w:start w:val="9"/>
    </w:lvl>
  </w:abstractNum>
  <w:abstractNum w:abstractNumId="17">
    <w:nsid w:val="3A95F874"/>
    <w:multiLevelType w:val="hybridMultilevel"/>
    <w:lvl w:ilvl="0">
      <w:lvlJc w:val="left"/>
      <w:lvlText w:val="%1."/>
      <w:numFmt w:val="decimal"/>
      <w:start w:val="10"/>
    </w:lvl>
  </w:abstractNum>
  <w:abstractNum w:abstractNumId="18">
    <w:nsid w:val="8138641"/>
    <w:multiLevelType w:val="hybridMultilevel"/>
    <w:lvl w:ilvl="0">
      <w:lvlJc w:val="left"/>
      <w:lvlText w:val="%1."/>
      <w:numFmt w:val="decimal"/>
      <w:start w:val="12"/>
    </w:lvl>
  </w:abstractNum>
  <w:abstractNum w:abstractNumId="19">
    <w:nsid w:val="1E7FF521"/>
    <w:multiLevelType w:val="hybridMultilevel"/>
    <w:lvl w:ilvl="0">
      <w:lvlJc w:val="left"/>
      <w:lvlText w:val="%1."/>
      <w:numFmt w:val="decimal"/>
      <w:start w:val="13"/>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4"/>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5"/>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Letter"/>
      <w:start w:val="3"/>
    </w:lvl>
  </w:abstractNum>
  <w:abstractNum w:abstractNumId="34">
    <w:nsid w:val="5C482A97"/>
    <w:multiLevelType w:val="hybridMultilevel"/>
    <w:lvl w:ilvl="0">
      <w:lvlJc w:val="left"/>
      <w:lvlText w:val="%1."/>
      <w:numFmt w:val="lowerRoman"/>
      <w:start w:val="2"/>
    </w:lvl>
  </w:abstractNum>
  <w:abstractNum w:abstractNumId="35">
    <w:nsid w:val="2463B9EA"/>
    <w:multiLevelType w:val="hybridMultilevel"/>
    <w:lvl w:ilvl="0">
      <w:lvlJc w:val="left"/>
      <w:lvlText w:val="(%1)"/>
      <w:numFmt w:val="lowerLetter"/>
      <w:start w:val="3"/>
    </w:lvl>
  </w:abstractNum>
  <w:abstractNum w:abstractNumId="36">
    <w:nsid w:val="5E884ADC"/>
    <w:multiLevelType w:val="hybridMultilevel"/>
    <w:lvl w:ilvl="0">
      <w:lvlJc w:val="left"/>
      <w:lvlText w:val="%1."/>
      <w:numFmt w:val="lowerRoman"/>
      <w:start w:val="2"/>
    </w:lvl>
  </w:abstractNum>
  <w:abstractNum w:abstractNumId="37">
    <w:nsid w:val="51EAD36B"/>
    <w:multiLevelType w:val="hybridMultilevel"/>
    <w:lvl w:ilvl="0">
      <w:lvlJc w:val="left"/>
      <w:lvlText w:val="(%1)"/>
      <w:numFmt w:val="lowerLetter"/>
      <w:start w:val="3"/>
    </w:lvl>
  </w:abstractNum>
  <w:abstractNum w:abstractNumId="38">
    <w:nsid w:val="2D517796"/>
    <w:multiLevelType w:val="hybridMultilevel"/>
    <w:lvl w:ilvl="0">
      <w:lvlJc w:val="left"/>
      <w:lvlText w:val="%1."/>
      <w:numFmt w:val="lowerRoman"/>
      <w:start w:val="2"/>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2022-12-07T15:09:33Z</dcterms:created>
  <dcterms:modified xsi:type="dcterms:W3CDTF">2022-12-07T15:09:33Z</dcterms:modified>
</cp:coreProperties>
</file>