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4"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29, 2017</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46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17145</wp:posOffset>
            </wp:positionV>
            <wp:extent cx="1766570" cy="892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4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5160" w:type="dxa"/>
            <w:vAlign w:val="bottom"/>
          </w:tcPr>
          <w:p>
            <w:pPr>
              <w:spacing w:after="0"/>
              <w:rPr>
                <w:sz w:val="24"/>
                <w:szCs w:val="24"/>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51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(877) 708-8372</w:t>
            </w:r>
          </w:p>
        </w:tc>
      </w:tr>
      <w:tr>
        <w:trPr>
          <w:trHeight w:val="190"/>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8"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x</w:t>
      </w:r>
    </w:p>
    <w:p>
      <w:pPr>
        <w:spacing w:after="0" w:line="387" w:lineRule="exact"/>
        <w:rPr>
          <w:sz w:val="24"/>
          <w:szCs w:val="24"/>
          <w:color w:val="auto"/>
        </w:rPr>
      </w:pPr>
    </w:p>
    <w:p>
      <w:pPr>
        <w:ind w:left="40"/>
        <w:spacing w:after="0" w:line="207" w:lineRule="exact"/>
        <w:tabs>
          <w:tab w:leader="none" w:pos="3000" w:val="left"/>
          <w:tab w:leader="none" w:pos="7900" w:val="left"/>
          <w:tab w:leader="none" w:pos="1108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0" w:gutter="0" w:footer="0" w:header="0"/>
        </w:sectPr>
      </w:pPr>
    </w:p>
    <w:p>
      <w:pPr>
        <w:spacing w:after="0" w:line="387" w:lineRule="exact"/>
        <w:rPr>
          <w:sz w:val="24"/>
          <w:szCs w:val="24"/>
          <w:color w:val="auto"/>
        </w:rPr>
      </w:pPr>
    </w:p>
    <w:p>
      <w:pPr>
        <w:ind w:left="7920"/>
        <w:spacing w:after="0" w:line="207" w:lineRule="exact"/>
        <w:tabs>
          <w:tab w:leader="none" w:pos="11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0" w:gutter="0" w:footer="0" w:header="0"/>
          <w:type w:val="continuous"/>
        </w:sectPr>
      </w:pPr>
    </w:p>
    <w:bookmarkStart w:id="1" w:name="page2"/>
    <w:bookmarkEnd w:id="1"/>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registrant had 36,154,015 shares of its common stock outstanding as of May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3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19"/>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9"/>
          </w:tcPr>
          <w:p>
            <w:pPr>
              <w:ind w:left="1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Times New Roman" w:cs="Times New Roman" w:eastAsia="Times New Roman" w:hAnsi="Times New Roman"/>
                <w:sz w:val="18"/>
                <w:szCs w:val="18"/>
                <w:b w:val="1"/>
                <w:bCs w:val="1"/>
                <w:color w:val="0000FF"/>
                <w:w w:val="98"/>
              </w:rPr>
            </w:pPr>
            <w:hyperlink w:anchor="page5">
              <w:r>
                <w:rPr>
                  <w:rFonts w:ascii="Times New Roman" w:cs="Times New Roman" w:eastAsia="Times New Roman" w:hAnsi="Times New Roman"/>
                  <w:sz w:val="18"/>
                  <w:szCs w:val="18"/>
                  <w:b w:val="1"/>
                  <w:bCs w:val="1"/>
                  <w:color w:val="0000FF"/>
                  <w:w w:val="98"/>
                </w:rPr>
                <w:t>PART I. FINANCIAL INFORMATION</w:t>
              </w:r>
            </w:hyperlink>
          </w:p>
        </w:tc>
        <w:tc>
          <w:tcPr>
            <w:tcW w:w="81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Financial Statements (unaudited)</w:t>
              </w:r>
            </w:hyperlink>
          </w:p>
        </w:tc>
        <w:tc>
          <w:tcPr>
            <w:tcW w:w="78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as of April 29, 2017, and January 28, 2017</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 for the Thirteen Weeks Ended April 29, 2017, and April 30, 2016</w:t>
              </w:r>
            </w:hyperlink>
          </w:p>
        </w:tc>
        <w:tc>
          <w:tcPr>
            <w:tcW w:w="21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Comprehensive Income for the Thirteen Weeks Ended April 29, 2017, and April 30,</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2016</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for the Thirteen Weeks Ended April 29, 2017, and April 30, 2016</w:t>
              </w:r>
            </w:hyperlink>
          </w:p>
        </w:tc>
        <w:tc>
          <w:tcPr>
            <w:tcW w:w="18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the Condensed Consolidated Financial Statements</w:t>
              </w:r>
            </w:hyperlink>
          </w:p>
        </w:tc>
        <w:tc>
          <w:tcPr>
            <w:tcW w:w="60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Times New Roman" w:cs="Times New Roman" w:eastAsia="Times New Roman" w:hAnsi="Times New Roman"/>
                <w:sz w:val="18"/>
                <w:szCs w:val="18"/>
                <w:b w:val="1"/>
                <w:bCs w:val="1"/>
                <w:color w:val="0000FF"/>
                <w:w w:val="97"/>
              </w:rPr>
            </w:pPr>
            <w:hyperlink w:anchor="page26">
              <w:r>
                <w:rPr>
                  <w:rFonts w:ascii="Times New Roman" w:cs="Times New Roman" w:eastAsia="Times New Roman" w:hAnsi="Times New Roman"/>
                  <w:sz w:val="18"/>
                  <w:szCs w:val="18"/>
                  <w:b w:val="1"/>
                  <w:bCs w:val="1"/>
                  <w:color w:val="0000FF"/>
                  <w:w w:val="97"/>
                </w:rPr>
                <w:t>PART II. OTHER INFORMATION</w:t>
              </w:r>
            </w:hyperlink>
          </w:p>
        </w:tc>
        <w:tc>
          <w:tcPr>
            <w:tcW w:w="84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936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26</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40" w:type="dxa"/>
            <w:vAlign w:val="bottom"/>
            <w:gridSpan w:val="12"/>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27"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continued declines in our comparable sales;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ramifications from the payment card incident disclosed in October 2016; and</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January 28, 2017.</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117"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5"/>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86,375</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30,152</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23,313</w:t>
            </w:r>
          </w:p>
        </w:tc>
      </w:tr>
      <w:tr>
        <w:trPr>
          <w:trHeight w:val="243"/>
        </w:trPr>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102,283</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3,217</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10,237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255,577</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101,577</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13,539</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2,816</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362,283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373,509</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32,619</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12,474</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16,906</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62,507</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27,216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89,723</w:t>
            </w:r>
          </w:p>
        </w:tc>
      </w:tr>
      <w:tr>
        <w:trPr>
          <w:trHeight w:val="22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1360" w:type="dxa"/>
            <w:vAlign w:val="bottom"/>
            <w:gridSpan w:val="2"/>
          </w:tcPr>
          <w:p>
            <w:pPr>
              <w:spacing w:after="0"/>
              <w:rPr>
                <w:sz w:val="3"/>
                <w:szCs w:val="3"/>
                <w:color w:val="auto"/>
              </w:rPr>
            </w:pPr>
          </w:p>
        </w:tc>
        <w:tc>
          <w:tcPr>
            <w:tcW w:w="7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200,000 shares authorized, 41,093 and 40,927 shares issued and 36,253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36,218 shares outstanding,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88,739</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263,767</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(68,670)</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279,244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283,786</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373,509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280" w:type="dxa"/>
            <w:vAlign w:val="bottom"/>
          </w:tcPr>
          <w:p>
            <w:pPr>
              <w:spacing w:after="0"/>
              <w:rPr>
                <w:sz w:val="13"/>
                <w:szCs w:val="1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105,181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43,435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45,525</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59,656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56,376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577</w:t>
            </w:r>
          </w:p>
        </w:tc>
      </w:tr>
      <w:tr>
        <w:trPr>
          <w:trHeight w:val="23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3,809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1,391</w:t>
            </w:r>
          </w:p>
        </w:tc>
      </w:tr>
      <w:tr>
        <w:trPr>
          <w:trHeight w:val="237"/>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2,418</w:t>
            </w: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37,547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37,724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24765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280" w:type="dxa"/>
            <w:vAlign w:val="bottom"/>
          </w:tcPr>
          <w:p>
            <w:pPr>
              <w:spacing w:after="0"/>
              <w:rPr>
                <w:sz w:val="13"/>
                <w:szCs w:val="13"/>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2,418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2,423</w:t>
            </w: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280" w:type="dxa"/>
            <w:vAlign w:val="bottom"/>
          </w:tcPr>
          <w:p>
            <w:pPr>
              <w:spacing w:after="0"/>
              <w:rPr>
                <w:sz w:val="12"/>
                <w:szCs w:val="12"/>
                <w:color w:val="auto"/>
              </w:rPr>
            </w:pPr>
          </w:p>
        </w:tc>
        <w:tc>
          <w:tcPr>
            <w:tcW w:w="1200" w:type="dxa"/>
            <w:vAlign w:val="bottom"/>
          </w:tcPr>
          <w:p>
            <w:pPr>
              <w:jc w:val="right"/>
              <w:ind w:right="391"/>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gain on investments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gain,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maturity of investment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97,681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74,400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51,813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April 29, 2017 and April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January 28, 2017 and January 30,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April 29, 2017 and April 30, 2016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Expenditures incurred but not yet paid as of January 28, 2017 and January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the Company and Basis of Presentation</w:t>
      </w:r>
    </w:p>
    <w:p>
      <w:pPr>
        <w:spacing w:after="0" w:line="94"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The terms “Company” and “Vera Bradley” refer to Vera Bradley, Inc. and its subsidiaries, except where the context requires otherwise or where otherwise indicated.</w:t>
      </w:r>
    </w:p>
    <w:p>
      <w:pPr>
        <w:spacing w:after="0" w:line="27"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April 29, 2017, the Company operated 113 full-line stores and 49 factory outlet stores. The Indirect business consists of sales of Vera Bradley products to approximately 2,400 specialty retail locations, substantially all of which are located in the United States, as well as department stores, national accounts, third-party e-commerce sites, the Company's wholesale customer in Japan, third-party inventory liquidators, and licensing.</w:t>
      </w:r>
    </w:p>
    <w:p>
      <w:pPr>
        <w:spacing w:after="0" w:line="54" w:lineRule="exact"/>
        <w:rPr>
          <w:sz w:val="20"/>
          <w:szCs w:val="20"/>
          <w:color w:val="auto"/>
        </w:rPr>
      </w:pPr>
    </w:p>
    <w:p>
      <w:pPr>
        <w:ind w:left="660" w:right="20"/>
        <w:spacing w:after="0" w:line="277"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2017, filed with the SEC.</w:t>
      </w:r>
    </w:p>
    <w:p>
      <w:pPr>
        <w:spacing w:after="0" w:line="33"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April 29, 2017, are not necessarily indicative of the results to be expected for the full fiscal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April 29, 2017, and April 30, 2016, refer to the thirteen-week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 and Tenant-Improvement Allowances</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April 29, 2017 and January 28, 2017, deferred rent liability was $12.9 million and $12.7 million, respectively, and is included within long-term liabilities on the Condensed Consolidated Balance Sheets.</w:t>
      </w:r>
    </w:p>
    <w:p>
      <w:pPr>
        <w:spacing w:after="0" w:line="184" w:lineRule="exact"/>
        <w:rPr>
          <w:sz w:val="20"/>
          <w:szCs w:val="20"/>
          <w:color w:val="auto"/>
        </w:rPr>
      </w:pPr>
    </w:p>
    <w:p>
      <w:pPr>
        <w:ind w:left="660" w:right="300"/>
        <w:spacing w:after="0" w:line="258" w:lineRule="auto"/>
        <w:rPr>
          <w:sz w:val="20"/>
          <w:szCs w:val="20"/>
          <w:color w:val="auto"/>
        </w:rPr>
      </w:pPr>
      <w:r>
        <w:rPr>
          <w:rFonts w:ascii="Times New Roman" w:cs="Times New Roman" w:eastAsia="Times New Roman" w:hAnsi="Times New Roman"/>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April 29, 2017 and January 28, 2017, the deferred lease credit liability was $15.5 million and $15.8 million, respectively. Of these amounts, $2.4 million is included within other accrued liabilities as of April 29, 2017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January 28, 2017; $13.1 million and $13.4 million is included within long-term liabilities as of April 29, 2017 and January 28, 2017, respectively.</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w:t>
      </w:r>
    </w:p>
    <w:p>
      <w:pPr>
        <w:spacing w:after="0" w:line="5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In its preliminary assessment, the provisions of the standard the Company believes to be most significant is the determination of when a customer receives control of the product upon a sale, as this could result in earlier recognition of revenue as compared to the Company's current practice of adjusting for shipments not yet received. The Company is still evaluating the final impact on its consolidated results of operations, financial position and cash flows, as well as additional provisions that may impact the Company's recognition of revenue. The Company will adopt the standard in the first quarter of fiscal 2019 and is continuing to evaluate the transition method upon adoption.</w:t>
      </w:r>
    </w:p>
    <w:p>
      <w:pPr>
        <w:spacing w:after="0" w:line="47"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1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As a result of the net loss in the current-year period, dilutive potential common shares were anti-dilutive. The components of basic and diluted earnings per share were as follows (in thousands, except per share data):</w:t>
      </w: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9"/>
        </w:trPr>
        <w:tc>
          <w:tcPr>
            <w:tcW w:w="4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180" w:type="dxa"/>
            <w:vAlign w:val="bottom"/>
          </w:tcPr>
          <w:p>
            <w:pPr>
              <w:spacing w:after="0"/>
              <w:rPr>
                <w:sz w:val="12"/>
                <w:szCs w:val="12"/>
                <w:color w:val="auto"/>
              </w:rPr>
            </w:pPr>
          </w:p>
        </w:tc>
        <w:tc>
          <w:tcPr>
            <w:tcW w:w="92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95"/>
        </w:trPr>
        <w:tc>
          <w:tcPr>
            <w:tcW w:w="448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2,418</w:t>
            </w:r>
          </w:p>
        </w:tc>
      </w:tr>
      <w:tr>
        <w:trPr>
          <w:trHeight w:val="27"/>
        </w:trPr>
        <w:tc>
          <w:tcPr>
            <w:tcW w:w="4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37,547</w:t>
            </w:r>
          </w:p>
        </w:tc>
      </w:tr>
      <w:tr>
        <w:trPr>
          <w:trHeight w:val="27"/>
        </w:trPr>
        <w:tc>
          <w:tcPr>
            <w:tcW w:w="4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3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w:t>
            </w: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3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37,724</w:t>
            </w:r>
          </w:p>
        </w:tc>
      </w:tr>
      <w:tr>
        <w:trPr>
          <w:trHeight w:val="67"/>
        </w:trPr>
        <w:tc>
          <w:tcPr>
            <w:tcW w:w="4480" w:type="dxa"/>
            <w:vAlign w:val="bottom"/>
            <w:tcBorders>
              <w:bottom w:val="single" w:sz="8" w:color="CCEEFF"/>
            </w:tcBorders>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(Loss) earnings per share:</w:t>
            </w:r>
          </w:p>
        </w:tc>
        <w:tc>
          <w:tcPr>
            <w:tcW w:w="3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4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0.06</w:t>
            </w:r>
          </w:p>
        </w:tc>
      </w:tr>
      <w:tr>
        <w:trPr>
          <w:trHeight w:val="459"/>
        </w:trPr>
        <w:tc>
          <w:tcPr>
            <w:tcW w:w="4480" w:type="dxa"/>
            <w:vAlign w:val="bottom"/>
          </w:tcPr>
          <w:p>
            <w:pPr>
              <w:spacing w:after="0"/>
              <w:rPr>
                <w:sz w:val="24"/>
                <w:szCs w:val="24"/>
                <w:color w:val="auto"/>
              </w:rPr>
            </w:pPr>
          </w:p>
        </w:tc>
        <w:tc>
          <w:tcPr>
            <w:tcW w:w="330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117"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April 29, 2017 and April 30, 2016, there were an immaterial number of additional shares issuable upon the vesting of restricted stock units that were excluded from the diluted share calculations because they were anti-dilutive.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receivables, other current assets, and payables as of April 29, 2017, and January 28, 2017, approximated their fair values.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April 29, 2017 and January 28, 2017 (in thousands):</w:t>
      </w:r>
    </w:p>
    <w:p>
      <w:pPr>
        <w:spacing w:after="0" w:line="313"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214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29,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29, 2017</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29, 2017</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33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5"/>
                <w:szCs w:val="25"/>
                <w:color w:val="auto"/>
                <w:vertAlign w:val="superscript"/>
              </w:rPr>
              <w:t>(1)</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$904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22,198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deposit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60" w:right="680" w:firstLine="1"/>
        <w:spacing w:after="0" w:line="282" w:lineRule="auto"/>
        <w:tabs>
          <w:tab w:leader="none" w:pos="13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 a money market fund, commercial paper and municipal securities that have a maturity of three months or less at the date of purchase. Due to their short maturity, the Company believes the carrying value approximates fair value.</w:t>
      </w:r>
    </w:p>
    <w:p>
      <w:pPr>
        <w:spacing w:after="0" w:line="34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were as follows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29,</w:t>
            </w:r>
          </w:p>
        </w:tc>
        <w:tc>
          <w:tcPr>
            <w:tcW w:w="220" w:type="dxa"/>
            <w:vAlign w:val="bottom"/>
          </w:tcPr>
          <w:p>
            <w:pPr>
              <w:spacing w:after="0"/>
              <w:rPr>
                <w:sz w:val="13"/>
                <w:szCs w:val="13"/>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105,421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102,283</w:t>
            </w:r>
          </w:p>
        </w:tc>
        <w:tc>
          <w:tcPr>
            <w:tcW w:w="0" w:type="dxa"/>
            <w:vAlign w:val="bottom"/>
          </w:tcPr>
          <w:p>
            <w:pPr>
              <w:spacing w:after="0"/>
              <w:rPr>
                <w:sz w:val="1"/>
                <w:szCs w:val="1"/>
                <w:color w:val="auto"/>
              </w:rPr>
            </w:pPr>
          </w:p>
        </w:tc>
      </w:tr>
      <w:tr>
        <w:trPr>
          <w:trHeight w:val="237"/>
        </w:trPr>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3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105,421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102,283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Debt</w:t>
      </w:r>
    </w:p>
    <w:p>
      <w:pPr>
        <w:spacing w:after="0" w:line="94"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54" w:lineRule="exact"/>
        <w:rPr>
          <w:sz w:val="20"/>
          <w:szCs w:val="20"/>
          <w:color w:val="auto"/>
        </w:rPr>
      </w:pPr>
    </w:p>
    <w:p>
      <w:pPr>
        <w:ind w:left="660" w:right="360"/>
        <w:spacing w:after="0" w:line="256"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53"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29, 2017 and January 28, 2017, the Company had borrowing availability of $125.0 million under its Credit Agreement.</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jc w:val="both"/>
        <w:ind w:left="660" w:right="2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 A provision for U.S. income tax has not been recorded on the temporary difference related to the Company’s foreign subsidiary. The Company has determined that this temporary difference is indefinitely reinvested outside of the U.S.</w:t>
      </w:r>
    </w:p>
    <w:p>
      <w:pPr>
        <w:spacing w:after="0" w:line="45"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April 29, 2017, was 15.0%, compared to 36.5% for the thirteen weeks ended April 30, 2016. The year-over year decrease is primarily due to the relative impact of permanent and discrete items, including a tax shortfall from stock-based compensation.</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9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ectPr>
          <w:pgSz w:w="11900" w:h="16838" w:orient="portrait"/>
          <w:cols w:equalWidth="0" w:num="1">
            <w:col w:w="11400"/>
          </w:cols>
          <w:pgMar w:left="240" w:top="117"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Awards of Restricted Stock Units</w:t>
      </w:r>
    </w:p>
    <w:p>
      <w:pPr>
        <w:spacing w:after="0" w:line="173"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During the thirteen weeks ended April 29, 2017, the Company granted 506,572 time-based and performance-based restricted stock units with an aggregate fair value of $4.7 million to certain employees and non-employee directors under the 2010 Equity and Incentive Plan compared to a total of 295,148 time-based and performance-based restricted stock units with an aggregate fair value of $5.8 million granted in the same period of the prior year. The Company determined the fair value of the awards based on the closing price of the Company’s common stock on the grant date.</w:t>
      </w:r>
    </w:p>
    <w:p>
      <w:pPr>
        <w:spacing w:after="0" w:line="126"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thirteen weeks ended April 29, 2017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28, 2017</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April 29, 2017</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As of April 29, 2017, there was $8.4 million of total unrecognized compensation cost, net of estimated forfeitures, related to nonvested restricted stock units. That cost is expected to be recognized over a weighted-average period of 2.1 years, subject to meeting performance conditions.</w:t>
      </w:r>
    </w:p>
    <w:p>
      <w:pPr>
        <w:spacing w:after="0" w:line="158" w:lineRule="exact"/>
        <w:rPr>
          <w:sz w:val="20"/>
          <w:szCs w:val="20"/>
          <w:color w:val="auto"/>
        </w:rPr>
      </w:pPr>
    </w:p>
    <w:p>
      <w:pPr>
        <w:ind w:left="660" w:right="8520" w:hanging="652"/>
        <w:spacing w:after="0" w:line="346" w:lineRule="auto"/>
        <w:tabs>
          <w:tab w:leader="none" w:pos="32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Payment Card Incident </w:t>
      </w:r>
      <w:r>
        <w:rPr>
          <w:rFonts w:ascii="Times New Roman" w:cs="Times New Roman" w:eastAsia="Times New Roman" w:hAnsi="Times New Roman"/>
          <w:sz w:val="18"/>
          <w:szCs w:val="18"/>
          <w:i w:val="1"/>
          <w:iCs w:val="1"/>
          <w:color w:val="auto"/>
        </w:rPr>
        <w:t>Description of Event</w:t>
      </w:r>
    </w:p>
    <w:p>
      <w:pPr>
        <w:ind w:left="660"/>
        <w:spacing w:after="0" w:line="255" w:lineRule="auto"/>
        <w:rPr>
          <w:sz w:val="20"/>
          <w:szCs w:val="20"/>
          <w:color w:val="auto"/>
        </w:rPr>
      </w:pPr>
      <w:r>
        <w:rPr>
          <w:rFonts w:ascii="Times New Roman" w:cs="Times New Roman" w:eastAsia="Times New Roman" w:hAnsi="Times New Roman"/>
          <w:sz w:val="18"/>
          <w:szCs w:val="18"/>
          <w:color w:val="auto"/>
        </w:rPr>
        <w:t>On September 15, 2016, the Company received information from law enforcement regarding a potential data security issue related to our retail store network. Findings from the investigation show unauthorized access to the Company's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4"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The Company has resolved this incident and continues to work with the computer security firm to further strengthen the security of its systems to help prevent this from happening in the future. The Company continues to support law</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740"/>
        <w:spacing w:after="0" w:line="282" w:lineRule="auto"/>
        <w:rPr>
          <w:sz w:val="20"/>
          <w:szCs w:val="20"/>
          <w:color w:val="auto"/>
        </w:rPr>
      </w:pPr>
      <w:r>
        <w:rPr>
          <w:rFonts w:ascii="Times New Roman" w:cs="Times New Roman" w:eastAsia="Times New Roman" w:hAnsi="Times New Roman"/>
          <w:sz w:val="18"/>
          <w:szCs w:val="18"/>
          <w:color w:val="auto"/>
        </w:rPr>
        <w:t>enforcement’s investigation and also promptly notified the payment card networks so that the banks that issue payment cards could initiate heightened monitoring on the affected cards.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Expenses Incurred</w:t>
      </w:r>
    </w:p>
    <w:p>
      <w:pPr>
        <w:spacing w:after="0" w:line="92"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2018, the Company recorded an immaterial amount of expense relating to remediation activities as a result of the Payment Card Incident.</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Future Costs</w:t>
      </w:r>
    </w:p>
    <w:p>
      <w:pPr>
        <w:spacing w:after="0" w:line="92"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the Company's financial condition and operating results. The Company expects its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$15.0 million of cyber security insurance coverage above a $0.1 million deductible.</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9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94"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 $50.0 million of repurchases of shares of the Company's common stock. The 2015 Share Repurchase Program expires in December 2017.</w:t>
      </w:r>
    </w:p>
    <w:p>
      <w:pPr>
        <w:spacing w:after="0" w:line="27"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purchased 131,619 shares at an average price of $9.11 per share, excluding commissions, for an aggregate amount of $1.2 million during the thirteen weeks ended April 29, 2017, under the 2015 Share Repurchase Program. As of April 29, 2017, there was $20.1 million remaining available to repurchase shares of the Company's common stock under the 2015 Share Repurchase Program.</w:t>
      </w:r>
    </w:p>
    <w:p>
      <w:pPr>
        <w:spacing w:after="0" w:line="12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As of April 29, 2017, the Company held as treasury shares 4,840,073 shares of its common stock at an average price of $14.44 per share, excluding commissions, for an aggregate carrying amount of $69.9 million. The Company’s treasury shares may be issued under the 2010 Equity and Incentive Plan or for other corporate purposes.</w:t>
      </w:r>
    </w:p>
    <w:p>
      <w:pPr>
        <w:spacing w:after="0" w:line="2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Charges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Thirteen Weeks Ended April 29, 2017</w:t>
      </w:r>
    </w:p>
    <w:p>
      <w:pPr>
        <w:spacing w:after="0" w:line="92" w:lineRule="exact"/>
        <w:rPr>
          <w:sz w:val="20"/>
          <w:szCs w:val="20"/>
          <w:color w:val="auto"/>
        </w:rPr>
      </w:pPr>
    </w:p>
    <w:p>
      <w:pPr>
        <w:jc w:val="both"/>
        <w:ind w:left="660" w:right="6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2018, the Company recognized a total of $1.3 million ($0.8 million after the associated tax benefit) of severance charges (reflected in selling, general, and administrative expenses) primarily for the Company's former Chief Financial Officer. These charges are reflected within corporate unallocated expenses.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117"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Investments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9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Investments classified as cash equivalents relate to highly liquid investments with a maturity of three months or less at the date of purchase. As of April 29, 2017, these investments in the Company's portfolio consisted of a money market fund, commercial paper and municipal securities.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73"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As of April 29, 2017, short-term investments consisted of U.S. corporate debt securities, commercial paper and municipal securities with a maturity within one year of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 As of January 28, 2017, short-term investments consisted of a certificate of deposit with an original maturity of one year and a one-time option to accelerate maturity to 31 days without penalty. The certificate of deposit matured during the first quarter fiscal 2018. Interest income from the certificate of deposit is included in interest (income) expense, net, in the Company's Condensed Consolidated Statements of Income.</w:t>
      </w:r>
    </w:p>
    <w:p>
      <w:pPr>
        <w:spacing w:after="0" w:line="13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Company held $9.5 million and $30.2 million in short-term investments as of April 29, 2017 and January 28, 2017, respectively. The following table summarizes the Company's short-term investments (in thousands):</w:t>
      </w:r>
    </w:p>
    <w:p>
      <w:pPr>
        <w:spacing w:after="0" w:line="331"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 2017</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28, 2017</w:t>
            </w:r>
          </w:p>
        </w:tc>
      </w:tr>
      <w:tr>
        <w:trPr>
          <w:trHeight w:val="249"/>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deposit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30,152</w:t>
            </w:r>
          </w:p>
        </w:tc>
      </w:tr>
      <w:tr>
        <w:trPr>
          <w:trHeight w:val="27"/>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17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April 29, 2017, long-term investments consisted of U.S. and non-U.S. corporate debt securities and U.S. treasury and municipal securities with a maturity greater than one year from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w:t>
      </w:r>
    </w:p>
    <w:p>
      <w:pPr>
        <w:spacing w:after="0" w:line="12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held $17.5 million in long-term investments as of April 29, 2017. The Company did not have long-term investments as of January 28, 2017. The following table summarizes the Company's long-term investments (in thousands):</w:t>
      </w:r>
    </w:p>
    <w:p>
      <w:pPr>
        <w:spacing w:after="0" w:line="331"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29, 2017</w:t>
            </w:r>
          </w:p>
        </w:tc>
        <w:tc>
          <w:tcPr>
            <w:tcW w:w="220" w:type="dxa"/>
            <w:vAlign w:val="bottom"/>
          </w:tcPr>
          <w:p>
            <w:pPr>
              <w:spacing w:after="0"/>
              <w:rPr>
                <w:sz w:val="16"/>
                <w:szCs w:val="16"/>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2017</w:t>
            </w:r>
          </w:p>
        </w:tc>
      </w:tr>
      <w:tr>
        <w:trPr>
          <w:trHeight w:val="249"/>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17,519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securities as of the periods ended April 29, 2017 and January 28, 2017.</w:t>
      </w:r>
    </w:p>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Indirect. These operating segments are components of the Company for which separate financial information is available and for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117"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which operating results are evaluated on a regular basis by the chief operating decision maker in deciding how to allocate resources and in assessing the performance of the segments.</w:t>
      </w:r>
    </w:p>
    <w:p>
      <w:pPr>
        <w:spacing w:after="0" w:line="27"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w:t>
      </w:r>
    </w:p>
    <w:p>
      <w:pPr>
        <w:spacing w:after="0" w:line="41"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The Indirect segment represents revenues generated through the distribution of Company-branded products to specialty retailers representing approximately 2,400 locations, substantially all of which are located in the United States; key accounts, which include department stores, national accounts, third-party e-commerce sites, the Company's wholesale customer in Japan, and third-party inventory liquidators; and licensing.</w:t>
      </w:r>
    </w:p>
    <w:p>
      <w:pPr>
        <w:spacing w:after="0" w:line="4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merchandising, corporate-level marketing and advertising, and various other corporate-level-activity-related expenses. All intercompany-related activities are eliminated in consolidation and are excluded from the segment reporting.</w:t>
      </w:r>
    </w:p>
    <w:p>
      <w:pPr>
        <w:spacing w:after="0" w:line="41"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(loss) income information for the Company’s reportable segments during the thirteen weeks ended April 29, 2017 and April 30, 2016, respectively, consisted of the following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20" w:type="dxa"/>
            <w:vAlign w:val="bottom"/>
          </w:tcPr>
          <w:p>
            <w:pPr>
              <w:spacing w:after="0"/>
              <w:rPr>
                <w:sz w:val="12"/>
                <w:szCs w:val="12"/>
                <w:color w:val="auto"/>
              </w:rPr>
            </w:pPr>
          </w:p>
        </w:tc>
        <w:tc>
          <w:tcPr>
            <w:tcW w:w="128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5"/>
        </w:trPr>
        <w:tc>
          <w:tcPr>
            <w:tcW w:w="37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72,946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32,235</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96,135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105,181</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12,598</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24,735</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24,735</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2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weeks ended April 29, 2017 and April 30, 2016. The following discussion should be read in conjunction with our Annual Report on Form 10-K for the fiscal year ended January 28, 2017, and our unaudited condensed consolidated financial statements and the related notes included in Item 1 of this Quarterly Report. The results of operations for the thirteen weeks ended April 29, 2017, are not necessarily indicative of the results to be expected for the full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first quarter of fiscal 2018:</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980" w:right="24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our new platform for verabradley.com in February 2017, creating a dynamic digital flagship. The new site offers a number of enhancements including, among others, the ability to strategically segment and personalize messaging, express check-out, and “order on-line, pickup in-store.”</w:t>
      </w:r>
    </w:p>
    <w:p>
      <w:pPr>
        <w:spacing w:after="0" w:line="41" w:lineRule="exact"/>
        <w:rPr>
          <w:rFonts w:ascii="Times New Roman" w:cs="Times New Roman" w:eastAsia="Times New Roman" w:hAnsi="Times New Roman"/>
          <w:sz w:val="18"/>
          <w:szCs w:val="18"/>
          <w:color w:val="auto"/>
        </w:rPr>
      </w:pPr>
    </w:p>
    <w:p>
      <w:pPr>
        <w:jc w:val="both"/>
        <w:ind w:left="980" w:right="12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work on our store renovation strategy by adding our new branding, including storefront facade, logo, and interior changes to our higher-volume and traffic full-line stores. One full-line store renovation was completed in the first quarter, and approximately 19 additional renovations will be completed throughout the remainder of fiscal 2018.</w:t>
      </w:r>
    </w:p>
    <w:p>
      <w:pPr>
        <w:spacing w:after="0" w:line="4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we opened three factory outlet stores in Laredo, Texas; Myrtle Beach, South Carolina; and Houston, Texas.</w:t>
      </w:r>
    </w:p>
    <w:p>
      <w:pPr>
        <w:spacing w:after="0" w:line="88" w:lineRule="exact"/>
        <w:rPr>
          <w:rFonts w:ascii="Times New Roman" w:cs="Times New Roman" w:eastAsia="Times New Roman" w:hAnsi="Times New Roman"/>
          <w:sz w:val="18"/>
          <w:szCs w:val="18"/>
          <w:color w:val="auto"/>
        </w:rPr>
      </w:pPr>
    </w:p>
    <w:p>
      <w:pPr>
        <w:ind w:left="980" w:right="56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partnered with TLC on </w:t>
      </w:r>
      <w:r>
        <w:rPr>
          <w:rFonts w:ascii="Times New Roman" w:cs="Times New Roman" w:eastAsia="Times New Roman" w:hAnsi="Times New Roman"/>
          <w:sz w:val="18"/>
          <w:szCs w:val="18"/>
          <w:i w:val="1"/>
          <w:iCs w:val="1"/>
          <w:color w:val="auto"/>
        </w:rPr>
        <w:t>Girl Starter</w:t>
      </w:r>
      <w:r>
        <w:rPr>
          <w:rFonts w:ascii="Times New Roman" w:cs="Times New Roman" w:eastAsia="Times New Roman" w:hAnsi="Times New Roman"/>
          <w:sz w:val="18"/>
          <w:szCs w:val="18"/>
          <w:color w:val="auto"/>
        </w:rPr>
        <w:t>, a new reality-competition TV show which debuted in April. We will continue to work with other partners to enhance our image and expand our reach.</w:t>
      </w:r>
    </w:p>
    <w:p>
      <w:pPr>
        <w:spacing w:after="0" w:line="25"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licensing agreement for apparel and accessories designed for health care professionals which is expected to launch in the Spring of fiscal 2019. In addition, our license for technology products including smartphone and tablet cases, power solutions, and portable audio launched in March.</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first quarter of fiscal 2017)</w:t>
      </w:r>
    </w:p>
    <w:p>
      <w:pPr>
        <w:spacing w:after="0" w:line="9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8.6% to $96.1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segment sales decreased 5.6% to $68.8 million. Comparable sales decreased 12.5%.</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segment sales decreased 15.3% to $27.3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$52.7 million, or 54.8% of net revenue.</w:t>
      </w:r>
    </w:p>
    <w:p>
      <w:pPr>
        <w:spacing w:after="0" w:line="90"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$4.8 million and net loss was $4.0 million, or $0.11 per diluted share. These results included severance charges of $1.3 million ($0.8 million after the associated tax benefit), or $0.02 per diluted share.</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were $101.4 million at April 29, 2017.</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$3.4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for the thirteen weeks totaled $1.2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customer in Japan, third-party inventory liquidators, and licensing.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3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(loss) income is equal to gross profit less SG&amp;A expenses plus other income. Operating (loss) income excludes interest income, interest expense, and income taxes.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17"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is equal to operating (loss) income plus net interest income less net interest expense and income taxes.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9"/>
        </w:trPr>
        <w:tc>
          <w:tcPr>
            <w:tcW w:w="8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2"/>
                <w:szCs w:val="12"/>
                <w:color w:val="auto"/>
              </w:rPr>
            </w:pPr>
          </w:p>
        </w:tc>
        <w:tc>
          <w:tcPr>
            <w:tcW w:w="126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94"/>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96,135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105,181</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45,525</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52,700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59,656</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56,376</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577</w:t>
            </w:r>
          </w:p>
        </w:tc>
      </w:tr>
      <w:tr>
        <w:trPr>
          <w:trHeight w:val="237"/>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3,857</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3,809</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1,391</w:t>
            </w:r>
          </w:p>
        </w:tc>
      </w:tr>
      <w:tr>
        <w:trPr>
          <w:trHeight w:val="237"/>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2,418</w:t>
            </w:r>
          </w:p>
        </w:tc>
      </w:tr>
      <w:tr>
        <w:trPr>
          <w:trHeight w:val="67"/>
        </w:trPr>
        <w:tc>
          <w:tcPr>
            <w:tcW w:w="8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7"/>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9"/>
        </w:trPr>
        <w:tc>
          <w:tcPr>
            <w:tcW w:w="8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00" w:type="dxa"/>
            <w:vAlign w:val="bottom"/>
          </w:tcPr>
          <w:p>
            <w:pPr>
              <w:spacing w:after="0"/>
              <w:rPr>
                <w:sz w:val="12"/>
                <w:szCs w:val="12"/>
                <w:color w:val="auto"/>
              </w:rPr>
            </w:pPr>
          </w:p>
        </w:tc>
        <w:tc>
          <w:tcPr>
            <w:tcW w:w="126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94"/>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8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68,837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72,946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32,235</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96,135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105,181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2"/>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9"/>
        </w:trPr>
        <w:tc>
          <w:tcPr>
            <w:tcW w:w="8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320" w:type="dxa"/>
            <w:vAlign w:val="bottom"/>
          </w:tcPr>
          <w:p>
            <w:pPr>
              <w:spacing w:after="0"/>
              <w:rPr>
                <w:sz w:val="12"/>
                <w:szCs w:val="12"/>
                <w:color w:val="auto"/>
              </w:rPr>
            </w:pPr>
          </w:p>
        </w:tc>
        <w:tc>
          <w:tcPr>
            <w:tcW w:w="1280" w:type="dxa"/>
            <w:vAlign w:val="bottom"/>
          </w:tcPr>
          <w:p>
            <w:pPr>
              <w:jc w:val="right"/>
              <w:ind w:right="453"/>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94"/>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 Income by Segment:</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12,137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2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12,598</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(21,062)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(20,878)</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3,857</w:t>
            </w:r>
          </w:p>
        </w:tc>
      </w:tr>
      <w:tr>
        <w:trPr>
          <w:trHeight w:val="67"/>
        </w:trPr>
        <w:tc>
          <w:tcPr>
            <w:tcW w:w="8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Percentage of Net Revenues by Segment: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5"/>
                <w:szCs w:val="25"/>
                <w:color w:val="auto"/>
                <w:vertAlign w:val="superscript"/>
              </w:rPr>
              <w:t>(2)</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377,740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346,708</w:t>
            </w:r>
          </w:p>
        </w:tc>
      </w:tr>
      <w:tr>
        <w:trPr>
          <w:trHeight w:val="34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26"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full-line and factory outlet stores.</w:t>
      </w:r>
    </w:p>
    <w:p>
      <w:pPr>
        <w:spacing w:after="0" w:line="27" w:lineRule="exact"/>
        <w:rPr>
          <w:rFonts w:ascii="Times New Roman" w:cs="Times New Roman" w:eastAsia="Times New Roman" w:hAnsi="Times New Roman"/>
          <w:sz w:val="18"/>
          <w:szCs w:val="18"/>
          <w:color w:val="auto"/>
        </w:rPr>
      </w:pPr>
    </w:p>
    <w:p>
      <w:pPr>
        <w:ind w:left="540" w:right="40" w:hanging="532"/>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Card Incident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Event</w:t>
      </w:r>
    </w:p>
    <w:p>
      <w:pPr>
        <w:spacing w:after="0" w:line="92"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On September 15, 2016, we received information from law enforcement regarding a potential data security issue related to our retail store network. Findings from the investigation show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resolved this incident and continue to work with the computer security firm to further strengthen the security of our system to help prevent this from happening in the future. We continue to support law enforcement’s investigation and also promptly notified the payment card networks so that the banks that issue payment cards could initiate heightened monitoring on the affected cards.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Incurred</w:t>
      </w:r>
    </w:p>
    <w:p>
      <w:pPr>
        <w:spacing w:after="0" w:line="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2018, we recorded an immaterial amount of expense relating to remediation activities as a result of the Payment Card Incident.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Costs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fines or penalties that may be assessed, if any. The Payment Card Incident, including customer response and any possible third party claims or assessments from payment card companies, could materially adversely affect our financial condition and operating results. We expect our insurance coverage will offset most of the expenses for the investigation and other non-remediation legal and professional services associated with the incident, possible third party claims, as well as fines, penalties, or other expenses, if any, imposed by payment card companies, as discussed above.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$15.0 million of cyber security insurance coverage above a $0.1 million deductible.</w:t>
      </w:r>
    </w:p>
    <w:p>
      <w:pPr>
        <w:spacing w:after="0" w:line="248" w:lineRule="exact"/>
        <w:rPr>
          <w:sz w:val="20"/>
          <w:szCs w:val="20"/>
          <w:color w:val="auto"/>
        </w:rPr>
      </w:pPr>
    </w:p>
    <w:p>
      <w:pPr>
        <w:ind w:right="342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Other Charges Affecting Comparability of the Thirteen Weeks Ended April 29, 2017, and April 30, 2016 </w:t>
      </w:r>
      <w:r>
        <w:rPr>
          <w:rFonts w:ascii="Times New Roman" w:cs="Times New Roman" w:eastAsia="Times New Roman" w:hAnsi="Times New Roman"/>
          <w:sz w:val="18"/>
          <w:szCs w:val="18"/>
          <w:i w:val="1"/>
          <w:iCs w:val="1"/>
          <w:color w:val="auto"/>
        </w:rPr>
        <w:t>Thirteen Weeks Ended April 29, 2017</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2018, we recognized a total of $1.3 million of severance charges ($0.8 million after the associated tax benefit) (reflected in SG&amp;A expenses) primarily for our former Chief Financial Officer. These charges are reflected within corporate unallocated expenses.</w:t>
      </w:r>
    </w:p>
    <w:p>
      <w:pPr>
        <w:spacing w:after="0" w:line="185" w:lineRule="exact"/>
        <w:rPr>
          <w:sz w:val="20"/>
          <w:szCs w:val="20"/>
          <w:color w:val="auto"/>
        </w:rPr>
      </w:pPr>
    </w:p>
    <w:p>
      <w:pPr>
        <w:ind w:right="44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April 29, 2017, Compared to Thirteen Weeks Ended April 30, 2016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29, 2017, net revenues decreased $9.1 million, or 8.6%, to $96.1 million, from $105.2 million in the comparable prior-year period.</w:t>
      </w:r>
    </w:p>
    <w:p>
      <w:pPr>
        <w:spacing w:after="0" w:line="1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April 29, 2017, net revenues in the Direct segment decreased $4.1 million, or 5.6%, to $68.8 million, from $72.9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comparable prior-year period. This change resulted from a $5.0 million contribution of revenue from our non-comparable stores, including three additional factory outlet stores opened in the current fiscal year, which was more than offset by a comparable sales decrease of $8.1 million, or 12.5%. The decrease in comparable sales includes a 22.0% decrease in e-commerce sales and a 7.8% decrease in comparable store sales. The decline in comparable sales was primarily due to year-over-year declines in store and e-commerce traffic and e-commerce sales were partially impacted by the conversion to our new platform, which was completed in February 2017.</w:t>
      </w:r>
    </w:p>
    <w:p>
      <w:pPr>
        <w:spacing w:after="0" w:line="1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April 29, 2017, net revenues in the Indirect segment decreased $4.9 million, or 15.3%, to $27.3 million, from $32.2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This change was primarily due to a decline in orders from the Company's specialty retail accounts and certain key accounts along with a reduction in the number of specialty retail accounts.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thirteen weeks ended April 29, 2017, gross profit decreased $7.0 million, or 11.7%, to $52.7 million, from $59.7 million in the comparable prior-year period. As a percentage of net revenues, gross profit decreased to 54.8% for the thirteen weeks ended April 29, 2017, from 56.7% in the comparable prior-year period. The decrease as a percentage of net revenues was primarily due to channel mix changes and increased promotional activity at our factory outlet stores.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thirteen weeks ended April 29, 2017, SG&amp;A expenses increased $1.4 million, or 2.5%, to $57.8 million, from $56.4 million in the comparable prior-year period. As a percentage of net revenues, SG&amp;A expenses increased to 60.1% for the thirteen weeks ended April 29, 2017, from 53.6% in the comparable prior-year period. The increase in SG&amp;A expenses for the thirteen weeks ended April 29, 2017 was primarily due to $1.3 million in severance charges principally for our former Chief Financial Officer in the current-year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29, 2017, other income decreased $0.3 million, or 53.7%, to $0.3 million, from $0.6 million in the comparable prior-year period, primarily due to a decrease in participation in the co-op mailer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April 29, 2017, operating (loss) income decreased $8.7 million, or 224.6%, to $(4.8) million in the current-year period, from</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$3.9 million in the comparable prior-year period. As a percentage of net revenues, operating (loss) income was (5.0)% and 3.7% for the thirteen weeks ended April 29, 2017 and April 30, 2016, respectively. Operating (loss) income decreased due to the factors described above.</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April 29, 2017, operating income in the Direct segment decreased $5.3 million, or 43.9%, to $6.8 million from $12.1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Direct segment net revenues, operating income in the Direct segment was 9.9% and 16.6% for the thirteen weeks ended April 29, 2017 and April 30, 2016, respectively. The decrease in operating income as a percentage of Direct segment net revenues was primarily due to lower</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sales, a decrease in gross profit as a percentage of net revenues, as described above, and deleveraging of store operating expenses as a result of lower comparable store sales.</w:t>
      </w:r>
    </w:p>
    <w:p>
      <w:pPr>
        <w:spacing w:after="0" w:line="1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April 29, 2017, operating income in the Indirect segment decreased $3.2 million, or 25.0%, to $9.4 million from $12.6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Indirect segment net revenues, operating income in the Indirect segment was 34.6% and</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39.1% for the thirteen weeks ended April 29, 2017 and April 30, 2016, respectively. The decrease in operating income as a percentage of Indirect segment net revenues was primarily due to lower sales and a decrease in gross profit as a percentage of net revenues, as described above.</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April 29, 2017, unallocated expenses increased $0.2 million, or 0.9%, to $21.1 million from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$1.3 million in severance charges, partially offset by a decrease in advertising expense of $0.8 million as a result of the timing of spend in the current-year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April 29, 2017, was 15.0%, compared to 36.5% for the thirteen weeks ended April 30, 2016. The year-over year decrease is primarily due to the relative impact of permanent and discrete items, including a tax shortfall from 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thirteen weeks ended April 29, 2017, net (loss) income decreased $6.4 million, or 267.5%, to $(4.0) million from $2.4 million in the comparable prior-year period. The current-year period included $1.3 million ($0.8 million after the associated tax benefit) in severance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borrowings under our $125.0 million second amended and restated credit agreement. There were no borrowings under this agreement during the thirteen weeks ended April 29, 2017, and there was no debt outstanding as of April 29, 2017. Historically, our primary cash needs have been for merchandise inventories; payroll; store rent; capital expenditures associated with operational equipment, buildings, information technology, and opening new stores; share repurchases; and debt repayments. The most significant components of our working capital are cash and cash equivalents, short-term investments, merchandise inventories, accounts receivable, accounts payable, and other current liabilities.</w:t>
      </w:r>
    </w:p>
    <w:p>
      <w:pPr>
        <w:spacing w:after="0" w:line="13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investments,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9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 liquid investments with a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April 29, 2017, these investments in our portfolio consisted of a money market fund, commercial paper and municipal securities.</w:t>
      </w:r>
    </w:p>
    <w:p>
      <w:pPr>
        <w:spacing w:after="0" w:line="2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April 29, 2017, short-term investments consisted of U.S. corporate debt securities, commercial paper and municipal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maturity within one year of the balance sheet date. As of January 28, 2017, short-term investments consisted of a certificate of deposit with an original maturity of one year and a one-time option to accelerate maturity to 31 days without penalty. The certificate of deposit matured during the first quarter fiscal 2018.</w:t>
      </w:r>
    </w:p>
    <w:p>
      <w:pPr>
        <w:spacing w:after="0" w:line="126"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April 29, 2017, long-term investments consisted of U.S. and non-U.S. corporate debt securities and U.S. treasury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securities with a maturity greater than one year from the balance sheet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herein for additional detail regarding investments.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9"/>
        </w:trPr>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280" w:type="dxa"/>
            <w:vAlign w:val="bottom"/>
          </w:tcPr>
          <w:p>
            <w:pPr>
              <w:spacing w:after="0"/>
              <w:rPr>
                <w:sz w:val="12"/>
                <w:szCs w:val="12"/>
                <w:color w:val="auto"/>
              </w:rPr>
            </w:pPr>
          </w:p>
        </w:tc>
        <w:tc>
          <w:tcPr>
            <w:tcW w:w="1200" w:type="dxa"/>
            <w:vAlign w:val="bottom"/>
          </w:tcPr>
          <w:p>
            <w:pPr>
              <w:jc w:val="right"/>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thirteen weeks ended April 29, 2017, was $9.9 million compared to net cash used in operating activities of $4.0 million for the thirteen weeks ended April 30, 2016. The increase in cash used in operating activities was primarily a result of a decrease in net income of $6.4 million and a change in accounts payable which resulted in a use of cash of $6.0 million as compared to a source of cash of $1.3 million in the comparable prior-year period. The change in accounts payable was primarily a result of the timing of inventory payments. This was partially offset by a change in income taxes which resulted in a use of cash of $2.3 million as compared to a use of cash of $12.1 million in the comparable prior-year period. The income tax change was primarily a result of the timing of an $11.5 million federal income tax payment in the prior-year period.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$0.3 million and $35.6 million for the thirteen weeks ended April 29, 2017 and April 30, 2016, respectively. There was a decrease of $2.2 million in spending for property, plant, and equipment in the current-year period primarily due to the construction of three retail stores in the current-year period as compared to five stores in the comparable prior-year period and a reduction in information technology investment spending. In addition, there was a source of cash of $3.0 million as a result of net investment activity in the current-year period and a use of cash of $30.0 million in the comparable prior-year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2018 are expected to be approximately $10.0 million to $15.0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 million and $6.3 million for the thirteen weeks ended April 29, 2017 and April 30, 2016, respectively. The decrease in cash used in financing activities was primarily due to $1.1 million of cash purchases of our common stock under the 2015 Share Repurchase Plan in the current-year period compared to $5.7 million of cash purchases of our common stock under the 2015 Share Repurchase Plans in the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13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April 29, 2017, the Company had borrowing availability of $125.0 million under the agreement.</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April 29, 2017.</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2017. In addition to these policies, refer to Note 11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of this Quarterly Report on Form 10-Q for a discussion of the Company's investment accounting policy.</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2017. There were no significant changes to any of the critical accounting policies and estimates described in the Annual Report as of April 29,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Description of the Company and Basis of Presentation</w:t>
      </w:r>
      <w:r>
        <w:rPr>
          <w:rFonts w:ascii="Times New Roman" w:cs="Times New Roman" w:eastAsia="Times New Roman" w:hAnsi="Times New Roman"/>
          <w:sz w:val="18"/>
          <w:szCs w:val="18"/>
          <w:color w:val="auto"/>
        </w:rPr>
        <w:t xml:space="preserve">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7"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29, 2017, there was no material change in the market risks described in “Quantitative and Qualitative Disclosures About Market Risks” in the Company’s Annual Report on Form 10-K for the fiscal year ended January 28, 2017.</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Interim Chief Financial Officer of the effectiveness of the design and operation of the Company’s disclosure controls and procedures pursuant to Rule 13a-15 of the Securities Exchange Act of 1934. Based on that evaluation, the Chief Executive Officer and Interim Chief Financial Officer concluded that the Company’s disclosure controls and procedures were effective as of April 29, 2017.</w:t>
      </w:r>
    </w:p>
    <w:p>
      <w:pPr>
        <w:spacing w:after="0" w:line="13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00"/>
          </w:cols>
          <w:pgMar w:left="240" w:top="117"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our risk factors as previously set forth in the Company’s Annual Report on Form 10-K for the fiscal year ended January 28, 2017.</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8, 2015, the Company’s board of directors approved a share repurchase program (the “2015 Share Repurchase Program”) authorizing up to</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$50.0 million of repurchases of shares of the Company's common stock. The 2015 Share Repurchase Program expires in December 2017. During the thirteen weeks ended April 29, 2017, the Company repurchased 131,619 shares of the Company's common stock at an average price of $9.11 per share, excluding commissions.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the shares repurchased under the program during the thirteen weeks ended April 29, 2017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Plans or Program</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29, 2017 - February 25,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8,560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8,560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21,238,544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26, 2017 - April 1, 2017</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56,941</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56,941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20,720,216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2, 2017 - April 29,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66,118</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66,118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20,130,955</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131,619</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131,619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16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Fiscal 2018</w:t>
            </w:r>
          </w:p>
        </w:tc>
        <w:tc>
          <w:tcPr>
            <w:tcW w:w="9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Fiscal 2018</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Section 906 Certifications*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00" w:right="200" w:hanging="1265"/>
        <w:spacing w:after="0" w:line="25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April 29, 2017 formatted in Extensible Business Reporting Language (XBRL): (i) Condensed Consolidated Statements of Income for the Thirteen Weeks ended April 29, 2017 and April 30, 2016; (ii) Condensed Consolidated Statements of Comprehensive Income for the Thirteen Weeks ended April 29, 2017 and April 30, 2016; (iii) Condensed Consolidated Balance Sheets as of April 29, 2017 and January 28, 2017; (iv) Condensed Consolidated Statements of Cash Flows for the Thirteen Weeks ended April 29, 2017 and April 30, 2016, and (v) Notes to Condensed Consolidated Financial Statements. **</w:t>
      </w:r>
    </w:p>
    <w:p>
      <w:pPr>
        <w:spacing w:after="0" w:line="147" w:lineRule="exact"/>
        <w:rPr>
          <w:sz w:val="20"/>
          <w:szCs w:val="20"/>
          <w:color w:val="auto"/>
        </w:rPr>
      </w:pPr>
    </w:p>
    <w:p>
      <w:pPr>
        <w:ind w:left="740" w:hanging="705"/>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June 7, 2017</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Vice President – Interim Chief Financial Officer</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117"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5"/>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880" w:type="dxa"/>
            <w:vAlign w:val="bottom"/>
            <w:vMerge w:val="continue"/>
          </w:tcPr>
          <w:p>
            <w:pPr>
              <w:spacing w:after="0"/>
              <w:rPr>
                <w:sz w:val="16"/>
                <w:szCs w:val="16"/>
                <w:color w:val="auto"/>
              </w:rPr>
            </w:pPr>
          </w:p>
        </w:tc>
        <w:tc>
          <w:tcPr>
            <w:tcW w:w="9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16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Fiscal 2018</w:t>
            </w:r>
          </w:p>
        </w:tc>
        <w:tc>
          <w:tcPr>
            <w:tcW w:w="9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Unit/Performance Unit Terms and Conditions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Fiscal 2018</w:t>
            </w:r>
          </w:p>
        </w:tc>
        <w:tc>
          <w:tcPr>
            <w:tcW w:w="9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Compensation Plan (Executives)</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Performance-Based Award Agreement under the 2010 Equity and Incentive Plan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Section 906 Certifications*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00" w:right="200" w:hanging="1265"/>
        <w:spacing w:after="0" w:line="25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April 29, 2017 formatted in Extensible Business Reporting Language (XBRL): (i) Condensed Consolidated Statements of Income for the Thirteen Weeks ended April 29, 2017 and April 30, 2016; (ii) Condensed Consolidated Statements of Comprehensive Income for the Thirteen Weeks ended April 29, 2017 and April 30, 2016; (iii) Condensed Consolidated Balance Sheets as of April 29, 2017 and January 28, 2017; (iv) Condensed Consolidated Statements of Cash Flows for the Thirteen Weeks ended April 29, 2017 and April 30, 2016, and (v) Notes to Condensed Consolidated Financial Statements. **</w:t>
      </w:r>
    </w:p>
    <w:p>
      <w:pPr>
        <w:spacing w:after="0" w:line="147" w:lineRule="exact"/>
        <w:rPr>
          <w:sz w:val="20"/>
          <w:szCs w:val="20"/>
          <w:color w:val="auto"/>
        </w:rPr>
      </w:pPr>
    </w:p>
    <w:p>
      <w:pPr>
        <w:ind w:left="740" w:hanging="705"/>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2010 Equity and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FISCAL 2018 LONG TERM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UNIT/PERFORMANCE UNIT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56" w:lineRule="exact"/>
        <w:rPr>
          <w:sz w:val="20"/>
          <w:szCs w:val="20"/>
          <w:color w:val="auto"/>
        </w:rPr>
      </w:pPr>
    </w:p>
    <w:p>
      <w:pPr>
        <w:ind w:firstLine="656"/>
        <w:spacing w:after="0" w:line="329" w:lineRule="auto"/>
        <w:tabs>
          <w:tab w:leader="none" w:pos="14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Any term capitalized herein but not defined will have the meaning set forth in the Vera Bradley, Inc. 2010 Equity and Incentive Plan (the "Plan").</w:t>
      </w:r>
    </w:p>
    <w:p>
      <w:pPr>
        <w:spacing w:after="0" w:line="161"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Vesting of Restricted Stock Units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08" w:lineRule="auto"/>
        <w:tabs>
          <w:tab w:leader="none" w:pos="14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79"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76" w:lineRule="exact"/>
        <w:rPr>
          <w:sz w:val="20"/>
          <w:szCs w:val="20"/>
          <w:color w:val="auto"/>
        </w:rPr>
      </w:pPr>
    </w:p>
    <w:p>
      <w:pPr>
        <w:ind w:left="1440" w:hanging="784"/>
        <w:spacing w:after="0"/>
        <w:tabs>
          <w:tab w:leader="none" w:pos="1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Vesting of Performance Units ("Performance RSUs")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13" w:lineRule="auto"/>
        <w:tabs>
          <w:tab w:leader="none" w:pos="1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76" w:lineRule="exact"/>
        <w:rPr>
          <w:rFonts w:ascii="Times New Roman" w:cs="Times New Roman" w:eastAsia="Times New Roman" w:hAnsi="Times New Roman"/>
          <w:sz w:val="18"/>
          <w:szCs w:val="18"/>
          <w:color w:val="auto"/>
        </w:rPr>
      </w:pPr>
    </w:p>
    <w:p>
      <w:pPr>
        <w:jc w:val="both"/>
        <w:ind w:firstLine="656"/>
        <w:spacing w:after="0" w:line="303" w:lineRule="auto"/>
        <w:tabs>
          <w:tab w:leader="none" w:pos="15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308" w:lineRule="auto"/>
        <w:tabs>
          <w:tab w:leader="none" w:pos="21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Certification of Results. </w:t>
      </w:r>
      <w:r>
        <w:rPr>
          <w:rFonts w:ascii="Times New Roman" w:cs="Times New Roman" w:eastAsia="Times New Roman" w:hAnsi="Times New Roman"/>
          <w:sz w:val="18"/>
          <w:szCs w:val="18"/>
          <w:color w:val="auto"/>
        </w:rPr>
        <w:t>Before any award of Performance RSUs is deemed earned with respect to a Performance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79" w:lineRule="exact"/>
        <w:rPr>
          <w:rFonts w:ascii="Times New Roman" w:cs="Times New Roman" w:eastAsia="Times New Roman" w:hAnsi="Times New Roman"/>
          <w:sz w:val="18"/>
          <w:szCs w:val="18"/>
          <w:color w:val="auto"/>
        </w:rPr>
      </w:pPr>
    </w:p>
    <w:p>
      <w:pPr>
        <w:jc w:val="both"/>
        <w:ind w:left="660" w:firstLine="645"/>
        <w:spacing w:after="0" w:line="304" w:lineRule="auto"/>
        <w:tabs>
          <w:tab w:leader="none" w:pos="21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"Earnings Per Share." </w:t>
      </w:r>
      <w:r>
        <w:rPr>
          <w:rFonts w:ascii="Times New Roman" w:cs="Times New Roman" w:eastAsia="Times New Roman" w:hAnsi="Times New Roman"/>
          <w:sz w:val="18"/>
          <w:szCs w:val="18"/>
          <w:color w:val="auto"/>
        </w:rPr>
        <w:t>For purposes of this Subsection 3(b), the term "Earnings Per Share" means,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82" w:lineRule="exact"/>
        <w:rPr>
          <w:rFonts w:ascii="Times New Roman" w:cs="Times New Roman" w:eastAsia="Times New Roman" w:hAnsi="Times New Roman"/>
          <w:sz w:val="18"/>
          <w:szCs w:val="18"/>
          <w:color w:val="auto"/>
        </w:rPr>
      </w:pPr>
    </w:p>
    <w:p>
      <w:pPr>
        <w:ind w:left="660" w:firstLine="645"/>
        <w:spacing w:after="0" w:line="331" w:lineRule="auto"/>
        <w:tabs>
          <w:tab w:leader="none" w:pos="22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"Performance Year." </w:t>
      </w:r>
      <w:r>
        <w:rPr>
          <w:rFonts w:ascii="Times New Roman" w:cs="Times New Roman" w:eastAsia="Times New Roman" w:hAnsi="Times New Roman"/>
          <w:sz w:val="18"/>
          <w:szCs w:val="18"/>
          <w:color w:val="auto"/>
        </w:rPr>
        <w:t>For purposes of this Subsection 3(b), the term "Performance Year" means,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Awards of Performance RSUs, each fiscal year of the Company ending within the Performance Period.</w:t>
      </w:r>
    </w:p>
    <w:p>
      <w:pPr>
        <w:spacing w:after="0" w:line="158" w:lineRule="exact"/>
        <w:rPr>
          <w:rFonts w:ascii="Times New Roman" w:cs="Times New Roman" w:eastAsia="Times New Roman" w:hAnsi="Times New Roman"/>
          <w:sz w:val="18"/>
          <w:szCs w:val="18"/>
          <w:color w:val="auto"/>
        </w:rPr>
      </w:pPr>
    </w:p>
    <w:p>
      <w:pPr>
        <w:jc w:val="both"/>
        <w:ind w:left="660" w:firstLine="645"/>
        <w:spacing w:after="0" w:line="314" w:lineRule="auto"/>
        <w:tabs>
          <w:tab w:leader="none" w:pos="22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Finality of Committee Determinations. </w:t>
      </w:r>
      <w:r>
        <w:rPr>
          <w:rFonts w:ascii="Times New Roman" w:cs="Times New Roman" w:eastAsia="Times New Roman" w:hAnsi="Times New Roman"/>
          <w:sz w:val="18"/>
          <w:szCs w:val="18"/>
          <w:color w:val="auto"/>
        </w:rPr>
        <w:t>Any determination by the Committee of Earnings per Share and the level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entitlement to the Award of Performance RSUs, and any interpretation, rule, or decision adopted by the Committee under the Plan or in carrying out or administering the Plan, is final and binding for all purposes and upon all</w:t>
      </w:r>
    </w:p>
    <w:p>
      <w:pPr>
        <w:sectPr>
          <w:pgSz w:w="11900" w:h="16838" w:orient="portrait"/>
          <w:cols w:equalWidth="0" w:num="1">
            <w:col w:w="11420"/>
          </w:cols>
          <w:pgMar w:left="240" w:top="576" w:right="239" w:bottom="1440" w:gutter="0" w:footer="0" w:header="0"/>
        </w:sectPr>
      </w:pPr>
    </w:p>
    <w:bookmarkStart w:id="30" w:name="page31"/>
    <w:bookmarkEnd w:id="30"/>
    <w:p>
      <w:pPr>
        <w:jc w:val="both"/>
        <w:ind w:left="660"/>
        <w:spacing w:after="0" w:line="308" w:lineRule="auto"/>
        <w:rPr>
          <w:sz w:val="20"/>
          <w:szCs w:val="20"/>
          <w:color w:val="auto"/>
        </w:rPr>
      </w:pPr>
      <w:r>
        <w:rPr>
          <w:rFonts w:ascii="Times New Roman" w:cs="Times New Roman" w:eastAsia="Times New Roman" w:hAnsi="Times New Roman"/>
          <w:sz w:val="18"/>
          <w:szCs w:val="18"/>
          <w:color w:val="auto"/>
        </w:rPr>
        <w:t>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180" w:lineRule="exact"/>
        <w:rPr>
          <w:sz w:val="20"/>
          <w:szCs w:val="20"/>
          <w:color w:val="auto"/>
        </w:rPr>
      </w:pPr>
    </w:p>
    <w:p>
      <w:pPr>
        <w:ind w:left="1440" w:hanging="784"/>
        <w:spacing w:after="0"/>
        <w:tabs>
          <w:tab w:leader="none" w:pos="1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656"/>
        <w:spacing w:after="0" w:line="313" w:lineRule="auto"/>
        <w:tabs>
          <w:tab w:leader="none" w:pos="14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76" w:lineRule="exact"/>
        <w:rPr>
          <w:rFonts w:ascii="Times New Roman" w:cs="Times New Roman" w:eastAsia="Times New Roman" w:hAnsi="Times New Roman"/>
          <w:sz w:val="18"/>
          <w:szCs w:val="18"/>
          <w:color w:val="auto"/>
        </w:rPr>
      </w:pPr>
    </w:p>
    <w:p>
      <w:pPr>
        <w:jc w:val="both"/>
        <w:ind w:firstLine="656"/>
        <w:spacing w:after="0" w:line="301" w:lineRule="auto"/>
        <w:tabs>
          <w:tab w:leader="none" w:pos="15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86" w:lineRule="exact"/>
        <w:rPr>
          <w:sz w:val="20"/>
          <w:szCs w:val="20"/>
          <w:color w:val="auto"/>
        </w:rPr>
      </w:pPr>
    </w:p>
    <w:p>
      <w:pPr>
        <w:jc w:val="both"/>
        <w:ind w:firstLine="656"/>
        <w:spacing w:after="0" w:line="305" w:lineRule="auto"/>
        <w:tabs>
          <w:tab w:leader="none" w:pos="1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Change in Control</w:t>
      </w:r>
      <w:r>
        <w:rPr>
          <w:rFonts w:ascii="Times New Roman" w:cs="Times New Roman" w:eastAsia="Times New Roman" w:hAnsi="Times New Roman"/>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5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6" w:lineRule="exact"/>
        <w:rPr>
          <w:sz w:val="20"/>
          <w:szCs w:val="20"/>
          <w:color w:val="auto"/>
        </w:rPr>
      </w:pPr>
    </w:p>
    <w:p>
      <w:pPr>
        <w:jc w:val="both"/>
        <w:ind w:firstLine="656"/>
        <w:spacing w:after="0" w:line="297" w:lineRule="auto"/>
        <w:tabs>
          <w:tab w:leader="none" w:pos="1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and Form of Payment</w:t>
      </w:r>
      <w:r>
        <w:rPr>
          <w:rFonts w:ascii="Times New Roman" w:cs="Times New Roman" w:eastAsia="Times New Roman" w:hAnsi="Times New Roman"/>
          <w:sz w:val="18"/>
          <w:szCs w:val="18"/>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w:t>
      </w:r>
    </w:p>
    <w:p>
      <w:pPr>
        <w:jc w:val="both"/>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made, including delivery with respect to a Disabled Participant, or to the estate of a deceased Participant, after the end of the Restricted Period or Performance Period, as applicable, and not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2" w:lineRule="exact"/>
        <w:rPr>
          <w:rFonts w:ascii="Times New Roman" w:cs="Times New Roman" w:eastAsia="Times New Roman" w:hAnsi="Times New Roman"/>
          <w:sz w:val="18"/>
          <w:szCs w:val="18"/>
          <w:color w:val="auto"/>
        </w:rPr>
      </w:pPr>
    </w:p>
    <w:p>
      <w:pPr>
        <w:ind w:right="20" w:firstLine="656"/>
        <w:spacing w:after="0" w:line="329" w:lineRule="auto"/>
        <w:tabs>
          <w:tab w:leader="none" w:pos="1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Transfers</w:t>
      </w:r>
      <w:r>
        <w:rPr>
          <w:rFonts w:ascii="Times New Roman" w:cs="Times New Roman" w:eastAsia="Times New Roman" w:hAnsi="Times New Roman"/>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ectPr>
          <w:pgSz w:w="11900" w:h="16838" w:orient="portrait"/>
          <w:cols w:equalWidth="0" w:num="1">
            <w:col w:w="11420"/>
          </w:cols>
          <w:pgMar w:left="240" w:top="607" w:right="239" w:bottom="1440" w:gutter="0" w:footer="0" w:header="0"/>
        </w:sectPr>
      </w:pPr>
    </w:p>
    <w:bookmarkStart w:id="31" w:name="page32"/>
    <w:bookmarkEnd w:id="31"/>
    <w:p>
      <w:pPr>
        <w:jc w:val="both"/>
        <w:ind w:left="-656" w:firstLine="656"/>
        <w:spacing w:after="0" w:line="308" w:lineRule="auto"/>
        <w:tabs>
          <w:tab w:leader="none" w:pos="7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79"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Requirements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656" w:firstLine="656"/>
        <w:spacing w:after="0" w:line="305"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89" w:lineRule="exact"/>
        <w:rPr>
          <w:sz w:val="20"/>
          <w:szCs w:val="20"/>
          <w:color w:val="auto"/>
        </w:rPr>
      </w:pPr>
    </w:p>
    <w:p>
      <w:pPr>
        <w:jc w:val="both"/>
        <w:ind w:left="-656" w:firstLine="656"/>
        <w:spacing w:after="0" w:line="313"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Limitation on Rights of the Company</w:t>
      </w:r>
      <w:r>
        <w:rPr>
          <w:rFonts w:ascii="Times New Roman" w:cs="Times New Roman" w:eastAsia="Times New Roman" w:hAnsi="Times New Roman"/>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3" w:lineRule="auto"/>
        <w:tabs>
          <w:tab w:leader="none" w:pos="8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Restricted Stock Units, Performance RSUs and Award Not a Contract of Employment</w:t>
      </w:r>
      <w:r>
        <w:rPr>
          <w:rFonts w:ascii="Times New Roman" w:cs="Times New Roman" w:eastAsia="Times New Roman" w:hAnsi="Times New Roman"/>
          <w:sz w:val="18"/>
          <w:szCs w:val="18"/>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313"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to Have No Rights as a Stockholder</w:t>
      </w:r>
      <w:r>
        <w:rPr>
          <w:rFonts w:ascii="Times New Roman" w:cs="Times New Roman" w:eastAsia="Times New Roman" w:hAnsi="Times New Roman"/>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8"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79" w:lineRule="exact"/>
        <w:rPr>
          <w:rFonts w:ascii="Times New Roman" w:cs="Times New Roman" w:eastAsia="Times New Roman" w:hAnsi="Times New Roman"/>
          <w:sz w:val="18"/>
          <w:szCs w:val="18"/>
          <w:color w:val="auto"/>
        </w:rPr>
      </w:pPr>
    </w:p>
    <w:p>
      <w:pPr>
        <w:ind w:left="-656" w:firstLine="656"/>
        <w:spacing w:after="0" w:line="329"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document and the Award will be construed and enforced in accordance with, and governed by, the laws of the State of Indiana, determined without regard to its conflict of law rules.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308"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ectPr>
          <w:pgSz w:w="11900" w:h="16838" w:orient="portrait"/>
          <w:cols w:equalWidth="0" w:num="1">
            <w:col w:w="10764"/>
          </w:cols>
          <w:pgMar w:left="896" w:top="823" w:right="239" w:bottom="1440" w:gutter="0" w:footer="0" w:header="0"/>
        </w:sectPr>
      </w:pPr>
    </w:p>
    <w:bookmarkStart w:id="32" w:name="page33"/>
    <w:bookmarkEnd w:id="32"/>
    <w:p>
      <w:pPr>
        <w:jc w:val="both"/>
        <w:ind w:firstLine="656"/>
        <w:spacing w:after="0" w:line="313" w:lineRule="auto"/>
        <w:tabs>
          <w:tab w:leader="none" w:pos="15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Document Controls</w:t>
      </w:r>
      <w:r>
        <w:rPr>
          <w:rFonts w:ascii="Times New Roman" w:cs="Times New Roman" w:eastAsia="Times New Roman" w:hAnsi="Times New Roman"/>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I/2776631.7</w:t>
      </w:r>
    </w:p>
    <w:p>
      <w:pPr>
        <w:sectPr>
          <w:pgSz w:w="11900" w:h="16838" w:orient="portrait"/>
          <w:cols w:equalWidth="0" w:num="1">
            <w:col w:w="11420"/>
          </w:cols>
          <w:pgMar w:left="240" w:top="60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Executive Annual Incentive Compensation Plan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2018</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Plan Overview</w:t>
      </w:r>
    </w:p>
    <w:p>
      <w:pPr>
        <w:spacing w:after="0" w:line="200" w:lineRule="exact"/>
        <w:rPr>
          <w:sz w:val="20"/>
          <w:szCs w:val="20"/>
          <w:color w:val="auto"/>
        </w:rPr>
      </w:pPr>
    </w:p>
    <w:p>
      <w:pPr>
        <w:spacing w:after="0" w:line="299" w:lineRule="exact"/>
        <w:rPr>
          <w:sz w:val="20"/>
          <w:szCs w:val="20"/>
          <w:color w:val="auto"/>
        </w:rPr>
      </w:pPr>
    </w:p>
    <w:p>
      <w:pPr>
        <w:jc w:val="both"/>
        <w:ind w:left="120"/>
        <w:spacing w:after="0" w:line="376" w:lineRule="auto"/>
        <w:rPr>
          <w:sz w:val="20"/>
          <w:szCs w:val="20"/>
          <w:color w:val="auto"/>
        </w:rPr>
      </w:pPr>
      <w:r>
        <w:rPr>
          <w:rFonts w:ascii="Times New Roman" w:cs="Times New Roman" w:eastAsia="Times New Roman" w:hAnsi="Times New Roman"/>
          <w:sz w:val="18"/>
          <w:szCs w:val="18"/>
          <w:color w:val="auto"/>
        </w:rPr>
        <w:t>Awards under this Senior Executive Annual Incentive Compensation Plan (the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189" w:lineRule="exact"/>
        <w:rPr>
          <w:sz w:val="20"/>
          <w:szCs w:val="20"/>
          <w:color w:val="auto"/>
        </w:rPr>
      </w:pPr>
    </w:p>
    <w:p>
      <w:pPr>
        <w:jc w:val="both"/>
        <w:ind w:left="120"/>
        <w:spacing w:after="0" w:line="368" w:lineRule="auto"/>
        <w:rPr>
          <w:sz w:val="20"/>
          <w:szCs w:val="20"/>
          <w:color w:val="auto"/>
        </w:rPr>
      </w:pPr>
      <w:r>
        <w:rPr>
          <w:rFonts w:ascii="Times New Roman" w:cs="Times New Roman" w:eastAsia="Times New Roman" w:hAnsi="Times New Roman"/>
          <w:sz w:val="18"/>
          <w:szCs w:val="18"/>
          <w:color w:val="auto"/>
        </w:rPr>
        <w:t>This Annual Plan is designed to give each eligible Participant (as defined in the attached Administrative Guidelines) an opportunity to share in the Company's success for the fiscal year ending February 3, 2018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three to four independent performance measures as more fully described herein (collectively, the “FY18 Performance Measures”).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Incentive Opportunity</w:t>
      </w:r>
    </w:p>
    <w:p>
      <w:pPr>
        <w:spacing w:after="0" w:line="67" w:lineRule="exact"/>
        <w:rPr>
          <w:sz w:val="20"/>
          <w:szCs w:val="20"/>
          <w:color w:val="auto"/>
        </w:rPr>
      </w:pPr>
    </w:p>
    <w:p>
      <w:pPr>
        <w:ind w:left="80"/>
        <w:spacing w:after="0" w:line="391" w:lineRule="auto"/>
        <w:rPr>
          <w:sz w:val="20"/>
          <w:szCs w:val="20"/>
          <w:color w:val="auto"/>
        </w:rPr>
      </w:pPr>
      <w:r>
        <w:rPr>
          <w:rFonts w:ascii="Times New Roman" w:cs="Times New Roman" w:eastAsia="Times New Roman" w:hAnsi="Times New Roman"/>
          <w:sz w:val="18"/>
          <w:szCs w:val="18"/>
          <w:color w:val="auto"/>
        </w:rPr>
        <w:t>The target incentive opportunity for each Participant is determined based on a percentage of each Participant's Base Salary (as defined below) based upon the Participant’s level.</w:t>
      </w:r>
    </w:p>
    <w:p>
      <w:pPr>
        <w:spacing w:after="0" w:line="26" w:lineRule="exact"/>
        <w:rPr>
          <w:sz w:val="20"/>
          <w:szCs w:val="20"/>
          <w:color w:val="auto"/>
        </w:rPr>
      </w:pPr>
    </w:p>
    <w:tbl>
      <w:tblPr>
        <w:tblLayout w:type="fixed"/>
        <w:tblInd w:w="63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5400" w:type="dxa"/>
            <w:vAlign w:val="bottom"/>
            <w:tcBorders>
              <w:top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Incentive Opportunity (Percent of Base Salary)</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Excellence</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EVP</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VP2</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346" w:lineRule="exact"/>
        <w:rPr>
          <w:sz w:val="20"/>
          <w:szCs w:val="20"/>
          <w:color w:val="auto"/>
        </w:rPr>
      </w:pPr>
    </w:p>
    <w:p>
      <w:pPr>
        <w:jc w:val="center"/>
        <w:spacing w:after="0" w:line="391" w:lineRule="auto"/>
        <w:rPr>
          <w:sz w:val="20"/>
          <w:szCs w:val="20"/>
          <w:color w:val="auto"/>
        </w:rPr>
      </w:pPr>
      <w:r>
        <w:rPr>
          <w:rFonts w:ascii="Times New Roman" w:cs="Times New Roman" w:eastAsia="Times New Roman" w:hAnsi="Times New Roman"/>
          <w:sz w:val="18"/>
          <w:szCs w:val="18"/>
          <w:color w:val="auto"/>
        </w:rPr>
        <w:t>"Base Salary" is defined as the Participant's gross base salary (before taxes and deductions) paid by the Company to the Participant during the Performance Period.</w:t>
      </w: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Participant will have the opportunity to earn the incentive set forth above based on the level of achievement against the FY18 Performance Measures.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applicability and weighting of the FY18 Performance Measures relative to the total incentive opportunity is as follows:</w:t>
      </w:r>
    </w:p>
    <w:p>
      <w:pPr>
        <w:spacing w:after="0" w:line="200" w:lineRule="exact"/>
        <w:rPr>
          <w:sz w:val="20"/>
          <w:szCs w:val="20"/>
          <w:color w:val="auto"/>
        </w:rPr>
      </w:pPr>
    </w:p>
    <w:p>
      <w:pPr>
        <w:spacing w:after="0" w:line="334" w:lineRule="exact"/>
        <w:rPr>
          <w:sz w:val="20"/>
          <w:szCs w:val="20"/>
          <w:color w:val="auto"/>
        </w:rPr>
      </w:pPr>
    </w:p>
    <w:tbl>
      <w:tblPr>
        <w:tblLayout w:type="fixed"/>
        <w:tblInd w:w="1370" w:type="dxa"/>
        <w:tblCellMar>
          <w:top w:w="0" w:type="dxa"/>
          <w:left w:w="0" w:type="dxa"/>
          <w:bottom w:w="0" w:type="dxa"/>
          <w:right w:w="0" w:type="dxa"/>
        </w:tblCellMar>
      </w:tblPr>
      <w:tr>
        <w:trPr>
          <w:trHeight w:val="284"/>
        </w:trPr>
        <w:tc>
          <w:tcPr>
            <w:tcW w:w="1780" w:type="dxa"/>
            <w:vAlign w:val="bottom"/>
            <w:tcBorders>
              <w:top w:val="single" w:sz="8" w:color="auto"/>
              <w:left w:val="single" w:sz="8" w:color="auto"/>
              <w:bottom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 Level</w:t>
            </w:r>
          </w:p>
        </w:tc>
        <w:tc>
          <w:tcPr>
            <w:tcW w:w="322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Corporate Performance</w:t>
            </w:r>
          </w:p>
        </w:tc>
        <w:tc>
          <w:tcPr>
            <w:tcW w:w="20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Strategic</w:t>
            </w:r>
          </w:p>
        </w:tc>
        <w:tc>
          <w:tcPr>
            <w:tcW w:w="1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Personal</w:t>
            </w:r>
          </w:p>
        </w:tc>
        <w:tc>
          <w:tcPr>
            <w:tcW w:w="0" w:type="dxa"/>
            <w:vAlign w:val="bottom"/>
          </w:tcPr>
          <w:p>
            <w:pPr>
              <w:spacing w:after="0"/>
              <w:rPr>
                <w:sz w:val="1"/>
                <w:szCs w:val="1"/>
                <w:color w:val="auto"/>
              </w:rPr>
            </w:pPr>
          </w:p>
        </w:tc>
      </w:tr>
      <w:tr>
        <w:trPr>
          <w:trHeight w:val="88"/>
        </w:trPr>
        <w:tc>
          <w:tcPr>
            <w:tcW w:w="178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Objective Performance</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Objectives</w:t>
            </w:r>
          </w:p>
        </w:tc>
        <w:tc>
          <w:tcPr>
            <w:tcW w:w="0" w:type="dxa"/>
            <w:vAlign w:val="bottom"/>
          </w:tcPr>
          <w:p>
            <w:pPr>
              <w:spacing w:after="0"/>
              <w:rPr>
                <w:sz w:val="1"/>
                <w:szCs w:val="1"/>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EVP/VP2</w:t>
            </w: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w:t>
            </w:r>
          </w:p>
        </w:tc>
        <w:tc>
          <w:tcPr>
            <w:tcW w:w="2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Corporate Performance</w:t>
      </w:r>
    </w:p>
    <w:p>
      <w:pPr>
        <w:spacing w:after="0" w:line="67" w:lineRule="exact"/>
        <w:rPr>
          <w:sz w:val="20"/>
          <w:szCs w:val="20"/>
          <w:color w:val="auto"/>
        </w:rPr>
      </w:pPr>
    </w:p>
    <w:p>
      <w:pPr>
        <w:ind w:right="60"/>
        <w:spacing w:after="0" w:line="370" w:lineRule="auto"/>
        <w:rPr>
          <w:sz w:val="20"/>
          <w:szCs w:val="20"/>
          <w:color w:val="auto"/>
        </w:rPr>
      </w:pPr>
      <w:r>
        <w:rPr>
          <w:rFonts w:ascii="Times New Roman" w:cs="Times New Roman" w:eastAsia="Times New Roman" w:hAnsi="Times New Roman"/>
          <w:sz w:val="18"/>
          <w:szCs w:val="18"/>
          <w:color w:val="auto"/>
        </w:rPr>
        <w:t>Payouts for Corporate Performance are based on meeting two independent financial metrics, which are net revenue and operating income. Each financial metric is weighted at 50% of the Corporate Performance goal. Assuming at least threshold levels of performance against the Corporate Performance goals are met during the Performance Period, the actual payout levels will range from 25%-200% of target. The actual amount of the Corporate Performance goals is considered to be confidential information and so is not included in this document, but can be obtained from Human Resources.</w:t>
      </w:r>
    </w:p>
    <w:p>
      <w:pPr>
        <w:spacing w:after="0" w:line="45" w:lineRule="exact"/>
        <w:rPr>
          <w:sz w:val="20"/>
          <w:szCs w:val="20"/>
          <w:color w:val="auto"/>
        </w:rPr>
      </w:pPr>
    </w:p>
    <w:tbl>
      <w:tblPr>
        <w:tblLayout w:type="fixed"/>
        <w:tblInd w:w="470" w:type="dxa"/>
        <w:tblCellMar>
          <w:top w:w="0" w:type="dxa"/>
          <w:left w:w="0" w:type="dxa"/>
          <w:bottom w:w="0" w:type="dxa"/>
          <w:right w:w="0" w:type="dxa"/>
        </w:tblCellMar>
      </w:tblPr>
      <w:tr>
        <w:trPr>
          <w:trHeight w:val="234"/>
        </w:trPr>
        <w:tc>
          <w:tcPr>
            <w:tcW w:w="55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Revenue Performance Level</w:t>
            </w:r>
          </w:p>
        </w:tc>
        <w:tc>
          <w:tcPr>
            <w:tcW w:w="5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w:t>
            </w:r>
          </w:p>
        </w:tc>
        <w:tc>
          <w:tcPr>
            <w:tcW w:w="0" w:type="dxa"/>
            <w:vAlign w:val="bottom"/>
          </w:tcPr>
          <w:p>
            <w:pPr>
              <w:spacing w:after="0"/>
              <w:rPr>
                <w:sz w:val="1"/>
                <w:szCs w:val="1"/>
                <w:color w:val="auto"/>
              </w:rPr>
            </w:pPr>
          </w:p>
        </w:tc>
      </w:tr>
      <w:tr>
        <w:trPr>
          <w:trHeight w:val="130"/>
        </w:trPr>
        <w:tc>
          <w:tcPr>
            <w:tcW w:w="5500" w:type="dxa"/>
            <w:vAlign w:val="bottom"/>
            <w:tcBorders>
              <w:left w:val="single" w:sz="8" w:color="auto"/>
              <w:right w:val="single" w:sz="8" w:color="auto"/>
            </w:tcBorders>
            <w:vMerge w:val="continue"/>
          </w:tcPr>
          <w:p>
            <w:pPr>
              <w:spacing w:after="0"/>
              <w:rPr>
                <w:sz w:val="11"/>
                <w:szCs w:val="11"/>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Performance*</w:t>
            </w:r>
          </w:p>
        </w:tc>
        <w:tc>
          <w:tcPr>
            <w:tcW w:w="0" w:type="dxa"/>
            <w:vAlign w:val="bottom"/>
          </w:tcPr>
          <w:p>
            <w:pPr>
              <w:spacing w:after="0"/>
              <w:rPr>
                <w:sz w:val="1"/>
                <w:szCs w:val="1"/>
                <w:color w:val="auto"/>
              </w:rPr>
            </w:pPr>
          </w:p>
        </w:tc>
      </w:tr>
      <w:tr>
        <w:trPr>
          <w:trHeight w:val="108"/>
        </w:trPr>
        <w:tc>
          <w:tcPr>
            <w:tcW w:w="5500" w:type="dxa"/>
            <w:vAlign w:val="bottom"/>
            <w:tcBorders>
              <w:left w:val="single" w:sz="8" w:color="auto"/>
              <w:right w:val="single" w:sz="8" w:color="auto"/>
            </w:tcBorders>
          </w:tcPr>
          <w:p>
            <w:pPr>
              <w:spacing w:after="0"/>
              <w:rPr>
                <w:sz w:val="9"/>
                <w:szCs w:val="9"/>
                <w:color w:val="auto"/>
              </w:rPr>
            </w:pPr>
          </w:p>
        </w:tc>
        <w:tc>
          <w:tcPr>
            <w:tcW w:w="5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Excellence</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 Income Performance Level</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as a Percentage of the Portion of Incentive Tied to</w:t>
            </w:r>
          </w:p>
        </w:tc>
        <w:tc>
          <w:tcPr>
            <w:tcW w:w="0" w:type="dxa"/>
            <w:vAlign w:val="bottom"/>
          </w:tcPr>
          <w:p>
            <w:pPr>
              <w:spacing w:after="0"/>
              <w:rPr>
                <w:sz w:val="1"/>
                <w:szCs w:val="1"/>
                <w:color w:val="auto"/>
              </w:rPr>
            </w:pPr>
          </w:p>
        </w:tc>
      </w:tr>
      <w:tr>
        <w:trPr>
          <w:trHeight w:val="130"/>
        </w:trPr>
        <w:tc>
          <w:tcPr>
            <w:tcW w:w="5500" w:type="dxa"/>
            <w:vAlign w:val="bottom"/>
            <w:tcBorders>
              <w:left w:val="single" w:sz="8" w:color="auto"/>
              <w:right w:val="single" w:sz="8" w:color="auto"/>
            </w:tcBorders>
            <w:vMerge w:val="continue"/>
          </w:tcPr>
          <w:p>
            <w:pPr>
              <w:spacing w:after="0"/>
              <w:rPr>
                <w:sz w:val="11"/>
                <w:szCs w:val="11"/>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Performance*</w:t>
            </w:r>
          </w:p>
        </w:tc>
        <w:tc>
          <w:tcPr>
            <w:tcW w:w="0" w:type="dxa"/>
            <w:vAlign w:val="bottom"/>
          </w:tcPr>
          <w:p>
            <w:pPr>
              <w:spacing w:after="0"/>
              <w:rPr>
                <w:sz w:val="1"/>
                <w:szCs w:val="1"/>
                <w:color w:val="auto"/>
              </w:rPr>
            </w:pPr>
          </w:p>
        </w:tc>
      </w:tr>
      <w:tr>
        <w:trPr>
          <w:trHeight w:val="108"/>
        </w:trPr>
        <w:tc>
          <w:tcPr>
            <w:tcW w:w="5500" w:type="dxa"/>
            <w:vAlign w:val="bottom"/>
            <w:tcBorders>
              <w:left w:val="single" w:sz="8" w:color="auto"/>
              <w:right w:val="single" w:sz="8" w:color="auto"/>
            </w:tcBorders>
          </w:tcPr>
          <w:p>
            <w:pPr>
              <w:spacing w:after="0"/>
              <w:rPr>
                <w:sz w:val="9"/>
                <w:szCs w:val="9"/>
                <w:color w:val="auto"/>
              </w:rPr>
            </w:pPr>
          </w:p>
        </w:tc>
        <w:tc>
          <w:tcPr>
            <w:tcW w:w="5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Excellence</w:t>
            </w:r>
          </w:p>
        </w:tc>
        <w:tc>
          <w:tcPr>
            <w:tcW w:w="5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
        </w:trPr>
        <w:tc>
          <w:tcPr>
            <w:tcW w:w="55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Payout levels are determined using linear interpolation for results falling between the three performance levels.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Strategic Objective Performance</w:t>
      </w:r>
    </w:p>
    <w:p>
      <w:pPr>
        <w:spacing w:after="0" w:line="324" w:lineRule="exact"/>
        <w:rPr>
          <w:sz w:val="20"/>
          <w:szCs w:val="20"/>
          <w:color w:val="auto"/>
        </w:rPr>
      </w:pPr>
    </w:p>
    <w:p>
      <w:pPr>
        <w:ind w:right="20"/>
        <w:spacing w:after="0" w:line="391" w:lineRule="auto"/>
        <w:rPr>
          <w:sz w:val="20"/>
          <w:szCs w:val="20"/>
          <w:color w:val="auto"/>
        </w:rPr>
      </w:pPr>
      <w:r>
        <w:rPr>
          <w:rFonts w:ascii="Times New Roman" w:cs="Times New Roman" w:eastAsia="Times New Roman" w:hAnsi="Times New Roman"/>
          <w:sz w:val="18"/>
          <w:szCs w:val="18"/>
          <w:color w:val="auto"/>
        </w:rPr>
        <w:t>Payouts for performance against the Corporate Strategic Objectives will be based on performance against the following objectives, with underlying success measures to be provided by your manager:</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Complete Update to Strategic Plan</w:t>
      </w:r>
    </w:p>
    <w:p>
      <w:pPr>
        <w:spacing w:after="0" w:line="103" w:lineRule="exact"/>
        <w:rPr>
          <w:sz w:val="20"/>
          <w:szCs w:val="20"/>
          <w:color w:val="auto"/>
        </w:rPr>
      </w:pPr>
    </w:p>
    <w:p>
      <w:pPr>
        <w:ind w:left="660" w:right="20" w:hanging="324"/>
        <w:spacing w:after="0" w:line="360" w:lineRule="auto"/>
        <w:rPr>
          <w:sz w:val="20"/>
          <w:szCs w:val="20"/>
          <w:color w:val="auto"/>
        </w:rPr>
      </w:pPr>
      <w:r>
        <w:rPr>
          <w:rFonts w:ascii="Times New Roman" w:cs="Times New Roman" w:eastAsia="Times New Roman" w:hAnsi="Times New Roman"/>
          <w:sz w:val="18"/>
          <w:szCs w:val="18"/>
          <w:color w:val="auto"/>
        </w:rPr>
        <w:t>– Increase Brand Desirability: Implement a robust marketing program, recognize and reward her, leverage known brands, hyper-focused brand clarity and alignment in key functional areas, and drive retail traffic</w:t>
      </w:r>
    </w:p>
    <w:p>
      <w:pPr>
        <w:ind w:left="340"/>
        <w:spacing w:after="0"/>
        <w:rPr>
          <w:sz w:val="20"/>
          <w:szCs w:val="20"/>
          <w:color w:val="auto"/>
        </w:rPr>
      </w:pPr>
      <w:r>
        <w:rPr>
          <w:rFonts w:ascii="Times New Roman" w:cs="Times New Roman" w:eastAsia="Times New Roman" w:hAnsi="Times New Roman"/>
          <w:sz w:val="18"/>
          <w:szCs w:val="18"/>
          <w:color w:val="auto"/>
        </w:rPr>
        <w:t>–   Increase Product Desirability: Increase customer wallet by 2.7% for FY18</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Optimize Platform Distribution: Increase total direct conversion 900 basis points.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Leverage Core Expense: Improve SG&amp;A and COGS and optimize the store network to improve the Company’s cost structure.</w:t>
      </w:r>
    </w:p>
    <w:p>
      <w:pPr>
        <w:spacing w:after="0" w:line="103" w:lineRule="exact"/>
        <w:rPr>
          <w:sz w:val="20"/>
          <w:szCs w:val="20"/>
          <w:color w:val="auto"/>
        </w:rPr>
      </w:pPr>
    </w:p>
    <w:p>
      <w:pPr>
        <w:ind w:left="660" w:hanging="324"/>
        <w:spacing w:after="0" w:line="391" w:lineRule="auto"/>
        <w:rPr>
          <w:sz w:val="20"/>
          <w:szCs w:val="20"/>
          <w:color w:val="auto"/>
        </w:rPr>
      </w:pPr>
      <w:r>
        <w:rPr>
          <w:rFonts w:ascii="Times New Roman" w:cs="Times New Roman" w:eastAsia="Times New Roman" w:hAnsi="Times New Roman"/>
          <w:sz w:val="18"/>
          <w:szCs w:val="18"/>
          <w:color w:val="auto"/>
        </w:rPr>
        <w:t>– Power Performance Through People: Build a world-class team of empowered and high-performance individuals and teams, who rally around our brand and core values and are passionate about both winning together and bringing women together through the secret language of beauty</w:t>
      </w:r>
    </w:p>
    <w:p>
      <w:pPr>
        <w:spacing w:after="0" w:line="55"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Assuming threshold levels are met, the actual payout levels range from 0%-150% of target. The Compensation Committee of the Board of Directors of the Company (the “Compensation Committee”) shall determine the level of performance achieved against the Corporate Objectives in its sole discretion.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levels for achievement of the Corporate Strategic Objectives range from 0%-150% of that portion of incentive tied to Corporate Strategic Objectives.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Financial Goals</w:t>
      </w:r>
    </w:p>
    <w:p>
      <w:pPr>
        <w:spacing w:after="0" w:line="324" w:lineRule="exact"/>
        <w:rPr>
          <w:sz w:val="20"/>
          <w:szCs w:val="20"/>
          <w:color w:val="auto"/>
        </w:rPr>
      </w:pPr>
    </w:p>
    <w:p>
      <w:pPr>
        <w:ind w:right="520"/>
        <w:spacing w:after="0" w:line="391" w:lineRule="auto"/>
        <w:rPr>
          <w:sz w:val="20"/>
          <w:szCs w:val="20"/>
          <w:color w:val="auto"/>
        </w:rPr>
      </w:pPr>
      <w:r>
        <w:rPr>
          <w:rFonts w:ascii="Times New Roman" w:cs="Times New Roman" w:eastAsia="Times New Roman" w:hAnsi="Times New Roman"/>
          <w:sz w:val="18"/>
          <w:szCs w:val="18"/>
          <w:color w:val="auto"/>
        </w:rPr>
        <w:t>Payouts for performance against the Individual Financial Goals will be based on a Participant’s overall achievement of personal financial objectives, as determined by the Participant’s supervisor and approved by the Compensation Committee.</w:t>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Payout levels for achievement of the Individual Financial Goals range from 0%-150% of that portion of incentive tied to the Individual Financial Goals.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Guidelines - Provide additional information regarding how the Annual Plan will be administered.</w:t>
      </w:r>
    </w:p>
    <w:p>
      <w:pPr>
        <w:spacing w:after="0" w:line="283" w:lineRule="exact"/>
        <w:rPr>
          <w:sz w:val="20"/>
          <w:szCs w:val="20"/>
          <w:color w:val="auto"/>
        </w:rPr>
      </w:pPr>
    </w:p>
    <w:p>
      <w:pPr>
        <w:jc w:val="both"/>
        <w:ind w:left="340" w:hanging="332"/>
        <w:spacing w:after="0" w:line="3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direct reports at a level of Executive Vice President and certain designated CEO direct reports at the Vice President Level 2 are eligible to participate in this Annual Plan. Any question regarding eligibility for participation in this Annual Plan shall be resolved by the Compensation Committee, in the Committee’s sole discretion.</w:t>
      </w:r>
    </w:p>
    <w:p>
      <w:pPr>
        <w:ind w:left="340" w:hanging="332"/>
        <w:spacing w:after="0" w:line="3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this Annual Plan neither gives any employee the right to be retained as an employee nor limits the Company's right to discharge or discipline any employee.</w:t>
      </w:r>
    </w:p>
    <w:p>
      <w:pPr>
        <w:ind w:left="340" w:hanging="332"/>
        <w:spacing w:after="0" w:line="3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payout of any bonus under this Plan is subject to the final approval of the Chief Financial Officer, Vice President, Human Resources and Compensation Committee.</w:t>
      </w:r>
    </w:p>
    <w:p>
      <w:pPr>
        <w:ind w:left="340" w:right="20" w:hanging="332"/>
        <w:spacing w:after="0" w:line="3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placed on a Performance Improvement Plan within six months of when payment is made under this Plan will not be eligible for such payment.</w:t>
      </w:r>
    </w:p>
    <w:p>
      <w:pPr>
        <w:jc w:val="both"/>
        <w:ind w:left="340" w:hanging="332"/>
        <w:spacing w:after="0" w:line="3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1300" w:hanging="320"/>
        <w:spacing w:after="0" w:line="360" w:lineRule="auto"/>
        <w:tabs>
          <w:tab w:leader="none" w:pos="13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 w:lineRule="exact"/>
        <w:rPr>
          <w:rFonts w:ascii="Times New Roman" w:cs="Times New Roman" w:eastAsia="Times New Roman" w:hAnsi="Times New Roman"/>
          <w:sz w:val="18"/>
          <w:szCs w:val="18"/>
          <w:color w:val="auto"/>
        </w:rPr>
      </w:pPr>
    </w:p>
    <w:p>
      <w:pPr>
        <w:ind w:left="1300" w:hanging="320"/>
        <w:spacing w:after="0" w:line="360" w:lineRule="auto"/>
        <w:tabs>
          <w:tab w:leader="none" w:pos="13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jc w:val="both"/>
        <w:ind w:left="660" w:hanging="652"/>
        <w:spacing w:after="0" w:line="3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1" w:lineRule="exact"/>
        <w:rPr>
          <w:rFonts w:ascii="Times New Roman" w:cs="Times New Roman" w:eastAsia="Times New Roman" w:hAnsi="Times New Roman"/>
          <w:sz w:val="18"/>
          <w:szCs w:val="18"/>
          <w:color w:val="auto"/>
        </w:rPr>
      </w:pPr>
    </w:p>
    <w:p>
      <w:pPr>
        <w:jc w:val="both"/>
        <w:ind w:left="980" w:right="20" w:hanging="648"/>
        <w:spacing w:after="0" w:line="37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In the event a Participant's Service terminates as a result of death or Disability prior to the date on which the incentive payment is made, the outstanding Award shall be treated as earned at the target level (if such Service terminated prior to the end of the Performance Period), or at the actual level (if such Service terminated</w:t>
      </w:r>
    </w:p>
    <w:p>
      <w:pPr>
        <w:sectPr>
          <w:pgSz w:w="11900" w:h="16838" w:orient="portrait"/>
          <w:cols w:equalWidth="0" w:num="1">
            <w:col w:w="11420"/>
          </w:cols>
          <w:pgMar w:left="240" w:top="634" w:right="239" w:bottom="1440" w:gutter="0" w:footer="0" w:header="0"/>
        </w:sectPr>
      </w:pPr>
    </w:p>
    <w:bookmarkStart w:id="36" w:name="page37"/>
    <w:bookmarkEnd w:id="36"/>
    <w:p>
      <w:pPr>
        <w:ind w:left="972"/>
        <w:spacing w:after="0" w:line="407" w:lineRule="auto"/>
        <w:rPr>
          <w:sz w:val="20"/>
          <w:szCs w:val="20"/>
          <w:color w:val="auto"/>
        </w:rPr>
      </w:pPr>
      <w:r>
        <w:rPr>
          <w:rFonts w:ascii="Times New Roman" w:cs="Times New Roman" w:eastAsia="Times New Roman" w:hAnsi="Times New Roman"/>
          <w:sz w:val="18"/>
          <w:szCs w:val="18"/>
          <w:color w:val="auto"/>
        </w:rPr>
        <w:t>after the Performance Period and prior to the payment date), with any such earned Awards becoming fully vested and paid out as provided in section 8, below.</w:t>
      </w:r>
    </w:p>
    <w:p>
      <w:pPr>
        <w:jc w:val="both"/>
        <w:ind w:left="972" w:hanging="648"/>
        <w:spacing w:after="0" w:line="360" w:lineRule="auto"/>
        <w:tabs>
          <w:tab w:leader="none" w:pos="97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jc w:val="both"/>
        <w:ind w:left="652" w:hanging="652"/>
        <w:spacing w:after="0" w:line="360"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Participants will receive an award that is prorated based on Base Salary earned during the Performance Period.</w:t>
      </w:r>
    </w:p>
    <w:p>
      <w:pPr>
        <w:spacing w:after="0" w:line="103" w:lineRule="exact"/>
        <w:rPr>
          <w:rFonts w:ascii="Times New Roman" w:cs="Times New Roman" w:eastAsia="Times New Roman" w:hAnsi="Times New Roman"/>
          <w:sz w:val="18"/>
          <w:szCs w:val="18"/>
          <w:color w:val="auto"/>
        </w:rPr>
      </w:pPr>
    </w:p>
    <w:p>
      <w:pPr>
        <w:ind w:left="652" w:hanging="652"/>
        <w:spacing w:after="0" w:line="360"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Participant joins the Company at any time during the final three fiscal months of the Performance Period, such participant will not be eligible to participate in this Plan.</w:t>
      </w: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goal attainment calculations will follow normal rounding guidelines (i.e., 93.1% to 93.49% = 93%; 93.5% to 93.9% = 94%).</w:t>
      </w:r>
    </w:p>
    <w:p>
      <w:pPr>
        <w:spacing w:after="0" w:line="103" w:lineRule="exact"/>
        <w:rPr>
          <w:rFonts w:ascii="Times New Roman" w:cs="Times New Roman" w:eastAsia="Times New Roman" w:hAnsi="Times New Roman"/>
          <w:sz w:val="18"/>
          <w:szCs w:val="18"/>
          <w:color w:val="auto"/>
        </w:rPr>
      </w:pPr>
    </w:p>
    <w:p>
      <w:pPr>
        <w:ind w:left="652" w:hanging="652"/>
        <w:spacing w:after="0" w:line="360"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ind w:left="652" w:right="20" w:hanging="652"/>
        <w:spacing w:after="0" w:line="360"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ind w:left="652" w:hanging="652"/>
        <w:spacing w:after="0" w:line="360" w:lineRule="auto"/>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computation required by this Annual Plan will be subject to review by third-party auditors, and by the Compensation Committee.</w:t>
      </w:r>
    </w:p>
    <w:p>
      <w:pPr>
        <w:ind w:left="652" w:hanging="652"/>
        <w:spacing w:after="0"/>
        <w:tabs>
          <w:tab w:leader="none" w:pos="6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determinations, and actions regarding plan administration shall be made by the Compensation Committee.</w:t>
      </w:r>
    </w:p>
    <w:p>
      <w:pPr>
        <w:sectPr>
          <w:pgSz w:w="11900" w:h="16838" w:orient="portrait"/>
          <w:cols w:equalWidth="0" w:num="1">
            <w:col w:w="11412"/>
          </w:cols>
          <w:pgMar w:left="248" w:top="661" w:right="239" w:bottom="1440" w:gutter="0" w:footer="0" w:header="0"/>
        </w:sectPr>
      </w:pPr>
    </w:p>
    <w:bookmarkStart w:id="37" w:name="page38"/>
    <w:bookmarkEnd w:id="37"/>
    <w:p>
      <w:pPr>
        <w:jc w:val="both"/>
        <w:ind w:left="652"/>
        <w:spacing w:after="0" w:line="416" w:lineRule="auto"/>
        <w:rPr>
          <w:sz w:val="20"/>
          <w:szCs w:val="20"/>
          <w:color w:val="auto"/>
        </w:rPr>
      </w:pPr>
      <w:r>
        <w:rPr>
          <w:rFonts w:ascii="Times New Roman" w:cs="Times New Roman" w:eastAsia="Times New Roman" w:hAnsi="Times New Roman"/>
          <w:sz w:val="18"/>
          <w:szCs w:val="18"/>
          <w:color w:val="auto"/>
        </w:rPr>
        <w:t>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2" w:lineRule="exact"/>
        <w:rPr>
          <w:sz w:val="20"/>
          <w:szCs w:val="20"/>
          <w:color w:val="auto"/>
        </w:rPr>
      </w:pPr>
    </w:p>
    <w:p>
      <w:pPr>
        <w:ind w:left="652" w:hanging="652"/>
        <w:spacing w:after="0" w:line="360"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the intent of the Company to continue this Annual Plan as stated herein, the Company reserves the right to amend or discontinue the plan at any time in its sole discretion.</w:t>
      </w:r>
    </w:p>
    <w:p>
      <w:pPr>
        <w:ind w:left="652" w:hanging="652"/>
        <w:spacing w:after="0" w:line="360"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ind w:left="652" w:hanging="652"/>
        <w:spacing w:after="0" w:line="391" w:lineRule="auto"/>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412"/>
          </w:cols>
          <w:pgMar w:left="248" w:top="661"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i w:val="1"/>
          <w:iCs w:val="1"/>
          <w:color w:val="auto"/>
        </w:rPr>
        <w:t>Re:</w:t>
        <w:tab/>
        <w:t xml:space="preserve">Award Agreement - Grant of </w:t>
      </w:r>
      <w:r>
        <w:rPr>
          <w:rFonts w:ascii="Times New Roman" w:cs="Times New Roman" w:eastAsia="Times New Roman" w:hAnsi="Times New Roman"/>
          <w:sz w:val="18"/>
          <w:szCs w:val="18"/>
          <w:b w:val="1"/>
          <w:bCs w:val="1"/>
          <w:i w:val="1"/>
          <w:iCs w:val="1"/>
          <w:u w:val="single" w:color="auto"/>
          <w:color w:val="auto"/>
        </w:rPr>
        <w:t>Performance</w:t>
      </w:r>
      <w:r>
        <w:rPr>
          <w:rFonts w:ascii="Times New Roman" w:cs="Times New Roman" w:eastAsia="Times New Roman" w:hAnsi="Times New Roman"/>
          <w:sz w:val="18"/>
          <w:szCs w:val="18"/>
          <w:b w:val="1"/>
          <w:bCs w:val="1"/>
          <w:i w:val="1"/>
          <w:iCs w:val="1"/>
          <w:color w:val="auto"/>
        </w:rPr>
        <w:t xml:space="preserve">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____________,</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Times New Roman" w:cs="Times New Roman" w:eastAsia="Times New Roman" w:hAnsi="Times New Roman"/>
          <w:sz w:val="18"/>
          <w:szCs w:val="18"/>
          <w:b w:val="1"/>
          <w:bCs w:val="1"/>
          <w:color w:val="auto"/>
        </w:rPr>
        <w:t>you must electronically accept your grant no later than two weeks from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complete details of this grant are defined in the enclosed documents, a high-level summary of this Award is as follows:</w:t>
      </w:r>
    </w:p>
    <w:p>
      <w:pPr>
        <w:spacing w:after="0" w:line="383"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Type of Grant</w:t>
      </w:r>
      <w:r>
        <w:rPr>
          <w:sz w:val="20"/>
          <w:szCs w:val="20"/>
          <w:color w:val="auto"/>
        </w:rPr>
        <w:tab/>
      </w:r>
      <w:r>
        <w:rPr>
          <w:rFonts w:ascii="Times New Roman" w:cs="Times New Roman" w:eastAsia="Times New Roman" w:hAnsi="Times New Roman"/>
          <w:sz w:val="17"/>
          <w:szCs w:val="17"/>
          <w:color w:val="auto"/>
        </w:rPr>
        <w:t>Discretionary grant of Performance Units (“Performance RSUs”). This is a one-time, discretionary grant to reward you for</w:t>
      </w:r>
    </w:p>
    <w:p>
      <w:pPr>
        <w:spacing w:after="0" w:line="3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your continued contribution to the success of Vera Bradley.</w:t>
      </w:r>
    </w:p>
    <w:p>
      <w:pPr>
        <w:spacing w:after="0" w:line="162"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Number of Performance</w:t>
      </w:r>
      <w:r>
        <w:rPr>
          <w:sz w:val="20"/>
          <w:szCs w:val="20"/>
          <w:color w:val="auto"/>
        </w:rPr>
        <w:tab/>
      </w:r>
      <w:r>
        <w:rPr>
          <w:rFonts w:ascii="Times New Roman" w:cs="Times New Roman" w:eastAsia="Times New Roman" w:hAnsi="Times New Roman"/>
          <w:sz w:val="17"/>
          <w:szCs w:val="17"/>
          <w:b w:val="1"/>
          <w:bCs w:val="1"/>
          <w:color w:val="auto"/>
        </w:rPr>
        <w:t>[Insert XX]</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62"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Date of Grant of Award</w:t>
      </w:r>
      <w:r>
        <w:rPr>
          <w:sz w:val="20"/>
          <w:szCs w:val="20"/>
          <w:color w:val="auto"/>
        </w:rPr>
        <w:tab/>
      </w:r>
      <w:r>
        <w:rPr>
          <w:rFonts w:ascii="Times New Roman" w:cs="Times New Roman" w:eastAsia="Times New Roman" w:hAnsi="Times New Roman"/>
          <w:sz w:val="17"/>
          <w:szCs w:val="17"/>
          <w:b w:val="1"/>
          <w:bCs w:val="1"/>
          <w:color w:val="auto"/>
        </w:rPr>
        <w:t>[Insert XX]</w:t>
      </w:r>
    </w:p>
    <w:p>
      <w:pPr>
        <w:spacing w:after="0" w:line="185"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Performance Period</w:t>
      </w:r>
      <w:r>
        <w:rPr>
          <w:sz w:val="20"/>
          <w:szCs w:val="20"/>
          <w:color w:val="auto"/>
        </w:rPr>
        <w:tab/>
      </w:r>
      <w:r>
        <w:rPr>
          <w:rFonts w:ascii="Times New Roman" w:cs="Times New Roman" w:eastAsia="Times New Roman" w:hAnsi="Times New Roman"/>
          <w:sz w:val="17"/>
          <w:szCs w:val="17"/>
          <w:b w:val="1"/>
          <w:bCs w:val="1"/>
          <w:color w:val="auto"/>
        </w:rPr>
        <w:t>[Insert XX]</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Earning of Performance</w:t>
      </w:r>
    </w:p>
    <w:p>
      <w:pPr>
        <w:spacing w:after="0" w:line="31" w:lineRule="exact"/>
        <w:rPr>
          <w:sz w:val="20"/>
          <w:szCs w:val="20"/>
          <w:color w:val="auto"/>
        </w:rPr>
      </w:pPr>
    </w:p>
    <w:p>
      <w:pPr>
        <w:jc w:val="both"/>
        <w:ind w:left="2320" w:right="20" w:hanging="2279"/>
        <w:spacing w:after="0" w:line="250" w:lineRule="auto"/>
        <w:tabs>
          <w:tab w:leader="none" w:pos="2300" w:val="left"/>
        </w:tabs>
        <w:rPr>
          <w:sz w:val="20"/>
          <w:szCs w:val="20"/>
          <w:color w:val="auto"/>
        </w:rPr>
      </w:pPr>
      <w:r>
        <w:rPr>
          <w:rFonts w:ascii="Times New Roman" w:cs="Times New Roman" w:eastAsia="Times New Roman" w:hAnsi="Times New Roman"/>
          <w:sz w:val="18"/>
          <w:szCs w:val="18"/>
          <w:b w:val="1"/>
          <w:bCs w:val="1"/>
          <w:color w:val="auto"/>
        </w:rPr>
        <w:t>RSUs</w:t>
      </w:r>
      <w:r>
        <w:rPr>
          <w:sz w:val="20"/>
          <w:szCs w:val="20"/>
          <w:color w:val="auto"/>
        </w:rPr>
        <w:tab/>
      </w:r>
      <w:r>
        <w:rPr>
          <w:rFonts w:ascii="Times New Roman" w:cs="Times New Roman" w:eastAsia="Times New Roman" w:hAnsi="Times New Roman"/>
          <w:sz w:val="18"/>
          <w:szCs w:val="18"/>
          <w:color w:val="auto"/>
        </w:rPr>
        <w:t>The Performance RSUs will be divided into three equal tranches of 1/3 each (each a separate "Tranche") of the total Award and allocated to each of the three fiscal years of the Company ending during the Performance Period, with each such fiscal year being considered a performance year ("Performance Year"). Importantly, each Tranche of Performance RSUs must be "</w:t>
      </w:r>
      <w:r>
        <w:rPr>
          <w:rFonts w:ascii="Times New Roman" w:cs="Times New Roman" w:eastAsia="Times New Roman" w:hAnsi="Times New Roman"/>
          <w:sz w:val="18"/>
          <w:szCs w:val="18"/>
          <w:b w:val="1"/>
          <w:bCs w:val="1"/>
          <w:u w:val="single" w:color="auto"/>
          <w:color w:val="auto"/>
        </w:rPr>
        <w:t>earned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vested</w:t>
      </w:r>
      <w:r>
        <w:rPr>
          <w:rFonts w:ascii="Times New Roman" w:cs="Times New Roman" w:eastAsia="Times New Roman" w:hAnsi="Times New Roman"/>
          <w:sz w:val="18"/>
          <w:szCs w:val="18"/>
          <w:color w:val="auto"/>
        </w:rPr>
        <w:t>" before it will be settled in the form of Shares of the Company. Except as otherwise provided herein,</w:t>
      </w:r>
    </w:p>
    <w:p>
      <w:pPr>
        <w:spacing w:after="0" w:line="2" w:lineRule="exact"/>
        <w:rPr>
          <w:sz w:val="20"/>
          <w:szCs w:val="20"/>
          <w:color w:val="auto"/>
        </w:rPr>
      </w:pPr>
    </w:p>
    <w:p>
      <w:pPr>
        <w:jc w:val="both"/>
        <w:ind w:left="2320" w:right="40" w:hanging="3"/>
        <w:spacing w:after="0" w:line="253" w:lineRule="auto"/>
        <w:tabs>
          <w:tab w:leader="none" w:pos="25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Tranche of Performance RSUs will be deemed </w:t>
      </w:r>
      <w:r>
        <w:rPr>
          <w:rFonts w:ascii="Times New Roman" w:cs="Times New Roman" w:eastAsia="Times New Roman" w:hAnsi="Times New Roman"/>
          <w:sz w:val="18"/>
          <w:szCs w:val="18"/>
          <w:b w:val="1"/>
          <w:bCs w:val="1"/>
          <w:u w:val="single" w:color="auto"/>
          <w:color w:val="auto"/>
        </w:rPr>
        <w:t>earned</w:t>
      </w:r>
      <w:r>
        <w:rPr>
          <w:rFonts w:ascii="Times New Roman" w:cs="Times New Roman" w:eastAsia="Times New Roman" w:hAnsi="Times New Roman"/>
          <w:sz w:val="18"/>
          <w:szCs w:val="18"/>
          <w:color w:val="auto"/>
        </w:rPr>
        <w:t xml:space="preserve"> only if the Earnings Per Share (as defined in the </w:t>
      </w:r>
      <w:r>
        <w:rPr>
          <w:rFonts w:ascii="Times New Roman" w:cs="Times New Roman" w:eastAsia="Times New Roman" w:hAnsi="Times New Roman"/>
          <w:sz w:val="18"/>
          <w:szCs w:val="18"/>
          <w:b w:val="1"/>
          <w:bCs w:val="1"/>
          <w:color w:val="auto"/>
        </w:rPr>
        <w:t>[Insert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XX] </w:t>
      </w:r>
      <w:r>
        <w:rPr>
          <w:rFonts w:ascii="Times New Roman" w:cs="Times New Roman" w:eastAsia="Times New Roman" w:hAnsi="Times New Roman"/>
          <w:sz w:val="18"/>
          <w:szCs w:val="18"/>
          <w:color w:val="auto"/>
        </w:rPr>
        <w:t>Restricted Stock Unit/Performance Unit Terms and Conditions) of the Company for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Year</w:t>
      </w:r>
      <w:r>
        <w:rPr>
          <w:rFonts w:ascii="Times New Roman" w:cs="Times New Roman" w:eastAsia="Times New Roman" w:hAnsi="Times New Roman"/>
          <w:sz w:val="18"/>
          <w:szCs w:val="18"/>
          <w:color w:val="auto"/>
        </w:rPr>
        <w:t xml:space="preserve"> meets or exceeds the threshold level established by the Compensation Committee for such Performance Year, and (ii) each Tranche of Performance RSUs will be deemed </w:t>
      </w:r>
      <w:r>
        <w:rPr>
          <w:rFonts w:ascii="Times New Roman" w:cs="Times New Roman" w:eastAsia="Times New Roman" w:hAnsi="Times New Roman"/>
          <w:sz w:val="18"/>
          <w:szCs w:val="18"/>
          <w:b w:val="1"/>
          <w:bCs w:val="1"/>
          <w:u w:val="single" w:color="auto"/>
          <w:color w:val="auto"/>
        </w:rPr>
        <w:t>vested</w:t>
      </w:r>
      <w:r>
        <w:rPr>
          <w:rFonts w:ascii="Times New Roman" w:cs="Times New Roman" w:eastAsia="Times New Roman" w:hAnsi="Times New Roman"/>
          <w:sz w:val="18"/>
          <w:szCs w:val="18"/>
          <w:color w:val="auto"/>
        </w:rPr>
        <w:t xml:space="preserve"> only if you are continuously employed with the Company throughout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Performance Level Attainment</w:t>
      </w:r>
    </w:p>
    <w:p>
      <w:pPr>
        <w:spacing w:after="0" w:line="4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 of Target [Insert FYXX]</w:t>
      </w:r>
    </w:p>
    <w:p>
      <w:pPr>
        <w:spacing w:after="0" w:line="4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Performance Level Attainment</w:t>
      </w:r>
    </w:p>
    <w:p>
      <w:pPr>
        <w:spacing w:after="0" w:line="4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 of Target [Insert FYXX]</w:t>
      </w:r>
    </w:p>
    <w:p>
      <w:pPr>
        <w:spacing w:after="0" w:line="4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Performance Level Attainment</w:t>
      </w:r>
    </w:p>
    <w:p>
      <w:pPr>
        <w:spacing w:after="0" w:line="4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 of Target [Insert FYXX]</w:t>
      </w:r>
    </w:p>
    <w:p>
      <w:pPr>
        <w:spacing w:after="0" w:line="4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Payout level** for Tranche of</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Performance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Level* for each Tranche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60" w:type="dxa"/>
            <w:vAlign w:val="bottom"/>
          </w:tcPr>
          <w:p>
            <w:pPr>
              <w:spacing w:after="0"/>
              <w:rPr>
                <w:sz w:val="21"/>
                <w:szCs w:val="21"/>
                <w:color w:val="auto"/>
              </w:rPr>
            </w:pPr>
          </w:p>
        </w:tc>
        <w:tc>
          <w:tcPr>
            <w:tcW w:w="10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Excellence</w:t>
            </w:r>
          </w:p>
        </w:tc>
      </w:tr>
      <w:tr>
        <w:trPr>
          <w:trHeight w:val="20"/>
        </w:trPr>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60" w:type="dxa"/>
            <w:vAlign w:val="bottom"/>
          </w:tcPr>
          <w:p>
            <w:pPr>
              <w:spacing w:after="0"/>
              <w:rPr>
                <w:sz w:val="24"/>
                <w:szCs w:val="24"/>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0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[Insert XX]</w:t>
            </w:r>
          </w:p>
        </w:tc>
      </w:tr>
      <w:tr>
        <w:trPr>
          <w:trHeight w:val="486"/>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60" w:type="dxa"/>
            <w:vAlign w:val="bottom"/>
          </w:tcPr>
          <w:p>
            <w:pPr>
              <w:spacing w:after="0"/>
              <w:rPr>
                <w:sz w:val="24"/>
                <w:szCs w:val="24"/>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0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[Insert XX]</w:t>
            </w:r>
          </w:p>
        </w:tc>
      </w:tr>
      <w:tr>
        <w:trPr>
          <w:trHeight w:val="486"/>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60" w:type="dxa"/>
            <w:vAlign w:val="bottom"/>
          </w:tcPr>
          <w:p>
            <w:pPr>
              <w:spacing w:after="0"/>
              <w:rPr>
                <w:sz w:val="24"/>
                <w:szCs w:val="24"/>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0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[Insert XX]</w:t>
            </w:r>
          </w:p>
        </w:tc>
      </w:tr>
      <w:tr>
        <w:trPr>
          <w:trHeight w:val="486"/>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60" w:type="dxa"/>
            <w:vAlign w:val="bottom"/>
          </w:tcPr>
          <w:p>
            <w:pPr>
              <w:spacing w:after="0"/>
              <w:rPr>
                <w:sz w:val="24"/>
                <w:szCs w:val="24"/>
                <w:color w:val="auto"/>
              </w:rPr>
            </w:pPr>
          </w:p>
        </w:tc>
        <w:tc>
          <w:tcPr>
            <w:tcW w:w="3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[Insert XX]</w:t>
            </w:r>
          </w:p>
        </w:tc>
        <w:tc>
          <w:tcPr>
            <w:tcW w:w="10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[Insert XX]</w:t>
            </w:r>
          </w:p>
        </w:tc>
      </w:tr>
    </w:tbl>
    <w:p>
      <w:pPr>
        <w:spacing w:after="0" w:line="264" w:lineRule="exact"/>
        <w:rPr>
          <w:sz w:val="20"/>
          <w:szCs w:val="20"/>
          <w:color w:val="auto"/>
        </w:rPr>
      </w:pPr>
    </w:p>
    <w:p>
      <w:pPr>
        <w:sectPr>
          <w:pgSz w:w="11900" w:h="16838" w:orient="portrait"/>
          <w:cols w:equalWidth="0" w:num="2">
            <w:col w:w="4760" w:space="720"/>
            <w:col w:w="5940"/>
          </w:cols>
          <w:pgMar w:left="240" w:top="576" w:right="239" w:bottom="1440" w:gutter="0" w:footer="0" w:header="0"/>
          <w:type w:val="continuous"/>
        </w:sectPr>
      </w:pPr>
    </w:p>
    <w:p>
      <w:pPr>
        <w:ind w:left="2300" w:right="40" w:hanging="10"/>
        <w:spacing w:after="0" w:line="261" w:lineRule="auto"/>
        <w:tabs>
          <w:tab w:leader="none" w:pos="24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w:t>
      </w:r>
      <w:r>
        <w:rPr>
          <w:rFonts w:ascii="Times New Roman" w:cs="Times New Roman" w:eastAsia="Times New Roman" w:hAnsi="Times New Roman"/>
          <w:sz w:val="18"/>
          <w:szCs w:val="18"/>
          <w:b w:val="1"/>
          <w:bCs w:val="1"/>
          <w:color w:val="auto"/>
        </w:rPr>
        <w:t>[Insert XX]</w:t>
      </w:r>
      <w:r>
        <w:rPr>
          <w:rFonts w:ascii="Times New Roman" w:cs="Times New Roman" w:eastAsia="Times New Roman" w:hAnsi="Times New Roman"/>
          <w:sz w:val="18"/>
          <w:szCs w:val="18"/>
          <w:color w:val="auto"/>
        </w:rPr>
        <w:t>% of the "Target" (for performance levels at or above the "Excellence" level).</w:t>
      </w:r>
    </w:p>
    <w:p>
      <w:pPr>
        <w:spacing w:after="0" w:line="140" w:lineRule="exact"/>
        <w:rPr>
          <w:sz w:val="20"/>
          <w:szCs w:val="20"/>
          <w:color w:val="auto"/>
        </w:rPr>
      </w:pPr>
    </w:p>
    <w:p>
      <w:pPr>
        <w:ind w:left="2300" w:right="80" w:hanging="10"/>
        <w:spacing w:after="0" w:line="313" w:lineRule="auto"/>
        <w:tabs>
          <w:tab w:leader="none" w:pos="25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Payout levels for each Tranche of Performance RSUs are based on the attained percentage of the target Earnings Per Share for each respective Performance Year (using linear interpolation for results falling between the three performance levels).</w:t>
      </w:r>
    </w:p>
    <w:p>
      <w:pPr>
        <w:sectPr>
          <w:pgSz w:w="11900" w:h="16838" w:orient="portrait"/>
          <w:cols w:equalWidth="0" w:num="1">
            <w:col w:w="11420"/>
          </w:cols>
          <w:pgMar w:left="240" w:top="576" w:right="239" w:bottom="1440" w:gutter="0" w:footer="0" w:header="0"/>
          <w:type w:val="continuous"/>
        </w:sectPr>
      </w:pPr>
    </w:p>
    <w:bookmarkStart w:id="39" w:name="page40"/>
    <w:bookmarkEnd w:id="39"/>
    <w:p>
      <w:pPr>
        <w:jc w:val="both"/>
        <w:ind w:left="2200" w:right="20" w:hanging="2173"/>
        <w:spacing w:after="0" w:line="262" w:lineRule="auto"/>
        <w:tabs>
          <w:tab w:leader="none" w:pos="2180" w:val="left"/>
        </w:tabs>
        <w:rPr>
          <w:sz w:val="20"/>
          <w:szCs w:val="20"/>
          <w:color w:val="auto"/>
        </w:rPr>
      </w:pPr>
      <w:r>
        <w:rPr>
          <w:rFonts w:ascii="Times New Roman" w:cs="Times New Roman" w:eastAsia="Times New Roman" w:hAnsi="Times New Roman"/>
          <w:sz w:val="18"/>
          <w:szCs w:val="18"/>
          <w:b w:val="1"/>
          <w:bCs w:val="1"/>
          <w:color w:val="auto"/>
        </w:rPr>
        <w:t>Termination of Service</w:t>
      </w:r>
      <w:r>
        <w:rPr>
          <w:sz w:val="20"/>
          <w:szCs w:val="20"/>
          <w:color w:val="auto"/>
        </w:rPr>
        <w:tab/>
      </w:r>
      <w:r>
        <w:rPr>
          <w:rFonts w:ascii="Times New Roman" w:cs="Times New Roman" w:eastAsia="Times New Roman" w:hAnsi="Times New Roman"/>
          <w:sz w:val="18"/>
          <w:szCs w:val="18"/>
          <w:color w:val="auto"/>
        </w:rPr>
        <w:t>In general, should your Service with Vera Bradley be terminated prior to the last day of the Performance Period, all then outstanding Performance RSUs (whether or not one or more Tranches have been earned as a result of the Earnings per Share for such Performance Year) will be forfeited to the Company. However, the following provisions will apply if, during the Performance Period, you cease providing Services due to death, Disability or Retirement (and provided that you have not otherwise engaged in an act that would constitute Cause):</w:t>
      </w:r>
    </w:p>
    <w:p>
      <w:pPr>
        <w:spacing w:after="0" w:line="18" w:lineRule="exact"/>
        <w:rPr>
          <w:sz w:val="20"/>
          <w:szCs w:val="20"/>
          <w:color w:val="auto"/>
        </w:rPr>
      </w:pPr>
    </w:p>
    <w:p>
      <w:pPr>
        <w:ind w:left="2660" w:right="20" w:firstLine="9"/>
        <w:spacing w:after="0" w:line="255" w:lineRule="auto"/>
        <w:tabs>
          <w:tab w:leader="none" w:pos="28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your Service with the Company terminates as a result of your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Disability during the Performance Period, (i) with respect to Performance Years that have been completed at the time of such death or Disability, each such Tranche shall be earned only to the extent of actual performance for such Performance Year, and (ii) with respect to Performance Years that have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been completed at the time of such death or Disability, each such Tranche shall be deemed to be earned based on the "Target" level of performance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"Disability" shall have the meaning assigned to such term in the 2010 Plan.</w:t>
      </w:r>
    </w:p>
    <w:p>
      <w:pPr>
        <w:spacing w:after="0" w:line="19" w:lineRule="exact"/>
        <w:rPr>
          <w:rFonts w:ascii="Times New Roman" w:cs="Times New Roman" w:eastAsia="Times New Roman" w:hAnsi="Times New Roman"/>
          <w:sz w:val="18"/>
          <w:szCs w:val="18"/>
          <w:color w:val="auto"/>
        </w:rPr>
      </w:pPr>
    </w:p>
    <w:p>
      <w:pPr>
        <w:ind w:left="2660" w:right="20" w:firstLine="9"/>
        <w:spacing w:after="0" w:line="255" w:lineRule="auto"/>
        <w:tabs>
          <w:tab w:leader="none" w:pos="28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your Service terminates as a result of your Retirement during the Performance Period,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of outstanding Awards shall be treated as earned (i) with respect to Performance Years that have been completed at the time of such Retirement, each such Tranche shall be earned and vested only to the extent of actual performance for such Performance Year, and (ii) with respect to Performance Years that have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been completed at the time of such Retirement, each such Tranche shall be deemed to be earned based on the actual performance level attained for such Performance Year, but prorated based on the number of full fiscal months (in which you provided Service throughout such month) during the Performance Period. Any such earned Awards shall become fully vested and paid out in Shares of Company stock pursuant to the settlement provisions below. For purposes of this Award Agreement, "Retirement" shall have the meaning assigned to such term in the 2010 Plan.</w:t>
      </w:r>
    </w:p>
    <w:p>
      <w:pPr>
        <w:spacing w:after="0" w:line="23" w:lineRule="exact"/>
        <w:rPr>
          <w:sz w:val="20"/>
          <w:szCs w:val="20"/>
          <w:color w:val="auto"/>
        </w:rPr>
      </w:pPr>
    </w:p>
    <w:p>
      <w:pPr>
        <w:ind w:left="2200" w:right="60"/>
        <w:spacing w:after="0" w:line="266" w:lineRule="auto"/>
        <w:rPr>
          <w:sz w:val="20"/>
          <w:szCs w:val="20"/>
          <w:color w:val="auto"/>
        </w:rPr>
      </w:pPr>
      <w:r>
        <w:rPr>
          <w:rFonts w:ascii="Times New Roman" w:cs="Times New Roman" w:eastAsia="Times New Roman" w:hAnsi="Times New Roman"/>
          <w:sz w:val="18"/>
          <w:szCs w:val="18"/>
          <w:color w:val="auto"/>
        </w:rPr>
        <w:t>If your Service with the Company shall terminate during the Performance Period for any reason other than death, Disability, or Retirement, all Performance RSUs granted hereunder (whether or not a Tranche was previously earned) shall be forfeited to the Company.</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Control</w:t>
            </w: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Notwithstanding anything to the contrary in this Award Agreement, in the event of the consummation of a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Company (and provided that you remain continuously employed with the Company until such Change in Control)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during the Performance Period, then each Tranche of outstanding Awards shall be treated as earned (i) with respect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Years that have been completed at the time of such Change in Control, such Tranche shall be earned and vested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only to the extent of actual performance for such Performance Year, and (ii) with respect to Performance Years that have</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9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not been completed at the time of such Change in Control, each such Tranche shall be deemed to be earned at the Target level,</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with any such earned Performance RSUs becoming fully vested. Performance RSUs payable upon a Change in Control shall be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immediately prior to the Change in Control in the form of one Share of Company stock for each vested Performance RSU.</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Partial Shares (along with any accumulated dividends) will be paid in cash at the same time the Shares are delivered.</w:t>
            </w:r>
          </w:p>
        </w:tc>
        <w:tc>
          <w:tcPr>
            <w:tcW w:w="0" w:type="dxa"/>
            <w:vAlign w:val="bottom"/>
          </w:tcPr>
          <w:p>
            <w:pPr>
              <w:spacing w:after="0"/>
              <w:rPr>
                <w:sz w:val="1"/>
                <w:szCs w:val="1"/>
                <w:color w:val="auto"/>
              </w:rPr>
            </w:pPr>
          </w:p>
        </w:tc>
      </w:tr>
      <w:tr>
        <w:trPr>
          <w:trHeight w:val="392"/>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Except as it applies to Tranches that are deemed to be earned at "Target" and become payable due to a Change in Control or</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9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termination of Service as a result of death or Disability, no Awards will become payable unless the Committee certifies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the performance goals in the Award Agreement have been attained with respect to the applicable Performance Year during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Performance Period in a manner that complies with Code Section 162(m) and the 2010 Plan. Any earned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will be paid in the form of one Share of Company stock for each earned whole Performance RSU. Delivery of the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will be made, including delivery with respect to a Disabled Participant, or to the estate of a deceased Participant, after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the end of the Performance Period and not later than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the third month following the end of the Performance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Shares will be credited to an account established for the benefit of the Participant with the Company's administrative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The Participant will have full legal and beneficial ownership with respect to the Shares at that time. Partial Shares (along</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any accumulated dividends) will be paid in cash at the same time the Shares are delivered.</w:t>
            </w:r>
          </w:p>
        </w:tc>
        <w:tc>
          <w:tcPr>
            <w:tcW w:w="0" w:type="dxa"/>
            <w:vAlign w:val="bottom"/>
          </w:tcPr>
          <w:p>
            <w:pPr>
              <w:spacing w:after="0"/>
              <w:rPr>
                <w:sz w:val="1"/>
                <w:szCs w:val="1"/>
                <w:color w:val="auto"/>
              </w:rPr>
            </w:pPr>
          </w:p>
        </w:tc>
      </w:tr>
      <w:tr>
        <w:trPr>
          <w:trHeight w:val="373"/>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You acknowledge and agree that the Company shall have the power and the right to deduct or withhold, an amount sufficient to</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satisfy federal, state, and local taxes (including your FICA obligation), domestic or foreign, required by law to be withheld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this Award.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Performance RSUs have been granted under and are governed by the terms and conditions of the Vera Bradley, Inc. 2010 Equity and Incentive Plan (the “2010 Plan”), as amended. The enclosed Statement of General Information and Availability of Information for the 2010 Plan forms part of a Section 10(a) prospectus covering securities that have been registered under the</w:t>
      </w:r>
    </w:p>
    <w:p>
      <w:pPr>
        <w:sectPr>
          <w:pgSz w:w="11900" w:h="16838" w:orient="portrait"/>
          <w:cols w:equalWidth="0" w:num="1">
            <w:col w:w="11400"/>
          </w:cols>
          <w:pgMar w:left="240" w:top="738" w:right="25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Securities Act of 1933, as amended. This document is also enclosed to provide further information and background. Any term capitalized herein but not defined will have the meaning set forth in the 2010 Plan.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Please see the enclosed Fiscal </w:t>
      </w:r>
      <w:r>
        <w:rPr>
          <w:rFonts w:ascii="Times New Roman" w:cs="Times New Roman" w:eastAsia="Times New Roman" w:hAnsi="Times New Roman"/>
          <w:sz w:val="18"/>
          <w:szCs w:val="18"/>
          <w:b w:val="1"/>
          <w:bCs w:val="1"/>
          <w:color w:val="auto"/>
        </w:rPr>
        <w:t>[Insert XX]</w:t>
      </w:r>
      <w:r>
        <w:rPr>
          <w:rFonts w:ascii="Times New Roman" w:cs="Times New Roman" w:eastAsia="Times New Roman" w:hAnsi="Times New Roman"/>
          <w:sz w:val="18"/>
          <w:szCs w:val="18"/>
          <w:color w:val="auto"/>
        </w:rPr>
        <w:t xml:space="preserve"> Long Term Incentive Restricted Stock Unit/Performance Unit Terms and Conditions for further information regarding your Award. It is very important that you keep these documents in a safe place because they describe your rights and responsibilities under the Performance Units and 2010 Plan and explain where and how to obtain other documents and information to which you are entitled.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Again, thank you for your continued contribution to the success of our organization! Your efforts are applauded and truly appreciated. If you have any questions regarding this discretionary grant, please contact Julie North, Vice President - Human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Wallstrom</w:t>
      </w:r>
    </w:p>
    <w:p>
      <w:pPr>
        <w:sectPr>
          <w:pgSz w:w="11900" w:h="16838" w:orient="portrait"/>
          <w:cols w:equalWidth="0" w:num="1">
            <w:col w:w="11420"/>
          </w:cols>
          <w:pgMar w:left="240" w:top="796"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 &amp; Acceptance of Award Agreement and Related Terms</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By your electronic acceptance of this grant and the signature of the Company’s representative (above) on this Award Agreement, you and the Company agree that this Award of Performance Units is granted under and governed by the terms and conditions of the 2010 Plan, the Fiscal </w:t>
      </w:r>
      <w:r>
        <w:rPr>
          <w:rFonts w:ascii="Times New Roman" w:cs="Times New Roman" w:eastAsia="Times New Roman" w:hAnsi="Times New Roman"/>
          <w:sz w:val="18"/>
          <w:szCs w:val="18"/>
          <w:b w:val="1"/>
          <w:bCs w:val="1"/>
          <w:color w:val="auto"/>
        </w:rPr>
        <w:t>[Insert XX]</w:t>
      </w:r>
      <w:r>
        <w:rPr>
          <w:rFonts w:ascii="Times New Roman" w:cs="Times New Roman" w:eastAsia="Times New Roman" w:hAnsi="Times New Roman"/>
          <w:sz w:val="18"/>
          <w:szCs w:val="18"/>
          <w:color w:val="auto"/>
        </w:rPr>
        <w:t xml:space="preserve"> Long Term Incentive Restricted Stock Unit/Performance Unit Terms and Conditions and this Award Agreement. You acknowledge that you have reviewed the 2010 Plan, Fiscal </w:t>
      </w:r>
      <w:r>
        <w:rPr>
          <w:rFonts w:ascii="Times New Roman" w:cs="Times New Roman" w:eastAsia="Times New Roman" w:hAnsi="Times New Roman"/>
          <w:sz w:val="18"/>
          <w:szCs w:val="18"/>
          <w:b w:val="1"/>
          <w:bCs w:val="1"/>
          <w:color w:val="auto"/>
        </w:rPr>
        <w:t>[Insert XX]</w:t>
      </w:r>
      <w:r>
        <w:rPr>
          <w:rFonts w:ascii="Times New Roman" w:cs="Times New Roman" w:eastAsia="Times New Roman" w:hAnsi="Times New Roman"/>
          <w:sz w:val="18"/>
          <w:szCs w:val="18"/>
          <w:color w:val="auto"/>
        </w:rPr>
        <w:t xml:space="preserve"> Long Term Incentive Restricted Stock Unit/Performance Unit Terms and Conditions, and this Award Agreement in their entirety, have had an opportunity to obtain the advice of counsel prior to executing this Award Agreement, and fully understand all provisions of the 2010 Plan, Fiscal </w:t>
      </w:r>
      <w:r>
        <w:rPr>
          <w:rFonts w:ascii="Times New Roman" w:cs="Times New Roman" w:eastAsia="Times New Roman" w:hAnsi="Times New Roman"/>
          <w:sz w:val="18"/>
          <w:szCs w:val="18"/>
          <w:b w:val="1"/>
          <w:bCs w:val="1"/>
          <w:color w:val="auto"/>
        </w:rPr>
        <w:t>[Insert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XX] </w:t>
      </w:r>
      <w:r>
        <w:rPr>
          <w:rFonts w:ascii="Times New Roman" w:cs="Times New Roman" w:eastAsia="Times New Roman" w:hAnsi="Times New Roman"/>
          <w:sz w:val="18"/>
          <w:szCs w:val="18"/>
          <w:color w:val="auto"/>
        </w:rPr>
        <w:t>Long Term Incentive Restricted Stock Unit/Performance Unit Terms and Conditions and this Award Agreement. Further, by your electronic 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this grant, you hereby agree to (i) accept as binding, conclusive and final all decisions or interpretations of the Committee upon any questions relating to the 2010 Plan, Fiscal </w:t>
      </w:r>
      <w:r>
        <w:rPr>
          <w:rFonts w:ascii="Times New Roman" w:cs="Times New Roman" w:eastAsia="Times New Roman" w:hAnsi="Times New Roman"/>
          <w:sz w:val="18"/>
          <w:szCs w:val="18"/>
          <w:b w:val="1"/>
          <w:bCs w:val="1"/>
          <w:color w:val="auto"/>
        </w:rPr>
        <w:t>[Insert XX]</w:t>
      </w:r>
      <w:r>
        <w:rPr>
          <w:rFonts w:ascii="Times New Roman" w:cs="Times New Roman" w:eastAsia="Times New Roman" w:hAnsi="Times New Roman"/>
          <w:sz w:val="18"/>
          <w:szCs w:val="18"/>
          <w:color w:val="auto"/>
        </w:rPr>
        <w:t xml:space="preserve"> Long Term Incentive Restricted Stock Unit/Performance Unit Terms and Conditions and this Award Agreement, and (ii) notify the Company upon any change in your residence address.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I/2785778.2</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June 7, 2017</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June 7, 2017</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Vice President - Interim Chief Financial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April 29, 2017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June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I, John Enwright, the Vice President – Interim Chief Financial Officer of Vera Bradley, Inc., certify that (i) the quarterly report on Form 10-Q for the fiscal quarter ended April 29, 2017 (the “Report”) fully complies with the requirements of Section 13(a) or 15(d) of the Securities Exchange Act of 1934, and</w:t>
      </w:r>
    </w:p>
    <w:p>
      <w:pPr>
        <w:spacing w:after="0" w:line="1" w:lineRule="exact"/>
        <w:rPr>
          <w:sz w:val="20"/>
          <w:szCs w:val="20"/>
          <w:color w:val="auto"/>
        </w:rPr>
      </w:pPr>
    </w:p>
    <w:p>
      <w:pPr>
        <w:ind w:right="80" w:firstLine="8"/>
        <w:spacing w:after="0" w:line="26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Vice President - Interim Chief Financial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June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lvl w:ilvl="1">
      <w:lvlJc w:val="left"/>
      <w:lvlText w:val="(%2)"/>
      <w:numFmt w:val="decimal"/>
      <w:start w:val="1"/>
    </w:lvl>
  </w:abstractNum>
  <w:abstractNum w:abstractNumId="5">
    <w:nsid w:val="6763845E"/>
    <w:multiLevelType w:val="hybridMultilevel"/>
    <w:lvl w:ilvl="0">
      <w:lvlJc w:val="left"/>
      <w:lvlText w:val="%1."/>
      <w:numFmt w:val="decimal"/>
      <w:start w:val="4"/>
    </w:lvl>
    <w:lvl w:ilvl="1">
      <w:lvlJc w:val="left"/>
      <w:lvlText w:val="%2"/>
      <w:numFmt w:val="decimal"/>
      <w:start w:val="1"/>
    </w:lvl>
  </w:abstractNum>
  <w:abstractNum w:abstractNumId="6">
    <w:nsid w:val="75A2A8D4"/>
    <w:multiLevelType w:val="hybridMultilevel"/>
    <w:lvl w:ilvl="0">
      <w:lvlJc w:val="left"/>
      <w:lvlText w:val="%1."/>
      <w:numFmt w:val="decimal"/>
      <w:start w:val="8"/>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0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0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decimal"/>
      <w:start w:val="3"/>
    </w:lvl>
  </w:abstractNum>
  <w:abstractNum w:abstractNumId="20">
    <w:nsid w:val="7C3DBD3D"/>
    <w:multiLevelType w:val="hybridMultilevel"/>
    <w:lvl w:ilvl="0">
      <w:lvlJc w:val="left"/>
      <w:lvlText w:val="(%1)"/>
      <w:numFmt w:val="lowerLetter"/>
      <w:start w:val="1"/>
    </w:lvl>
    <w:lvl w:ilvl="1">
      <w:lvlJc w:val="left"/>
      <w:lvlText w:val="(%2)"/>
      <w:numFmt w:val="lowerRoman"/>
      <w:start w:val="1"/>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decimal"/>
      <w:start w:val="5"/>
    </w:lvl>
  </w:abstractNum>
  <w:abstractNum w:abstractNumId="24">
    <w:nsid w:val="4516DDE9"/>
    <w:multiLevelType w:val="hybridMultilevel"/>
    <w:lvl w:ilvl="0">
      <w:lvlJc w:val="left"/>
      <w:lvlText w:val="%1."/>
      <w:numFmt w:val="decimal"/>
      <w:start w:val="6"/>
    </w:lvl>
  </w:abstractNum>
  <w:abstractNum w:abstractNumId="25">
    <w:nsid w:val="3006C83E"/>
    <w:multiLevelType w:val="hybridMultilevel"/>
    <w:lvl w:ilvl="0">
      <w:lvlJc w:val="left"/>
      <w:lvlText w:val="%1."/>
      <w:numFmt w:val="decimal"/>
      <w:start w:val="8"/>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10"/>
    </w:lvl>
  </w:abstractNum>
  <w:abstractNum w:abstractNumId="28">
    <w:nsid w:val="5577F8E1"/>
    <w:multiLevelType w:val="hybridMultilevel"/>
    <w:lvl w:ilvl="0">
      <w:lvlJc w:val="left"/>
      <w:lvlText w:val="%1."/>
      <w:numFmt w:val="decimal"/>
      <w:start w:val="16"/>
    </w:lvl>
  </w:abstractNum>
  <w:abstractNum w:abstractNumId="29">
    <w:nsid w:val="440BADFC"/>
    <w:multiLevelType w:val="hybridMultilevel"/>
    <w:lvl w:ilvl="0">
      <w:lvlJc w:val="left"/>
      <w:lvlText w:val="\endash "/>
      <w:numFmt w:val="bullet"/>
      <w:start w:val="1"/>
    </w:lvl>
  </w:abstractNum>
  <w:abstractNum w:abstractNumId="30">
    <w:nsid w:val="5072367"/>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Roman"/>
      <w:start w:val="2"/>
    </w:lvl>
  </w:abstractNum>
  <w:abstractNum w:abstractNumId="32">
    <w:nsid w:val="77465F01"/>
    <w:multiLevelType w:val="hybridMultilevel"/>
    <w:lvl w:ilvl="0">
      <w:lvlJc w:val="left"/>
      <w:lvlText w:val="%1."/>
      <w:numFmt w:val="decimal"/>
      <w:start w:val="7"/>
    </w:lvl>
    <w:lvl w:ilvl="1">
      <w:lvlJc w:val="left"/>
      <w:lvlText w:val="%2"/>
      <w:numFmt w:val="lowerRoman"/>
      <w:start w:val="1"/>
    </w:lvl>
  </w:abstractNum>
  <w:abstractNum w:abstractNumId="33">
    <w:nsid w:val="7724C67E"/>
    <w:multiLevelType w:val="hybridMultilevel"/>
    <w:lvl w:ilvl="0">
      <w:lvlJc w:val="left"/>
      <w:lvlText w:val="%1."/>
      <w:numFmt w:val="decimal"/>
      <w:start w:val="15"/>
    </w:lvl>
  </w:abstractNum>
  <w:abstractNum w:abstractNumId="34">
    <w:nsid w:val="5C482A97"/>
    <w:multiLevelType w:val="hybridMultilevel"/>
    <w:lvl w:ilvl="0">
      <w:lvlJc w:val="left"/>
      <w:lvlText w:val="(%1)"/>
      <w:numFmt w:val="lowerRoman"/>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Ÿ"/>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2019-12-29T06:07:38Z</dcterms:created>
  <dcterms:modified xsi:type="dcterms:W3CDTF">2019-12-29T06:07:38Z</dcterms:modified>
</cp:coreProperties>
</file>