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001-34918</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before="0" w:after="0"/>
        <w:jc w:val="center"/>
        <w:rPr/>
      </w:pPr>
      <w:r>
        <w:rPr/>
        <w:drawing>
          <wp:inline distT="0" distB="0" distL="0" distR="0">
            <wp:extent cx="14097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1428750"/>
                    </a:xfrm>
                    <a:prstGeom prst="rect">
                      <a:avLst/>
                    </a:prstGeom>
                  </pic:spPr>
                </pic:pic>
              </a:graphicData>
            </a:graphic>
          </wp:inline>
        </w:drawing>
      </w:r>
      <w:bookmarkStart w:id="0" w:name="i-1"/>
      <w:bookmarkEnd w:id="0"/>
    </w:p>
    <w:p>
      <w:pPr>
        <w:pStyle w:val="TextBody"/>
        <w:bidi w:val="0"/>
        <w:spacing w:lineRule="auto" w:line="288" w:before="180" w:after="283"/>
        <w:jc w:val="center"/>
        <w:rPr>
          <w:rFonts w:ascii="Times New Roman;serif" w:hAnsi="Times New Roman;serif"/>
          <w:b/>
          <w:color w:val="000000"/>
          <w:sz w:val="44"/>
        </w:rPr>
      </w:pPr>
      <w:r>
        <w:rPr>
          <w:rFonts w:ascii="Times New Roman;serif" w:hAnsi="Times New Roman;serif"/>
          <w:b/>
          <w:color w:val="000000"/>
          <w:sz w:val="44"/>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00" w:after="283"/>
        <w:jc w:val="center"/>
        <w:rPr/>
      </w:pPr>
      <w:r>
        <w:rPr>
          <w:color w:val="000000"/>
        </w:rPr>
        <w:t> </w:t>
      </w:r>
      <w:r>
        <w:rPr>
          <w:rFonts w:ascii="Times New Roman;serif" w:hAnsi="Times New Roman;serif"/>
          <w:b w:val="false"/>
          <w:color w:val="000000"/>
          <w:sz w:val="20"/>
        </w:rPr>
        <w:t>___________________________ </w:t>
      </w:r>
    </w:p>
    <w:p>
      <w:pPr>
        <w:pStyle w:val="TextBody"/>
        <w:bidi w:val="0"/>
        <w:spacing w:lineRule="auto" w:line="288" w:before="0" w:after="0"/>
        <w:jc w:val="left"/>
        <w:rPr>
          <w:color w:val="000000"/>
        </w:rPr>
      </w:pPr>
      <w:r>
        <w:rPr>
          <w:color w:val="000000"/>
        </w:rPr>
        <w:t> </w:t>
      </w:r>
    </w:p>
    <w:tbl>
      <w:tblPr>
        <w:tblW w:w="4736" w:type="dxa"/>
        <w:jc w:val="left"/>
        <w:tblInd w:w="0" w:type="dxa"/>
        <w:tblLayout w:type="fixed"/>
        <w:tblCellMar>
          <w:top w:w="28" w:type="dxa"/>
          <w:left w:w="28" w:type="dxa"/>
          <w:bottom w:w="28" w:type="dxa"/>
          <w:right w:w="28" w:type="dxa"/>
        </w:tblCellMar>
      </w:tblPr>
      <w:tblGrid>
        <w:gridCol w:w="1060"/>
        <w:gridCol w:w="927"/>
        <w:gridCol w:w="938"/>
        <w:gridCol w:w="109"/>
        <w:gridCol w:w="109"/>
        <w:gridCol w:w="109"/>
        <w:gridCol w:w="433"/>
        <w:gridCol w:w="433"/>
        <w:gridCol w:w="618"/>
      </w:tblGrid>
      <w:tr>
        <w:trPr/>
        <w:tc>
          <w:tcPr>
            <w:tcW w:w="10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27-2935063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12420 Stonebridge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Roanoke, 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46783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(877) 708-8372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 </w:t>
      </w:r>
    </w:p>
    <w:p>
      <w:pPr>
        <w:pStyle w:val="TextBody"/>
        <w:bidi w:val="0"/>
        <w:spacing w:lineRule="auto" w:line="417" w:before="18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46"/>
        <w:gridCol w:w="922"/>
        <w:gridCol w:w="927"/>
        <w:gridCol w:w="539"/>
        <w:gridCol w:w="539"/>
        <w:gridCol w:w="541"/>
        <w:gridCol w:w="1085"/>
        <w:gridCol w:w="1085"/>
        <w:gridCol w:w="1535"/>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VRA</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03"/>
        <w:gridCol w:w="794"/>
        <w:gridCol w:w="795"/>
        <w:gridCol w:w="141"/>
        <w:gridCol w:w="141"/>
        <w:gridCol w:w="141"/>
        <w:gridCol w:w="984"/>
        <w:gridCol w:w="984"/>
        <w:gridCol w:w="987"/>
        <w:gridCol w:w="141"/>
        <w:gridCol w:w="141"/>
        <w:gridCol w:w="141"/>
        <w:gridCol w:w="998"/>
        <w:gridCol w:w="998"/>
        <w:gridCol w:w="1003"/>
        <w:gridCol w:w="141"/>
        <w:gridCol w:w="141"/>
        <w:gridCol w:w="141"/>
        <w:gridCol w:w="141"/>
        <w:gridCol w:w="141"/>
        <w:gridCol w:w="208"/>
      </w:tblGrid>
      <w:tr>
        <w:trPr/>
        <w:tc>
          <w:tcPr>
            <w:tcW w:w="9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(Do not check if a smaller reporting company)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28,688,664 shares of its common stock outstanding as of September 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12"/>
        <w:gridCol w:w="441"/>
        <w:gridCol w:w="441"/>
        <w:gridCol w:w="2947"/>
        <w:gridCol w:w="2718"/>
        <w:gridCol w:w="2771"/>
        <w:gridCol w:w="109"/>
        <w:gridCol w:w="109"/>
        <w:gridCol w:w="157"/>
      </w:tblGrid>
      <w:tr>
        <w:trPr/>
        <w:tc>
          <w:tcPr>
            <w:tcW w:w="5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3">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6">
              <w:r>
                <w:rPr>
                  <w:rStyle w:val="InternetLink"/>
                  <w:rFonts w:ascii="Times New Roman;serif" w:hAnsi="Times New Roman;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9">
              <w:r>
                <w:rPr>
                  <w:rStyle w:val="InternetLink"/>
                  <w:rFonts w:ascii="Times New Roman;serif" w:hAnsi="Times New Roman;serif"/>
                  <w:b w:val="false"/>
                  <w:color w:val="000080"/>
                  <w:sz w:val="20"/>
                  <w:u w:val="single"/>
                </w:rPr>
                <w:t xml:space="preserve">Condensed Consolidated Balance Sheets as of </w:t>
              </w:r>
            </w:hyperlink>
            <w:hyperlink w:anchor="ifa9740e37ce44f75aa07d9d499e31014_19">
              <w:r>
                <w:rPr>
                  <w:rStyle w:val="InternetLink"/>
                  <w:rFonts w:ascii="Times New Roman;serif" w:hAnsi="Times New Roman;serif"/>
                  <w:b w:val="false"/>
                  <w:color w:val="000080"/>
                  <w:sz w:val="20"/>
                  <w:u w:val="single"/>
                </w:rPr>
                <w:t>August 1</w:t>
              </w:r>
            </w:hyperlink>
            <w:hyperlink w:anchor="ifa9740e37ce44f75aa07d9d499e31014_19">
              <w:r>
                <w:rPr>
                  <w:rStyle w:val="InternetLink"/>
                  <w:rFonts w:ascii="Times New Roman;serif" w:hAnsi="Times New Roman;serif"/>
                  <w:b w:val="false"/>
                  <w:color w:val="000080"/>
                  <w:sz w:val="20"/>
                  <w:u w:val="single"/>
                </w:rPr>
                <w:t>, 2026 and January 31, 2026</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19">
              <w:r>
                <w:rPr>
                  <w:rStyle w:val="InternetLink"/>
                  <w:rFonts w:ascii="Times New Roman;serif" w:hAnsi="Times New Roman;serif"/>
                  <w:b w:val="false"/>
                  <w:color w:val="0000FF"/>
                  <w:sz w:val="20"/>
                  <w:u w:val="single"/>
                </w:rPr>
                <w:t>4</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25">
              <w:r>
                <w:rPr>
                  <w:rStyle w:val="InternetLink"/>
                  <w:rFonts w:ascii="Times New Roman;serif" w:hAnsi="Times New Roman;serif"/>
                  <w:b w:val="false"/>
                  <w:color w:val="000080"/>
                  <w:sz w:val="20"/>
                  <w:u w:val="single"/>
                </w:rPr>
                <w:t>Condensed Consolidated Statements of Operations for the Thirteen</w:t>
              </w:r>
            </w:hyperlink>
            <w:hyperlink w:anchor="ifa9740e37ce44f75aa07d9d499e31014_25">
              <w:r>
                <w:rPr>
                  <w:rStyle w:val="InternetLink"/>
                  <w:rFonts w:ascii="Times New Roman;serif" w:hAnsi="Times New Roman;serif"/>
                  <w:b w:val="false"/>
                  <w:color w:val="000080"/>
                  <w:sz w:val="20"/>
                  <w:u w:val="single"/>
                </w:rPr>
                <w:t xml:space="preserve"> </w:t>
              </w:r>
            </w:hyperlink>
            <w:hyperlink w:anchor="ifa9740e37ce44f75aa07d9d499e31014_25">
              <w:r>
                <w:rPr>
                  <w:rStyle w:val="InternetLink"/>
                  <w:rFonts w:ascii="Times New Roman;serif" w:hAnsi="Times New Roman;serif"/>
                  <w:b w:val="false"/>
                  <w:color w:val="000080"/>
                  <w:sz w:val="20"/>
                  <w:u w:val="single"/>
                </w:rPr>
                <w:t xml:space="preserve">and Twenty-Six </w:t>
              </w:r>
            </w:hyperlink>
            <w:hyperlink w:anchor="ifa9740e37ce44f75aa07d9d499e31014_25">
              <w:r>
                <w:rPr>
                  <w:rStyle w:val="InternetLink"/>
                  <w:rFonts w:ascii="Times New Roman;serif" w:hAnsi="Times New Roman;serif"/>
                  <w:b w:val="false"/>
                  <w:color w:val="000080"/>
                  <w:sz w:val="20"/>
                  <w:u w:val="single"/>
                </w:rPr>
                <w:t xml:space="preserve">Weeks </w:t>
              </w:r>
            </w:hyperlink>
            <w:hyperlink w:anchor="ifa9740e37ce44f75aa07d9d499e31014_25">
              <w:r>
                <w:rPr>
                  <w:rStyle w:val="InternetLink"/>
                  <w:rFonts w:ascii="Times New Roman;serif" w:hAnsi="Times New Roman;serif"/>
                  <w:b w:val="false"/>
                  <w:color w:val="000080"/>
                  <w:sz w:val="20"/>
                  <w:u w:val="single"/>
                </w:rPr>
                <w:t xml:space="preserve">Ended </w:t>
              </w:r>
            </w:hyperlink>
            <w:hyperlink w:anchor="ifa9740e37ce44f75aa07d9d499e31014_25">
              <w:r>
                <w:rPr>
                  <w:rStyle w:val="InternetLink"/>
                  <w:rFonts w:ascii="Times New Roman;serif" w:hAnsi="Times New Roman;serif"/>
                  <w:b w:val="false"/>
                  <w:color w:val="000080"/>
                  <w:sz w:val="20"/>
                  <w:u w:val="single"/>
                </w:rPr>
                <w:t>August 1</w:t>
              </w:r>
            </w:hyperlink>
            <w:hyperlink w:anchor="ifa9740e37ce44f75aa07d9d499e31014_25">
              <w:r>
                <w:rPr>
                  <w:rStyle w:val="InternetLink"/>
                  <w:rFonts w:ascii="Times New Roman;serif" w:hAnsi="Times New Roman;serif"/>
                  <w:b w:val="false"/>
                  <w:color w:val="000080"/>
                  <w:sz w:val="20"/>
                  <w:u w:val="single"/>
                </w:rPr>
                <w:t xml:space="preserve">, 2026 and </w:t>
              </w:r>
            </w:hyperlink>
            <w:hyperlink w:anchor="ifa9740e37ce44f75aa07d9d499e31014_25">
              <w:r>
                <w:rPr>
                  <w:rStyle w:val="InternetLink"/>
                  <w:rFonts w:ascii="Times New Roman;serif" w:hAnsi="Times New Roman;serif"/>
                  <w:b w:val="false"/>
                  <w:color w:val="000080"/>
                  <w:sz w:val="20"/>
                  <w:u w:val="single"/>
                </w:rPr>
                <w:t>August 2</w:t>
              </w:r>
            </w:hyperlink>
            <w:hyperlink w:anchor="ifa9740e37ce44f75aa07d9d499e31014_25">
              <w:r>
                <w:rPr>
                  <w:rStyle w:val="InternetLink"/>
                  <w:rFonts w:ascii="Times New Roman;serif" w:hAnsi="Times New Roman;serif"/>
                  <w:b w:val="false"/>
                  <w:color w:val="000080"/>
                  <w:sz w:val="20"/>
                  <w:u w:val="single"/>
                </w:rPr>
                <w:t>,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25">
              <w:r>
                <w:rPr>
                  <w:rStyle w:val="InternetLink"/>
                  <w:rFonts w:ascii="Times New Roman;serif" w:hAnsi="Times New Roman;serif"/>
                  <w:b w:val="false"/>
                  <w:color w:val="0000FF"/>
                  <w:sz w:val="20"/>
                  <w:u w:val="single"/>
                </w:rPr>
                <w:t>5</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28">
              <w:r>
                <w:rPr>
                  <w:rStyle w:val="InternetLink"/>
                  <w:rFonts w:ascii="Times New Roman;serif" w:hAnsi="Times New Roman;serif"/>
                  <w:b w:val="false"/>
                  <w:color w:val="000080"/>
                  <w:sz w:val="20"/>
                  <w:u w:val="single"/>
                </w:rPr>
                <w:t xml:space="preserve">Condensed Consolidated Statements of Comprehensive </w:t>
              </w:r>
            </w:hyperlink>
            <w:hyperlink w:anchor="ifa9740e37ce44f75aa07d9d499e31014_28">
              <w:r>
                <w:rPr>
                  <w:rStyle w:val="InternetLink"/>
                  <w:rFonts w:ascii="Times New Roman;serif" w:hAnsi="Times New Roman;serif"/>
                  <w:b w:val="false"/>
                  <w:color w:val="000080"/>
                  <w:sz w:val="20"/>
                  <w:u w:val="single"/>
                </w:rPr>
                <w:t>Income (</w:t>
              </w:r>
            </w:hyperlink>
            <w:hyperlink w:anchor="ifa9740e37ce44f75aa07d9d499e31014_28">
              <w:r>
                <w:rPr>
                  <w:rStyle w:val="InternetLink"/>
                  <w:rFonts w:ascii="Times New Roman;serif" w:hAnsi="Times New Roman;serif"/>
                  <w:b w:val="false"/>
                  <w:color w:val="000080"/>
                  <w:sz w:val="20"/>
                  <w:u w:val="single"/>
                </w:rPr>
                <w:t>Loss</w:t>
              </w:r>
            </w:hyperlink>
            <w:hyperlink w:anchor="ifa9740e37ce44f75aa07d9d499e31014_28">
              <w:r>
                <w:rPr>
                  <w:rStyle w:val="InternetLink"/>
                  <w:rFonts w:ascii="Times New Roman;serif" w:hAnsi="Times New Roman;serif"/>
                  <w:b w:val="false"/>
                  <w:color w:val="000080"/>
                  <w:sz w:val="20"/>
                  <w:u w:val="single"/>
                </w:rPr>
                <w:t>)</w:t>
              </w:r>
            </w:hyperlink>
            <w:hyperlink w:anchor="ifa9740e37ce44f75aa07d9d499e31014_28">
              <w:r>
                <w:rPr>
                  <w:rStyle w:val="InternetLink"/>
                  <w:rFonts w:ascii="Times New Roman;serif" w:hAnsi="Times New Roman;serif"/>
                  <w:b w:val="false"/>
                  <w:color w:val="000080"/>
                  <w:sz w:val="20"/>
                  <w:u w:val="single"/>
                </w:rPr>
                <w:t xml:space="preserve"> for the Thirteen and Twenty-Six Weeks Ended August 1, 2026 and August 2,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28">
              <w:r>
                <w:rPr>
                  <w:rStyle w:val="InternetLink"/>
                  <w:rFonts w:ascii="Times New Roman;serif" w:hAnsi="Times New Roman;serif"/>
                  <w:b w:val="false"/>
                  <w:color w:val="0000FF"/>
                  <w:sz w:val="20"/>
                  <w:u w:val="single"/>
                </w:rPr>
                <w:t>6</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31">
              <w:r>
                <w:rPr>
                  <w:rStyle w:val="InternetLink"/>
                  <w:rFonts w:ascii="Times New Roman;serif" w:hAnsi="Times New Roman;serif"/>
                  <w:b w:val="false"/>
                  <w:color w:val="000080"/>
                  <w:sz w:val="20"/>
                  <w:u w:val="single"/>
                </w:rPr>
                <w:t xml:space="preserve">Condensed Consolidated Statements of Shareholders' Equity for the Thirteen </w:t>
              </w:r>
            </w:hyperlink>
            <w:hyperlink w:anchor="ifa9740e37ce44f75aa07d9d499e31014_31">
              <w:r>
                <w:rPr>
                  <w:rStyle w:val="InternetLink"/>
                  <w:rFonts w:ascii="Times New Roman;serif" w:hAnsi="Times New Roman;serif"/>
                  <w:b w:val="false"/>
                  <w:color w:val="000080"/>
                  <w:sz w:val="20"/>
                  <w:u w:val="single"/>
                </w:rPr>
                <w:t>and Twenty-Six Weeks Ended August 1, 2026 and August 2,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31">
              <w:r>
                <w:rPr>
                  <w:rStyle w:val="InternetLink"/>
                  <w:rFonts w:ascii="Times New Roman;serif" w:hAnsi="Times New Roman;serif"/>
                  <w:b w:val="false"/>
                  <w:color w:val="0000FF"/>
                  <w:sz w:val="20"/>
                  <w:u w:val="single"/>
                </w:rPr>
                <w:t>7</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34">
              <w:r>
                <w:rPr>
                  <w:rStyle w:val="InternetLink"/>
                  <w:rFonts w:ascii="Times New Roman;serif" w:hAnsi="Times New Roman;serif"/>
                  <w:b w:val="false"/>
                  <w:color w:val="000080"/>
                  <w:sz w:val="20"/>
                  <w:u w:val="single"/>
                </w:rPr>
                <w:t xml:space="preserve">Condensed Consolidated Statements of Cash Flows for the </w:t>
              </w:r>
            </w:hyperlink>
            <w:hyperlink w:anchor="ifa9740e37ce44f75aa07d9d499e31014_34">
              <w:r>
                <w:rPr>
                  <w:rStyle w:val="InternetLink"/>
                  <w:rFonts w:ascii="Times New Roman;serif" w:hAnsi="Times New Roman;serif"/>
                  <w:b w:val="false"/>
                  <w:color w:val="000080"/>
                  <w:sz w:val="20"/>
                  <w:u w:val="single"/>
                </w:rPr>
                <w:t>Twenty-</w:t>
              </w:r>
            </w:hyperlink>
            <w:hyperlink w:anchor="ifa9740e37ce44f75aa07d9d499e31014_34">
              <w:r>
                <w:rPr>
                  <w:rStyle w:val="InternetLink"/>
                  <w:rFonts w:ascii="Times New Roman;serif" w:hAnsi="Times New Roman;serif"/>
                  <w:b w:val="false"/>
                  <w:color w:val="000080"/>
                  <w:sz w:val="20"/>
                  <w:u w:val="single"/>
                </w:rPr>
                <w:t>Six</w:t>
              </w:r>
            </w:hyperlink>
            <w:hyperlink w:anchor="ifa9740e37ce44f75aa07d9d499e31014_34">
              <w:r>
                <w:rPr>
                  <w:rStyle w:val="InternetLink"/>
                  <w:rFonts w:ascii="Times New Roman;serif" w:hAnsi="Times New Roman;serif"/>
                  <w:b w:val="false"/>
                  <w:color w:val="000080"/>
                  <w:sz w:val="20"/>
                  <w:u w:val="single"/>
                </w:rPr>
                <w:t xml:space="preserve"> Weeks Ended </w:t>
              </w:r>
            </w:hyperlink>
            <w:hyperlink w:anchor="ifa9740e37ce44f75aa07d9d499e31014_34">
              <w:r>
                <w:rPr>
                  <w:rStyle w:val="InternetLink"/>
                  <w:rFonts w:ascii="Times New Roman;serif" w:hAnsi="Times New Roman;serif"/>
                  <w:b w:val="false"/>
                  <w:color w:val="000080"/>
                  <w:sz w:val="20"/>
                  <w:u w:val="single"/>
                </w:rPr>
                <w:t>August 1</w:t>
              </w:r>
            </w:hyperlink>
            <w:hyperlink w:anchor="ifa9740e37ce44f75aa07d9d499e31014_34">
              <w:r>
                <w:rPr>
                  <w:rStyle w:val="InternetLink"/>
                  <w:rFonts w:ascii="Times New Roman;serif" w:hAnsi="Times New Roman;serif"/>
                  <w:b w:val="false"/>
                  <w:color w:val="000080"/>
                  <w:sz w:val="20"/>
                  <w:u w:val="single"/>
                </w:rPr>
                <w:t xml:space="preserve">, 2026 and </w:t>
              </w:r>
            </w:hyperlink>
            <w:hyperlink w:anchor="ifa9740e37ce44f75aa07d9d499e31014_34">
              <w:r>
                <w:rPr>
                  <w:rStyle w:val="InternetLink"/>
                  <w:rFonts w:ascii="Times New Roman;serif" w:hAnsi="Times New Roman;serif"/>
                  <w:b w:val="false"/>
                  <w:color w:val="000080"/>
                  <w:sz w:val="20"/>
                  <w:u w:val="single"/>
                </w:rPr>
                <w:t>August 2</w:t>
              </w:r>
            </w:hyperlink>
            <w:hyperlink w:anchor="ifa9740e37ce44f75aa07d9d499e31014_34">
              <w:r>
                <w:rPr>
                  <w:rStyle w:val="InternetLink"/>
                  <w:rFonts w:ascii="Times New Roman;serif" w:hAnsi="Times New Roman;serif"/>
                  <w:b w:val="false"/>
                  <w:color w:val="000080"/>
                  <w:sz w:val="20"/>
                  <w:u w:val="single"/>
                </w:rPr>
                <w:t>,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34">
              <w:r>
                <w:rPr>
                  <w:rStyle w:val="InternetLink"/>
                  <w:rFonts w:ascii="Times New Roman;serif" w:hAnsi="Times New Roman;serif"/>
                  <w:b w:val="false"/>
                  <w:color w:val="0000FF"/>
                  <w:sz w:val="20"/>
                  <w:u w:val="single"/>
                </w:rPr>
                <w:t>8</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37">
              <w:r>
                <w:rPr>
                  <w:rStyle w:val="InternetLink"/>
                  <w:rFonts w:ascii="Times New Roman;serif" w:hAnsi="Times New Roman;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37">
              <w:r>
                <w:rPr>
                  <w:rStyle w:val="InternetLink"/>
                  <w:rFonts w:ascii="Times New Roman;serif" w:hAnsi="Times New Roman;serif"/>
                  <w:b w:val="false"/>
                  <w:color w:val="0000FF"/>
                  <w:sz w:val="20"/>
                  <w:u w:val="single"/>
                </w:rPr>
                <w:t>10</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85">
              <w:r>
                <w:rPr>
                  <w:rStyle w:val="InternetLink"/>
                  <w:rFonts w:ascii="Times New Roman;serif" w:hAnsi="Times New Roman;serif"/>
                  <w:b w:val="false"/>
                  <w:color w:val="0000FF"/>
                  <w:sz w:val="20"/>
                  <w:u w:val="single"/>
                </w:rPr>
                <w:t>25</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88">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88">
              <w:r>
                <w:rPr>
                  <w:rStyle w:val="InternetLink"/>
                  <w:rFonts w:ascii="Times New Roman;serif" w:hAnsi="Times New Roman;serif"/>
                  <w:b w:val="false"/>
                  <w:color w:val="0000FF"/>
                  <w:sz w:val="20"/>
                  <w:u w:val="single"/>
                </w:rPr>
                <w:t>34</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91">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91">
              <w:r>
                <w:rPr>
                  <w:rStyle w:val="InternetLink"/>
                  <w:rFonts w:ascii="Times New Roman;serif" w:hAnsi="Times New Roman;serif"/>
                  <w:b w:val="false"/>
                  <w:color w:val="0000FF"/>
                  <w:sz w:val="20"/>
                  <w:u w:val="single"/>
                </w:rPr>
                <w:t>34</w:t>
              </w:r>
            </w:hyperlink>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94">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97">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97">
              <w:r>
                <w:rPr>
                  <w:rStyle w:val="InternetLink"/>
                  <w:rFonts w:ascii="Times New Roman;serif" w:hAnsi="Times New Roman;serif"/>
                  <w:b w:val="false"/>
                  <w:color w:val="0000FF"/>
                  <w:sz w:val="20"/>
                  <w:u w:val="single"/>
                </w:rPr>
                <w:t>35</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00">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100">
              <w:r>
                <w:rPr>
                  <w:rStyle w:val="InternetLink"/>
                  <w:rFonts w:ascii="Times New Roman;serif" w:hAnsi="Times New Roman;serif"/>
                  <w:b w:val="false"/>
                  <w:color w:val="0000FF"/>
                  <w:sz w:val="20"/>
                  <w:u w:val="single"/>
                </w:rPr>
                <w:t>35</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03">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103">
              <w:r>
                <w:rPr>
                  <w:rStyle w:val="InternetLink"/>
                  <w:rFonts w:ascii="Times New Roman;serif" w:hAnsi="Times New Roman;serif"/>
                  <w:b w:val="false"/>
                  <w:color w:val="0000FF"/>
                  <w:sz w:val="20"/>
                  <w:u w:val="single"/>
                </w:rPr>
                <w:t>36</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06">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106">
              <w:r>
                <w:rPr>
                  <w:rStyle w:val="InternetLink"/>
                  <w:rFonts w:ascii="Times New Roman;serif" w:hAnsi="Times New Roman;serif"/>
                  <w:b w:val="false"/>
                  <w:color w:val="0000FF"/>
                  <w:sz w:val="20"/>
                  <w:u w:val="single"/>
                </w:rPr>
                <w:t>36</w:t>
              </w:r>
            </w:hyperlink>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9740e37ce44f75aa07d9d499e31014_109">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9740e37ce44f75aa07d9d499e31014_109">
              <w:r>
                <w:rPr>
                  <w:rStyle w:val="InternetLink"/>
                  <w:rFonts w:ascii="Times New Roman;serif" w:hAnsi="Times New Roman;serif"/>
                  <w:b w:val="false"/>
                  <w:color w:val="0000FF"/>
                  <w:sz w:val="20"/>
                  <w:u w:val="single"/>
                </w:rPr>
                <w:t>37</w:t>
              </w:r>
            </w:hyperlink>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inability to successfully implement our long-term strategic plans;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declines in our comparable sales;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inability to maintain and enhance our brands;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failure of our multi-channel distribution model;</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adverse changes in general economic conditions and their impact on consumer confidence and consumer spending, including political unrest, social unrest, acts of war and terrorism, and other related matters;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inability to predict and respond in a timely manner to changes in consumer demand;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inability to successfully open new stores and/or operate current stores as planned;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loss of key management or design associates or inability to attract and retain the talent required for our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data security or privacy breaches or disruptions in our computer systems or websites;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disruptions in our supply chain;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possible new or increased tariffs on our products and increases in inbound and outbound freight expense that could lead to increased product costs and lower profit margins;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public health pandemics and actions by governmental or other actors regarding containment.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31, 2026, as well as in Item 1A herein.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2"/>
        <w:gridCol w:w="2324"/>
        <w:gridCol w:w="2317"/>
        <w:gridCol w:w="109"/>
        <w:gridCol w:w="109"/>
        <w:gridCol w:w="109"/>
        <w:gridCol w:w="196"/>
        <w:gridCol w:w="736"/>
        <w:gridCol w:w="109"/>
        <w:gridCol w:w="109"/>
        <w:gridCol w:w="109"/>
        <w:gridCol w:w="109"/>
        <w:gridCol w:w="196"/>
        <w:gridCol w:w="736"/>
        <w:gridCol w:w="155"/>
      </w:tblGrid>
      <w:tr>
        <w:trPr/>
        <w:tc>
          <w:tcPr>
            <w:tcW w:w="2782"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234,005 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5,000 shares authorized,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without par value; 200,000 shares authorized, 44,519 and 43,800 shares issued and 28,684 and 27,966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131,639 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234,005 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11"/>
        <w:gridCol w:w="1260"/>
        <w:gridCol w:w="126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1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8651" w:type="dxa"/>
        <w:jc w:val="left"/>
        <w:tblInd w:w="0" w:type="dxa"/>
        <w:tblLayout w:type="fixed"/>
        <w:tblCellMar>
          <w:top w:w="28" w:type="dxa"/>
          <w:left w:w="28" w:type="dxa"/>
          <w:bottom w:w="28" w:type="dxa"/>
          <w:right w:w="28" w:type="dxa"/>
        </w:tblCellMar>
      </w:tblPr>
      <w:tblGrid>
        <w:gridCol w:w="1222"/>
        <w:gridCol w:w="1072"/>
        <w:gridCol w:w="1080"/>
        <w:gridCol w:w="109"/>
        <w:gridCol w:w="109"/>
        <w:gridCol w:w="109"/>
        <w:gridCol w:w="211"/>
        <w:gridCol w:w="616"/>
        <w:gridCol w:w="109"/>
        <w:gridCol w:w="109"/>
        <w:gridCol w:w="109"/>
        <w:gridCol w:w="109"/>
        <w:gridCol w:w="211"/>
        <w:gridCol w:w="691"/>
        <w:gridCol w:w="109"/>
        <w:gridCol w:w="109"/>
        <w:gridCol w:w="109"/>
        <w:gridCol w:w="109"/>
        <w:gridCol w:w="211"/>
        <w:gridCol w:w="541"/>
        <w:gridCol w:w="109"/>
        <w:gridCol w:w="109"/>
        <w:gridCol w:w="109"/>
        <w:gridCol w:w="109"/>
        <w:gridCol w:w="211"/>
        <w:gridCol w:w="79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2159" w:type="dxa"/>
        <w:jc w:val="center"/>
        <w:tblInd w:w="0" w:type="dxa"/>
        <w:tblLayout w:type="fixed"/>
        <w:tblCellMar>
          <w:top w:w="28" w:type="dxa"/>
          <w:left w:w="28" w:type="dxa"/>
          <w:bottom w:w="28" w:type="dxa"/>
          <w:right w:w="28" w:type="dxa"/>
        </w:tblCellMar>
      </w:tblPr>
      <w:tblGrid>
        <w:gridCol w:w="724"/>
        <w:gridCol w:w="268"/>
        <w:gridCol w:w="269"/>
        <w:gridCol w:w="109"/>
        <w:gridCol w:w="109"/>
        <w:gridCol w:w="109"/>
        <w:gridCol w:w="548"/>
        <w:gridCol w:w="548"/>
        <w:gridCol w:w="256"/>
        <w:gridCol w:w="109"/>
        <w:gridCol w:w="109"/>
        <w:gridCol w:w="109"/>
        <w:gridCol w:w="548"/>
        <w:gridCol w:w="548"/>
        <w:gridCol w:w="256"/>
        <w:gridCol w:w="109"/>
        <w:gridCol w:w="109"/>
        <w:gridCol w:w="109"/>
        <w:gridCol w:w="211"/>
        <w:gridCol w:w="841"/>
        <w:gridCol w:w="109"/>
        <w:gridCol w:w="109"/>
        <w:gridCol w:w="109"/>
        <w:gridCol w:w="109"/>
        <w:gridCol w:w="211"/>
        <w:gridCol w:w="841"/>
        <w:gridCol w:w="109"/>
        <w:gridCol w:w="109"/>
        <w:gridCol w:w="109"/>
        <w:gridCol w:w="109"/>
        <w:gridCol w:w="320"/>
        <w:gridCol w:w="730"/>
        <w:gridCol w:w="166"/>
        <w:gridCol w:w="109"/>
        <w:gridCol w:w="109"/>
        <w:gridCol w:w="109"/>
        <w:gridCol w:w="211"/>
        <w:gridCol w:w="841"/>
        <w:gridCol w:w="109"/>
        <w:gridCol w:w="109"/>
        <w:gridCol w:w="109"/>
        <w:gridCol w:w="109"/>
        <w:gridCol w:w="211"/>
        <w:gridCol w:w="84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w:t>
              <w:br/>
              <w:t>Equity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27,965,520</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15,834,579</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116,152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(156,820)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131,639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vested, net of repurchase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May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28,438,434</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15,834,579</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116,399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(156,820)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127,049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vested, net of repurchase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August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28,684,415</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15,834,579</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172,114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(156,820)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132,325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tbl>
      <w:tblPr>
        <w:tblW w:w="12377"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548"/>
        <w:gridCol w:w="548"/>
        <w:gridCol w:w="256"/>
        <w:gridCol w:w="109"/>
        <w:gridCol w:w="109"/>
        <w:gridCol w:w="109"/>
        <w:gridCol w:w="548"/>
        <w:gridCol w:w="548"/>
        <w:gridCol w:w="256"/>
        <w:gridCol w:w="109"/>
        <w:gridCol w:w="109"/>
        <w:gridCol w:w="109"/>
        <w:gridCol w:w="211"/>
        <w:gridCol w:w="841"/>
        <w:gridCol w:w="109"/>
        <w:gridCol w:w="109"/>
        <w:gridCol w:w="109"/>
        <w:gridCol w:w="109"/>
        <w:gridCol w:w="211"/>
        <w:gridCol w:w="841"/>
        <w:gridCol w:w="109"/>
        <w:gridCol w:w="109"/>
        <w:gridCol w:w="109"/>
        <w:gridCol w:w="109"/>
        <w:gridCol w:w="320"/>
        <w:gridCol w:w="730"/>
        <w:gridCol w:w="166"/>
        <w:gridCol w:w="109"/>
        <w:gridCol w:w="109"/>
        <w:gridCol w:w="109"/>
        <w:gridCol w:w="211"/>
        <w:gridCol w:w="841"/>
        <w:gridCol w:w="109"/>
        <w:gridCol w:w="109"/>
        <w:gridCol w:w="109"/>
        <w:gridCol w:w="109"/>
        <w:gridCol w:w="211"/>
        <w:gridCol w:w="841"/>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February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27,700,900</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15,834,579</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220,279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(156,820)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178,955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vested, net of repurchase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May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27,918,322</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15,834,579</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(156,820)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146,034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vested, net of repurchase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August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27,936,704</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15,834,579</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182,147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(156,820)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140,486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041" w:type="dxa"/>
        <w:jc w:val="left"/>
        <w:tblInd w:w="0" w:type="dxa"/>
        <w:tblLayout w:type="fixed"/>
        <w:tblCellMar>
          <w:top w:w="28" w:type="dxa"/>
          <w:left w:w="28" w:type="dxa"/>
          <w:bottom w:w="28" w:type="dxa"/>
          <w:right w:w="28" w:type="dxa"/>
        </w:tblCellMar>
      </w:tblPr>
      <w:tblGrid>
        <w:gridCol w:w="2597"/>
        <w:gridCol w:w="2286"/>
        <w:gridCol w:w="2302"/>
        <w:gridCol w:w="109"/>
        <w:gridCol w:w="109"/>
        <w:gridCol w:w="109"/>
        <w:gridCol w:w="211"/>
        <w:gridCol w:w="721"/>
        <w:gridCol w:w="109"/>
        <w:gridCol w:w="109"/>
        <w:gridCol w:w="109"/>
        <w:gridCol w:w="109"/>
        <w:gridCol w:w="211"/>
        <w:gridCol w:w="79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 net of cash disposed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for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asset-based revolving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asset-based 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301" w:type="dxa"/>
        <w:jc w:val="center"/>
        <w:tblInd w:w="0" w:type="dxa"/>
        <w:tblLayout w:type="fixed"/>
        <w:tblCellMar>
          <w:top w:w="28" w:type="dxa"/>
          <w:left w:w="28" w:type="dxa"/>
          <w:bottom w:w="28" w:type="dxa"/>
          <w:right w:w="28" w:type="dxa"/>
        </w:tblCellMar>
      </w:tblPr>
      <w:tblGrid>
        <w:gridCol w:w="2074"/>
        <w:gridCol w:w="1823"/>
        <w:gridCol w:w="1833"/>
        <w:gridCol w:w="109"/>
        <w:gridCol w:w="109"/>
        <w:gridCol w:w="109"/>
        <w:gridCol w:w="211"/>
        <w:gridCol w:w="616"/>
        <w:gridCol w:w="109"/>
        <w:gridCol w:w="109"/>
        <w:gridCol w:w="109"/>
        <w:gridCol w:w="109"/>
        <w:gridCol w:w="211"/>
        <w:gridCol w:w="616"/>
        <w:gridCol w:w="154"/>
      </w:tblGrid>
      <w:tr>
        <w:trPr/>
        <w:tc>
          <w:tcPr>
            <w:tcW w:w="207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paid for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incurred but not yet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related to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Refer to Note 3 herein for supplemental cash flow information regarding the Company’s leases. Refer to Note 13 herein for supplemental cash flow information regarding the discontinued operations.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1.Description of the Company and 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term “Company” refers to Vera Bradley, Inc. and its wholly owned subsidiaries, except where the context requires otherwise or where otherwise indicated.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pStyle w:val="TextBody"/>
        <w:bidi w:val="0"/>
        <w:spacing w:lineRule="auto" w:line="288" w:before="100" w:after="283"/>
        <w:jc w:val="left"/>
        <w:rPr/>
      </w:pPr>
      <w:r>
        <w:rPr>
          <w:rFonts w:ascii="Times New Roman;serif" w:hAnsi="Times New Roman;serif"/>
          <w:b w:val="false"/>
          <w:color w:val="000000"/>
          <w:sz w:val="20"/>
        </w:rPr>
        <w:t xml:space="preserve">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w:t>
      </w:r>
      <w:r>
        <w:rPr>
          <w:rFonts w:ascii="Times New Roman;serif" w:hAnsi="Times New Roman;serif"/>
          <w:b w:val="false"/>
          <w:i/>
          <w:color w:val="000000"/>
          <w:sz w:val="20"/>
        </w:rPr>
        <w:t>Discontinued Operations</w:t>
      </w:r>
      <w:r>
        <w:rPr>
          <w:rFonts w:ascii="Times New Roman;serif" w:hAnsi="Times New Roman;serif"/>
          <w:b w:val="false"/>
          <w:color w:val="000000"/>
          <w:sz w:val="20"/>
        </w:rPr>
        <w:t xml:space="preserve">. Prior period amounts have been retrospectively adjusted to conform to the current period presentation. </w:t>
      </w:r>
      <w:r>
        <w:rPr>
          <w:rFonts w:ascii="Times New Roman;serif" w:hAnsi="Times New Roman;serif"/>
          <w:b w:val="false"/>
          <w:color w:val="000000"/>
          <w:sz w:val="20"/>
          <w:shd w:fill="FFFFFF" w:val="clear"/>
        </w:rPr>
        <w:t>Unless otherwise specified, disclosures in these condensed consolidated financial statements reflect continuing operations only.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Following the sale, Pura Vida is no longer included in the Company’s consolidated financial results. Refer to Note 13 for additional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two reportable segments: Direct and Indirect. During the thirteen weeks ended May 3, 2025, the Company completed the sale of Pura Vida, which was previously considered a reportable segment.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Direct segment consists of sales of Vera Bradley products through Vera Bradley full-line and outlet stores in the United States; e-commerce sites (verabradley.com, verabradleyoutlet.com, and international.verabradley.com); direct to consumer marketplaces; and typically the Vera Bradley annual outlet sale in Fort Wayne, Indiana. As of August 1, 2026, the Company operated 26 full-line stores and 86 outlet stores.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Indirect segment consists of revenues generated through the distribution of Vera Bradley-branded products to specialty retailers representing approximately 1,200 locations, substantially all of which are located in the United States; key accounts, which include department stores, national accounts, and third-party inventory liquidators; and royalties recognized through licensing agreements related to the Vera Bradley brand.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31, 2026, filed with the SEC.</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1, 2026, are not necessarily indicative of the results to be expected for the full fiscal year due to, in part, seasonal fluctuations in the business and the uncertainty of macroeconomic factors on future periods, including inflation and other related matters.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 owned subsidiaries. The Company has eliminated intercompany balances and transactions in consolidation.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thirteen weeks ended May 3, 2025, the Company completed the sale of its wholly owned subsidiary, Creative Genius, also referred to as Pura Vida. As a result, the operations of Pura Vida have been classified as discontinued operations in the consolidated financial statements in accordance with ASC 205-20.</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Fiscal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fiscal year ends on the Saturday closest to January 31. References to the fiscal quarters ended August 1, 2026 and August 2, 2025 refer to the thirteen week periods ended on those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Recent Business Developments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the U.S. Supreme Court issued a ruling striking down certain tariffs previously imposed under the International Emergency Economic Powers Act (“IEEPA”). In response, the U.S. Customs and Border Protection agency established a process for importers to submit refund claims for certain previously paid IEEPA tariffs.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 2026, the Company has submitted refund requests and received refunds related to certain previously paid IEEPA tariffs. Because the timing of claim acceptance, resolution and payment was previously uncertain, the Company did not recognize any related refunds and interest until cash was received. During the quarter ended August 1, 2026, $8.0 million in refunds and $0.3 million in interest was received. $7.7 million was recognized in Cost of Goods Sold during the quarter with the remaining $0.3 million to be recognized in the third quarter of fiscal 2027. All interest received was recorded in interest income in the period. No additional refunds are expected to be received by the Company.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net revenues disaggregated by product category for the thirteen weeks ended August 1, 2026 and August 2, 2025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6"/>
        <w:gridCol w:w="835"/>
        <w:gridCol w:w="838"/>
        <w:gridCol w:w="187"/>
        <w:gridCol w:w="187"/>
        <w:gridCol w:w="187"/>
        <w:gridCol w:w="366"/>
        <w:gridCol w:w="1254"/>
        <w:gridCol w:w="187"/>
        <w:gridCol w:w="187"/>
        <w:gridCol w:w="187"/>
        <w:gridCol w:w="187"/>
        <w:gridCol w:w="485"/>
        <w:gridCol w:w="1419"/>
        <w:gridCol w:w="249"/>
        <w:gridCol w:w="187"/>
        <w:gridCol w:w="187"/>
        <w:gridCol w:w="187"/>
        <w:gridCol w:w="366"/>
        <w:gridCol w:w="1254"/>
        <w:gridCol w:w="283"/>
      </w:tblGrid>
      <w:tr>
        <w:trPr/>
        <w:tc>
          <w:tcPr>
            <w:tcW w:w="9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r>
      <w:tr>
        <w:trPr/>
        <w:tc>
          <w:tcPr>
            <w:tcW w:w="2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br/>
              <w:t>Segment</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 Segment</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Product categories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Bags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Apparel/Footwear</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65,377 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Primarily includes net revenues from stationery, freight, and gift card breakage.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Primarily includes net revenues from licensing agreements, freight, and visual fixtures.</w:t>
            </w:r>
          </w:p>
        </w:tc>
      </w:tr>
      <w:tr>
        <w:trPr/>
        <w:tc>
          <w:tcPr>
            <w:tcW w:w="2659" w:type="dxa"/>
            <w:gridSpan w:val="3"/>
            <w:tcBorders/>
            <w:vAlign w:val="center"/>
          </w:tcPr>
          <w:p>
            <w:pPr>
              <w:pStyle w:val="TableContents"/>
              <w:bidi w:val="0"/>
              <w:spacing w:before="0" w:after="283"/>
              <w:jc w:val="left"/>
              <w:rPr>
                <w:sz w:val="4"/>
                <w:szCs w:val="4"/>
              </w:rPr>
            </w:pPr>
            <w:r>
              <w:rPr>
                <w:sz w:val="4"/>
                <w:szCs w:val="4"/>
              </w:rPr>
            </w:r>
          </w:p>
        </w:tc>
        <w:tc>
          <w:tcPr>
            <w:tcW w:w="7546"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Net revenues were related to product sales recognized at a point in time.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$5.3 million of net revenues related to product sales recognized at a point in time and $1.0 million of net revenues related to sales-based royalties recognized over time.</w:t>
            </w:r>
          </w:p>
        </w:tc>
      </w:tr>
      <w:tr>
        <w:trPr/>
        <w:tc>
          <w:tcPr>
            <w:tcW w:w="2659" w:type="dxa"/>
            <w:gridSpan w:val="3"/>
            <w:tcBorders/>
            <w:vAlign w:val="center"/>
          </w:tcPr>
          <w:p>
            <w:pPr>
              <w:pStyle w:val="TableContents"/>
              <w:bidi w:val="0"/>
              <w:spacing w:before="0" w:after="283"/>
              <w:jc w:val="left"/>
              <w:rPr>
                <w:sz w:val="4"/>
                <w:szCs w:val="4"/>
              </w:rPr>
            </w:pPr>
            <w:r>
              <w:rPr>
                <w:sz w:val="4"/>
                <w:szCs w:val="4"/>
              </w:rPr>
            </w:r>
          </w:p>
        </w:tc>
        <w:tc>
          <w:tcPr>
            <w:tcW w:w="7546" w:type="dxa"/>
            <w:gridSpan w:val="18"/>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1"/>
        <w:gridCol w:w="830"/>
        <w:gridCol w:w="833"/>
        <w:gridCol w:w="187"/>
        <w:gridCol w:w="187"/>
        <w:gridCol w:w="187"/>
        <w:gridCol w:w="364"/>
        <w:gridCol w:w="1249"/>
        <w:gridCol w:w="187"/>
        <w:gridCol w:w="187"/>
        <w:gridCol w:w="187"/>
        <w:gridCol w:w="187"/>
        <w:gridCol w:w="442"/>
        <w:gridCol w:w="1515"/>
        <w:gridCol w:w="226"/>
        <w:gridCol w:w="187"/>
        <w:gridCol w:w="187"/>
        <w:gridCol w:w="187"/>
        <w:gridCol w:w="364"/>
        <w:gridCol w:w="1249"/>
        <w:gridCol w:w="282"/>
      </w:tblGrid>
      <w:tr>
        <w:trPr/>
        <w:tc>
          <w:tcPr>
            <w:tcW w:w="98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Direct </w:t>
              <w:br/>
              <w:t>Segment</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 Segment</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Product categories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Bags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Apparel/Footwear</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60,514 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Primarily includes net revenues from stationery, freight, and gift card breakage.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Primarily includes net revenues from licensing agreements and freight.</w:t>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7561"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Net revenues were related to product sales recognized at a point in time.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$9.8 million of net revenues related to product sales recognized at a point in time and $0.5 million of net revenues related to sales-based royalties recognized over time.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net revenues disaggregated by product category for the twenty-six weeks ended August 1, 2026 and August 2,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5"/>
        <w:gridCol w:w="798"/>
        <w:gridCol w:w="801"/>
        <w:gridCol w:w="181"/>
        <w:gridCol w:w="181"/>
        <w:gridCol w:w="181"/>
        <w:gridCol w:w="352"/>
        <w:gridCol w:w="1386"/>
        <w:gridCol w:w="181"/>
        <w:gridCol w:w="181"/>
        <w:gridCol w:w="181"/>
        <w:gridCol w:w="181"/>
        <w:gridCol w:w="426"/>
        <w:gridCol w:w="1461"/>
        <w:gridCol w:w="218"/>
        <w:gridCol w:w="181"/>
        <w:gridCol w:w="181"/>
        <w:gridCol w:w="181"/>
        <w:gridCol w:w="352"/>
        <w:gridCol w:w="1386"/>
        <w:gridCol w:w="270"/>
      </w:tblGrid>
      <w:tr>
        <w:trPr/>
        <w:tc>
          <w:tcPr>
            <w:tcW w:w="94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br/>
              <w:t>Segment</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 Segment</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Product categories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Bags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Apparel/Footwear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127,351 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Primarily includes net revenues from stationery, freight, and gift card breakage.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Primarily includes net revenues from licensing agreements, freight, and visual fixtures.</w:t>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7661"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Net revenues were related to product sales recognized at a point in time.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$15.2 million of net revenues related to product sales recognized at a point in time and $1.9 million of net revenues related to sales-based royalties recognized over time.</w:t>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7661" w:type="dxa"/>
            <w:gridSpan w:val="18"/>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6"/>
        <w:gridCol w:w="798"/>
        <w:gridCol w:w="801"/>
        <w:gridCol w:w="181"/>
        <w:gridCol w:w="181"/>
        <w:gridCol w:w="181"/>
        <w:gridCol w:w="352"/>
        <w:gridCol w:w="1386"/>
        <w:gridCol w:w="181"/>
        <w:gridCol w:w="181"/>
        <w:gridCol w:w="181"/>
        <w:gridCol w:w="181"/>
        <w:gridCol w:w="426"/>
        <w:gridCol w:w="1461"/>
        <w:gridCol w:w="218"/>
        <w:gridCol w:w="181"/>
        <w:gridCol w:w="181"/>
        <w:gridCol w:w="181"/>
        <w:gridCol w:w="352"/>
        <w:gridCol w:w="1386"/>
        <w:gridCol w:w="269"/>
      </w:tblGrid>
      <w:tr>
        <w:trPr/>
        <w:tc>
          <w:tcPr>
            <w:tcW w:w="9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Direct </w:t>
              <w:br/>
              <w:t>Segment</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 Segment</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Product categories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Bags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Apparel/Footwear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103,597 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18,913 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122,510 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Primarily includes net revenues from stationery, freight, and gift card breakage.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Primarily includes net revenues from licensing agreements and freight.</w:t>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7660"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Net revenues were related to product sales recognized at a point in time.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$17.7 million of net revenues related to product sales recognized at a point in time and $1.2 million of net revenues related to sales-based royalties recognized over time.</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as of August 1, 2026 and January 31, 2026, were $1.6 million. The balance as of August 1, 2026 and January 31, 2026 consisted primarily of unredeemed gift cards. These contract liabilities are recognized within other accrued liabilities on the Company’s Condensed Consolidated Balance Sheets. Substantially all contract liabilities are recognized within one year. The Company did not have contract assets as of August 1, 2026 and January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balance for accounts receivable from contracts with customers, net of allowances, as of August 1, 2026 and January 31, 2026, was $11.3 million and $16.4 million, respectively, which is recognized within accounts receivable, net, on the Company’s Condensed Consolidated Balance Sheets. The provision for doubtful accounts was $0.6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$0.5 million as of August 1, 2026 and January 31, 2026, respectively. The provision for doubtful accounts is based upon the likelihood of default expected during the life of the receivable.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performance obligations for the Direct and Indirect segments include the promise to transfer distinct goods (or a bundle of distinct goods). The Indirect segment also includes the right to access intellectual property (“IP”) related to the Vera Bradley brand.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have remaining performance obligations in excess of one year or contracts that it does not have the right to invoice as of August 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Discount Rate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discount rate as of August 1, 2026, and August 2, 2025 was 5.3% and 5.1%,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Leases Not Yet Commenced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1, 2026, there were no executed leases in which the Company did not have control of the underlying asset.</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Amounts Recognized in the Condensed Consolidated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August 1, 2026 and August 2, 2025 (in thousands):</w:t>
      </w:r>
    </w:p>
    <w:tbl>
      <w:tblPr>
        <w:tblW w:w="7982" w:type="dxa"/>
        <w:jc w:val="left"/>
        <w:tblInd w:w="0" w:type="dxa"/>
        <w:tblLayout w:type="fixed"/>
        <w:tblCellMar>
          <w:top w:w="28" w:type="dxa"/>
          <w:left w:w="28" w:type="dxa"/>
          <w:bottom w:w="28" w:type="dxa"/>
          <w:right w:w="28" w:type="dxa"/>
        </w:tblCellMar>
      </w:tblPr>
      <w:tblGrid>
        <w:gridCol w:w="781"/>
        <w:gridCol w:w="687"/>
        <w:gridCol w:w="691"/>
        <w:gridCol w:w="270"/>
        <w:gridCol w:w="790"/>
        <w:gridCol w:w="139"/>
        <w:gridCol w:w="109"/>
        <w:gridCol w:w="109"/>
        <w:gridCol w:w="109"/>
        <w:gridCol w:w="270"/>
        <w:gridCol w:w="790"/>
        <w:gridCol w:w="139"/>
        <w:gridCol w:w="109"/>
        <w:gridCol w:w="109"/>
        <w:gridCol w:w="109"/>
        <w:gridCol w:w="243"/>
        <w:gridCol w:w="831"/>
        <w:gridCol w:w="125"/>
        <w:gridCol w:w="109"/>
        <w:gridCol w:w="109"/>
        <w:gridCol w:w="109"/>
        <w:gridCol w:w="242"/>
        <w:gridCol w:w="827"/>
        <w:gridCol w:w="17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Sublease income </w:t>
            </w:r>
            <w:r>
              <w:rPr>
                <w:rFonts w:ascii="Times New Roman;serif" w:hAnsi="Times New Roman;serif"/>
                <w:b w:val="false"/>
                <w:color w:val="000000"/>
                <w:sz w:val="13"/>
              </w:rPr>
              <w:t>(1)</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82"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Related to the sublease of a former Company location.</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as of August 1, 2026 and August 2, 2025 was 4.3 years and 4.4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operating cash flow information was as follows (in thousands):</w:t>
      </w:r>
    </w:p>
    <w:tbl>
      <w:tblPr>
        <w:tblW w:w="10205" w:type="dxa"/>
        <w:jc w:val="left"/>
        <w:tblInd w:w="0" w:type="dxa"/>
        <w:tblLayout w:type="fixed"/>
        <w:tblCellMar>
          <w:top w:w="28" w:type="dxa"/>
          <w:left w:w="28" w:type="dxa"/>
          <w:bottom w:w="28" w:type="dxa"/>
          <w:right w:w="28" w:type="dxa"/>
        </w:tblCellMar>
      </w:tblPr>
      <w:tblGrid>
        <w:gridCol w:w="2405"/>
        <w:gridCol w:w="2109"/>
        <w:gridCol w:w="2119"/>
        <w:gridCol w:w="310"/>
        <w:gridCol w:w="1063"/>
        <w:gridCol w:w="160"/>
        <w:gridCol w:w="146"/>
        <w:gridCol w:w="146"/>
        <w:gridCol w:w="146"/>
        <w:gridCol w:w="310"/>
        <w:gridCol w:w="1059"/>
        <w:gridCol w:w="232"/>
      </w:tblGrid>
      <w:tr>
        <w:trPr/>
        <w:tc>
          <w:tcPr>
            <w:tcW w:w="240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6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paid for amounts included in the measurement of operating lease liabilities</w:t>
            </w:r>
            <w:r>
              <w:rPr>
                <w:rFonts w:ascii="Times New Roman;serif" w:hAnsi="Times New Roman;serif"/>
                <w:b w:val="false"/>
                <w:color w:val="000000"/>
                <w:sz w:val="13"/>
              </w:rPr>
              <w:t>(1)</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14,202 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increase as a result of new and modified operating lease liabilities, net</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$2.3 million of lease liabilities were recorded within accounts payable on the Company's Consolidated Balance Sheets as of August 2, 2025, and were subsequently paid in the month following the end of the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4.Earnings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basic and diluted earnings per share were as follows (in thousands, except per share data):</w:t>
      </w:r>
    </w:p>
    <w:p>
      <w:pPr>
        <w:pStyle w:val="TextBody"/>
        <w:bidi w:val="0"/>
        <w:spacing w:lineRule="auto" w:line="288" w:before="10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95"/>
        <w:gridCol w:w="1545"/>
        <w:gridCol w:w="1553"/>
        <w:gridCol w:w="109"/>
        <w:gridCol w:w="109"/>
        <w:gridCol w:w="109"/>
        <w:gridCol w:w="211"/>
        <w:gridCol w:w="616"/>
        <w:gridCol w:w="109"/>
        <w:gridCol w:w="109"/>
        <w:gridCol w:w="109"/>
        <w:gridCol w:w="109"/>
        <w:gridCol w:w="211"/>
        <w:gridCol w:w="686"/>
        <w:gridCol w:w="109"/>
        <w:gridCol w:w="109"/>
        <w:gridCol w:w="109"/>
        <w:gridCol w:w="109"/>
        <w:gridCol w:w="211"/>
        <w:gridCol w:w="581"/>
        <w:gridCol w:w="109"/>
        <w:gridCol w:w="109"/>
        <w:gridCol w:w="109"/>
        <w:gridCol w:w="109"/>
        <w:gridCol w:w="211"/>
        <w:gridCol w:w="791"/>
        <w:gridCol w:w="159"/>
      </w:tblGrid>
      <w:tr>
        <w:trPr/>
        <w:tc>
          <w:tcPr>
            <w:tcW w:w="179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and the thirteen and twenty-six weeks ended August 2, 2025, all potential common shares were excluded from the diluted share calculation because they were anti-dilutive due to the net loss in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5.Fair Value of Financial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Level 2 – Inputs, other than the quoted prices in active markets, that are observable either directly or indirectly;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Level 3 – Unobservable inputs based on the Company’s own assumptions.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classification of fair value measurements within the hierarchy is based upon the lowest level of input that is significant to the measurement.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reflected on the Condensed Consolidated Balance Sheets for cash and cash equivalents, accounts receivable, other current assets, and accounts payable as of August 1, 2026 and January 31, 2026, approximated their fair values.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fair value measurements of the Company's instruments as of August 1, 2026 and January 31, 2026 (in thousands):</w:t>
      </w:r>
    </w:p>
    <w:tbl>
      <w:tblPr>
        <w:tblW w:w="10205" w:type="dxa"/>
        <w:jc w:val="left"/>
        <w:tblInd w:w="0" w:type="dxa"/>
        <w:tblLayout w:type="fixed"/>
        <w:tblCellMar>
          <w:top w:w="28" w:type="dxa"/>
          <w:left w:w="28" w:type="dxa"/>
          <w:bottom w:w="28" w:type="dxa"/>
          <w:right w:w="28" w:type="dxa"/>
        </w:tblCellMar>
      </w:tblPr>
      <w:tblGrid>
        <w:gridCol w:w="945"/>
        <w:gridCol w:w="830"/>
        <w:gridCol w:w="833"/>
        <w:gridCol w:w="287"/>
        <w:gridCol w:w="287"/>
        <w:gridCol w:w="288"/>
        <w:gridCol w:w="109"/>
        <w:gridCol w:w="109"/>
        <w:gridCol w:w="109"/>
        <w:gridCol w:w="334"/>
        <w:gridCol w:w="334"/>
        <w:gridCol w:w="336"/>
        <w:gridCol w:w="109"/>
        <w:gridCol w:w="109"/>
        <w:gridCol w:w="109"/>
        <w:gridCol w:w="287"/>
        <w:gridCol w:w="287"/>
        <w:gridCol w:w="288"/>
        <w:gridCol w:w="109"/>
        <w:gridCol w:w="109"/>
        <w:gridCol w:w="109"/>
        <w:gridCol w:w="334"/>
        <w:gridCol w:w="334"/>
        <w:gridCol w:w="336"/>
        <w:gridCol w:w="109"/>
        <w:gridCol w:w="109"/>
        <w:gridCol w:w="109"/>
        <w:gridCol w:w="235"/>
        <w:gridCol w:w="689"/>
        <w:gridCol w:w="121"/>
        <w:gridCol w:w="109"/>
        <w:gridCol w:w="109"/>
        <w:gridCol w:w="109"/>
        <w:gridCol w:w="252"/>
        <w:gridCol w:w="738"/>
        <w:gridCol w:w="195"/>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 related to sale of business</w:t>
            </w:r>
            <w:r>
              <w:rPr>
                <w:rFonts w:ascii="Times New Roman;serif" w:hAnsi="Times New Roman;serif"/>
                <w:b w:val="false"/>
                <w:color w:val="000000"/>
                <w:sz w:val="13"/>
              </w:rPr>
              <w:t>(1)</w:t>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7597"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Established during the thirteen weeks ended May 3, 2025. Refer to Note 13 herein for additional information.</w:t>
            </w:r>
          </w:p>
        </w:tc>
      </w:tr>
    </w:tbl>
    <w:p>
      <w:pPr>
        <w:pStyle w:val="TextBody"/>
        <w:bidi w:val="0"/>
        <w:spacing w:lineRule="auto" w:line="288" w:before="100" w:after="283"/>
        <w:jc w:val="left"/>
        <w:rPr/>
      </w:pPr>
      <w:r>
        <w:rPr>
          <w:rFonts w:ascii="Times New Roman;serif" w:hAnsi="Times New Roman;serif"/>
          <w:b w:val="false"/>
          <w:color w:val="000000"/>
          <w:sz w:val="20"/>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w:t>
      </w:r>
      <w:r>
        <w:rPr>
          <w:color w:val="000000"/>
        </w:rPr>
        <w:t xml:space="preserve"> </w:t>
      </w:r>
      <w:r>
        <w:rPr>
          <w:rFonts w:ascii="Times New Roman;serif" w:hAnsi="Times New Roman;serif"/>
          <w:b w:val="false"/>
          <w:color w:val="000000"/>
          <w:sz w:val="20"/>
        </w:rPr>
        <w:t xml:space="preserve">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No impairment charges were recorded for the thirteen and twenty-six weeks ended August 1, 2026 and thirteen weeks ended August 2, 2025. There were $1.0 million impairment charges recorded for the twenty-six weeks ended August 2, 2025 for store property, plant, and equipment. These charges are included in selling, general, and administrative ("SG&amp;A") expenses in the Consolidated Statements of Operations and in impairment charges in the Consolidated Statements of Cash Flows.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 nonrecurring basis, assets recognized or disclosed at fair value on the consolidated financial statements include items such as property, plant, and equipment, including leasehold improvements, and operating lease assets. </w:t>
      </w:r>
    </w:p>
    <w:p>
      <w:pPr>
        <w:pStyle w:val="TextBody"/>
        <w:bidi w:val="0"/>
        <w:spacing w:before="10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6.Debt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JPMorgan Chase Bank, N.A., as the administrative agent, and lenders from time to time party thereto, entered into a Fourth Amendment (the “Fourth Amendment”) to the Credit Agreement dated September 7, 2018.</w:t>
      </w:r>
    </w:p>
    <w:p>
      <w:pPr>
        <w:pStyle w:val="TextBody"/>
        <w:bidi w:val="0"/>
        <w:spacing w:lineRule="auto" w:line="288" w:before="100" w:after="283"/>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Credit Agreement provides for certain credit facilities to VBD in an aggregate principal amount not to initially exceed the lesser of $75.0 million </w:t>
      </w:r>
      <w:r>
        <w:rPr>
          <w:rFonts w:ascii="Times New Roman;serif" w:hAnsi="Times New Roman;serif"/>
          <w:b w:val="false"/>
          <w:color w:val="000000"/>
          <w:sz w:val="20"/>
          <w:shd w:fill="FFFFFF" w:val="clear"/>
        </w:rPr>
        <w:t>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w:t>
      </w:r>
      <w:r>
        <w:rPr>
          <w:color w:val="000000"/>
        </w:rPr>
        <w:t xml:space="preserve"> </w:t>
      </w:r>
      <w:r>
        <w:rPr>
          <w:rFonts w:ascii="Times New Roman;serif" w:hAnsi="Times New Roman;serif"/>
          <w:b w:val="false"/>
          <w:color w:val="000000"/>
          <w:sz w:val="20"/>
        </w:rPr>
        <w:t xml:space="preserve">$50.0 million. </w:t>
      </w:r>
      <w:r>
        <w:rPr>
          <w:rFonts w:ascii="Times New Roman;serif" w:hAnsi="Times New Roman;serif"/>
          <w:b w:val="false"/>
          <w:color w:val="000000"/>
          <w:sz w:val="20"/>
          <w:shd w:fill="FFFFFF" w:val="clear"/>
        </w:rPr>
        <w:t>The Fourth Amendment allowed for the sale of Creative Genius and irrevocably released Creative Genius from the loan documents upon completion of the sale.</w:t>
      </w:r>
    </w:p>
    <w:p>
      <w:pPr>
        <w:pStyle w:val="TextBody"/>
        <w:bidi w:val="0"/>
        <w:spacing w:lineRule="auto" w:line="288" w:before="100" w:after="283"/>
        <w:jc w:val="left"/>
        <w:rPr/>
      </w:pPr>
      <w:r>
        <w:rPr>
          <w:rFonts w:ascii="Times New Roman;serif" w:hAnsi="Times New Roman;serif"/>
          <w:b w:val="false"/>
          <w:color w:val="000000"/>
          <w:sz w:val="20"/>
          <w:shd w:fill="FFFFFF" w:val="clear"/>
        </w:rPr>
        <w:t>Amounts outstanding under the Credit Agreement bear interest at a per annum rate equal to (i) for CBFR borrowings (including swingline loans), the CB Floating Rate, where the CB Floating Rate is the greater of the prime rate or</w:t>
      </w:r>
      <w:r>
        <w:rPr>
          <w:color w:val="000000"/>
        </w:rPr>
        <w:t xml:space="preserve"> </w:t>
      </w:r>
      <w:r>
        <w:rPr>
          <w:rFonts w:ascii="Times New Roman;serif" w:hAnsi="Times New Roman;serif"/>
          <w:b w:val="false"/>
          <w:color w:val="000000"/>
          <w:sz w:val="20"/>
        </w:rPr>
        <w:t>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w:t>
      </w:r>
      <w:r>
        <w:rPr>
          <w:rFonts w:ascii="Times New Roman;serif" w:hAnsi="Times New Roman;serif"/>
          <w:b w:val="false"/>
          <w:color w:val="000000"/>
          <w:sz w:val="20"/>
          <w:shd w:fill="FFFFFF" w:val="clear"/>
        </w:rPr>
        <w:t>B Floating Rate, Adjusted Term SOFR Rate, Term SOFR Rate, Daily Simple SOFR, and Adjusted Daily Simple SOFR shall be determined by the administrative agent. The Credit Agreement also requires VBD to pay a commitment fee for the unused portion of the revolving facility of up to</w:t>
      </w:r>
      <w:r>
        <w:rPr>
          <w:color w:val="000000"/>
        </w:rPr>
        <w:t xml:space="preserve"> </w:t>
      </w:r>
      <w:r>
        <w:rPr>
          <w:rFonts w:ascii="Times New Roman;serif" w:hAnsi="Times New Roman;serif"/>
          <w:b w:val="false"/>
          <w:color w:val="000000"/>
          <w:sz w:val="20"/>
        </w:rPr>
        <w:t>0.30% per annum.</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The Credit Agreement also requires the loan parties, as defined in the Credit Agreement, to maintain a minimum fixed charge coverage ratio of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 xml:space="preserve">to 1.00 during periods when borrowing availability is less than the greater of (A) </w:t>
      </w:r>
      <w:r>
        <w:rPr>
          <w:rFonts w:ascii="Times New Roman;serif" w:hAnsi="Times New Roman;serif"/>
          <w:b w:val="false"/>
          <w:color w:val="000000"/>
          <w:sz w:val="20"/>
        </w:rPr>
        <w:t xml:space="preserve">$25.0 million, and (B) 12.5% </w:t>
      </w:r>
      <w:r>
        <w:rPr>
          <w:rFonts w:ascii="Times New Roman;serif" w:hAnsi="Times New Roman;serif"/>
          <w:b w:val="false"/>
          <w:color w:val="000000"/>
          <w:sz w:val="20"/>
          <w:shd w:fill="FFFFFF" w:val="clear"/>
        </w:rPr>
        <w:t>of the lesser of (i) the aggregate revolving commitment, and (ii) the borrowing base. The fixed charge coverage ratio, availability, aggregate revolving commitment, and the borrowing base are further defined in the Credit Agreement.</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 </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21, 2025, VBD amended the agreement to include, among other things, to: (i) permit the sale of certain real property assets without requiring the application of the proceeds from such sale to be used to repay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Credit Agreement matures in May 2028.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and January 31, 2026, the Company had no borrowings outstanding under its Credit Agreement and availability of $54.3 million and $58.6 million, respectively. Availability under the Credit Agreement is driven by a borrowing base comprised primarily of eligible accounts receivable and inventory, each subject to advance rates, eligibility criteria, and applicable reserves. As a result, borrowing capacity may fluctuate based on the level and quality of receivables and the composition and valuation of inventory.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7.Income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thirteen weeks ended August 1, 2026 was (2.1)% compared to 0.4% for the thirteen weeks ended August 2,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twenty-six weeks ended August 1, 2026, was (6.2)%, compared to (1.7)% for the twenty-six weeks ended August 2,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Refer to Note 13 herein for the information regarding the income tax impact associated with the sale of Pura Vida on March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making permanent certain provisions of the Tax Cuts and Jobs Act, including 100% bonus depreciation, domestic research cost expensing, and the business interest expense limitation. In accordance with ASC 740, the Company has recognized the effects of the new tax law in fiscal 2026. As the Company maintains a full valuation allowance on its U.S. deferred tax assets, the legislation does not have a material impact on our consolidated financial statements.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8.Stock-Based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its awards of restricted stock units, in an amount equal to the fair market value of the underlying stock on the grant date of the respective award.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reserved 9,000,000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Executive Short-Term Incentive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twenty-six weeks ended August 1, 2026, the Company initiated a new executive short-term incentive plan that provides for settlement in both equity and cash based on the achievement of certain performance objectives. Awards earned at or below 100% of target are settled entirely in shares of the Company's common stock. For awards earned in excess of 100% of target, the portion up to 100% of target is settled in shares of the Company's common stock, with any excess amount settled in cash. Shares issued under the plan vest immediately upon grant.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portion of awards that is settled in shares of the Company's common stock results in a variable number of shares based on achievement of Company performance metrics. Accordingly, this portion of the awards is accounted for as liability-classified share-based awards. During the thirteen weeks and twenty-six weeks ended August 1, 2026, $0.3 million and $0.7 million of share-based compensation expense under this plan, respectively, was recognized in selling, general and administrative expenses on the Condensed Consolidated Income Statements and the related liability of $0.7 million included in accrued employment costs on the Condensed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previous executive short-term incentive plan in the prior-year period, all incentive compensation was paid solely in cash.</w:t>
      </w:r>
    </w:p>
    <w:p>
      <w:pPr>
        <w:pStyle w:val="TextBody"/>
        <w:bidi w:val="0"/>
        <w:spacing w:lineRule="auto" w:line="288" w:before="100" w:after="283"/>
        <w:jc w:val="left"/>
        <w:rPr/>
      </w:pPr>
      <w:r>
        <w:rPr>
          <w:rFonts w:ascii="Times New Roman;serif" w:hAnsi="Times New Roman;serif"/>
          <w:b w:val="false"/>
          <w:i/>
          <w:color w:val="000000"/>
          <w:sz w:val="20"/>
        </w:rPr>
        <w:t>Awards of Restricted Stock Units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thirteen weeks ended August 1, 2026, the Company granted 209,800 time-based and performance-based restricted stock units with an aggregate fair value of $0.8 million to certain employees and non-employee directors under the 2020 Equity and Incentive Plan, compared to 1,253,694 time-based and performance-based restricted stock units with an aggregate fair value of $2.7 million in the same period of the prior-year.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twenty-six weeks ended August 1, 2026, the Company granted 1,556,847 time-based and performance-based restricted stock units with an aggregate fair value of $5.4 million to certain employees and non-employee directors under the 2020 Equity and Incentive Plan, compared to 2,757,196 time-based and performance-based restricted stock units with an aggregate fair value of $5.9 million in the same period of the prior-year.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Time-based restricted stock units vest and settle in shares of the Company’s common stock, on a one-for-one basis, with most vesting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restricted stock unit activity for the twenty-six weeks ended August 1, 2026 (units in thousands):</w:t>
      </w:r>
    </w:p>
    <w:p>
      <w:pPr>
        <w:pStyle w:val="TextBody"/>
        <w:bidi w:val="0"/>
        <w:spacing w:lineRule="auto" w:line="288" w:before="0" w:after="0"/>
        <w:jc w:val="left"/>
        <w:rPr>
          <w:color w:val="000000"/>
        </w:rPr>
      </w:pPr>
      <w:r>
        <w:rPr>
          <w:color w:val="000000"/>
        </w:rPr>
        <w:t> </w:t>
      </w:r>
    </w:p>
    <w:tbl>
      <w:tblPr>
        <w:tblW w:w="9255" w:type="dxa"/>
        <w:jc w:val="left"/>
        <w:tblInd w:w="0" w:type="dxa"/>
        <w:tblLayout w:type="fixed"/>
        <w:tblCellMar>
          <w:top w:w="28" w:type="dxa"/>
          <w:left w:w="28" w:type="dxa"/>
          <w:bottom w:w="28" w:type="dxa"/>
          <w:right w:w="28" w:type="dxa"/>
        </w:tblCellMar>
      </w:tblPr>
      <w:tblGrid>
        <w:gridCol w:w="1483"/>
        <w:gridCol w:w="1304"/>
        <w:gridCol w:w="1308"/>
        <w:gridCol w:w="109"/>
        <w:gridCol w:w="109"/>
        <w:gridCol w:w="109"/>
        <w:gridCol w:w="308"/>
        <w:gridCol w:w="308"/>
        <w:gridCol w:w="296"/>
        <w:gridCol w:w="125"/>
        <w:gridCol w:w="125"/>
        <w:gridCol w:w="125"/>
        <w:gridCol w:w="243"/>
        <w:gridCol w:w="588"/>
        <w:gridCol w:w="125"/>
        <w:gridCol w:w="109"/>
        <w:gridCol w:w="109"/>
        <w:gridCol w:w="109"/>
        <w:gridCol w:w="295"/>
        <w:gridCol w:w="295"/>
        <w:gridCol w:w="296"/>
        <w:gridCol w:w="124"/>
        <w:gridCol w:w="124"/>
        <w:gridCol w:w="124"/>
        <w:gridCol w:w="241"/>
        <w:gridCol w:w="586"/>
        <w:gridCol w:w="178"/>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w:t>
              <w:b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w:t>
              <w:br/>
              <w:t>Restricted Stock Units</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Units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b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Units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br/>
              <w:t>(per unit)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units outstanding at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units outstanding at August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there was $7.8 million of total unrecognized compensation cost, net of estimated forfeitures, related to nonvested restricted stock units. That cost is expected to be recognized over a weighted-average period of 2.2 years, subject to meeting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00" w:after="283"/>
        <w:ind w:left="0" w:right="0" w:hanging="720"/>
        <w:jc w:val="left"/>
        <w:rPr>
          <w:rFonts w:ascii="Times New Roman;serif" w:hAnsi="Times New Roman;serif"/>
          <w:b/>
          <w:color w:val="000000"/>
          <w:sz w:val="20"/>
        </w:rPr>
      </w:pPr>
      <w:r>
        <w:rPr>
          <w:rFonts w:ascii="Times New Roman;serif" w:hAnsi="Times New Roman;serif"/>
          <w:b/>
          <w:color w:val="000000"/>
          <w:sz w:val="20"/>
        </w:rPr>
        <w:t>9.Commitments and Contingencies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June of 2025, the Company received a notice from the buyer of Creative Genius requesting a purchase price adjustment of approximately $4.6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other legal proceedings from time to time in the ordinary course of business but does not believe any of these such claims would have a material adverse impact on the Company at this time.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10.Common Stock</w:t>
      </w:r>
    </w:p>
    <w:p>
      <w:pPr>
        <w:pStyle w:val="TextBody"/>
        <w:bidi w:val="0"/>
        <w:spacing w:lineRule="auto" w:line="268" w:before="100" w:after="100"/>
        <w:jc w:val="left"/>
        <w:rPr>
          <w:rFonts w:ascii="Times New Roman;serif" w:hAnsi="Times New Roman;serif"/>
          <w:b w:val="false"/>
          <w:color w:val="000000"/>
          <w:sz w:val="20"/>
        </w:rPr>
      </w:pPr>
      <w:r>
        <w:rPr>
          <w:rFonts w:ascii="Times New Roman;serif" w:hAnsi="Times New Roman;serif"/>
          <w:b w:val="false"/>
          <w:color w:val="000000"/>
          <w:sz w:val="20"/>
        </w:rPr>
        <w:t>During the fourth quarter fiscal 2025,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1, 2026, there was $30.0 million remaining available to repurchase shares of the Company's common stock under the 2024 Share Repurchase Program.</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As of August 1, 2026, the Company held as treasury shares 15,834,579 shares of its common stock at an average price of $9.90 per share, excluding commissions, for an aggregate carrying amount of $156.8 million. The Company’s treasury shares may be issued under the 2010 Equity and Incentive Plan (with respect to outstanding awards under that plan), under the 2020 Equity and Incentive Plan, or for other corporate purposes.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ind w:left="0" w:right="0" w:hanging="720"/>
        <w:jc w:val="left"/>
        <w:rPr>
          <w:rFonts w:ascii="Times New Roman;serif" w:hAnsi="Times New Roman;serif"/>
          <w:b/>
          <w:color w:val="000000"/>
          <w:sz w:val="20"/>
        </w:rPr>
      </w:pPr>
      <w:r>
        <w:rPr>
          <w:rFonts w:ascii="Times New Roman;serif" w:hAnsi="Times New Roman;serif"/>
          <w:b/>
          <w:color w:val="000000"/>
          <w:sz w:val="20"/>
        </w:rPr>
        <w:t>11.Cost Savings Initiatives and Other Charges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Cost Savings Initiatives and Severance Charges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fiscal 2023, the Company began implementation of its targeted cost reductions, which were expected to be fully realized in fiscal 2025. In late fiscal 2025, additional cost optimization initiatives were identified and are expected to be fully realized in fiscal 2027. Expense savings are being derived across various areas of the Company, including retail store efficiencies, marketing expenses, information technology contracts, professional services, logistics and operational costs, and corporate payroll.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incurred the following charges during the thirteen weeks ended August 1, 2026 (in thousands):</w:t>
      </w:r>
    </w:p>
    <w:p>
      <w:pPr>
        <w:pStyle w:val="TextBody"/>
        <w:bidi w:val="0"/>
        <w:spacing w:before="0" w:after="0"/>
        <w:jc w:val="left"/>
        <w:rPr/>
      </w:pPr>
      <w:r>
        <w:rPr/>
      </w:r>
    </w:p>
    <w:tbl>
      <w:tblPr>
        <w:tblW w:w="7944" w:type="dxa"/>
        <w:jc w:val="left"/>
        <w:tblInd w:w="0" w:type="dxa"/>
        <w:tblLayout w:type="fixed"/>
        <w:tblCellMar>
          <w:top w:w="28" w:type="dxa"/>
          <w:left w:w="28" w:type="dxa"/>
          <w:bottom w:w="28" w:type="dxa"/>
          <w:right w:w="28" w:type="dxa"/>
        </w:tblCellMar>
      </w:tblPr>
      <w:tblGrid>
        <w:gridCol w:w="596"/>
        <w:gridCol w:w="525"/>
        <w:gridCol w:w="528"/>
        <w:gridCol w:w="211"/>
        <w:gridCol w:w="406"/>
        <w:gridCol w:w="109"/>
        <w:gridCol w:w="109"/>
        <w:gridCol w:w="109"/>
        <w:gridCol w:w="109"/>
        <w:gridCol w:w="211"/>
        <w:gridCol w:w="406"/>
        <w:gridCol w:w="109"/>
        <w:gridCol w:w="109"/>
        <w:gridCol w:w="109"/>
        <w:gridCol w:w="109"/>
        <w:gridCol w:w="109"/>
        <w:gridCol w:w="109"/>
        <w:gridCol w:w="766"/>
        <w:gridCol w:w="1311"/>
        <w:gridCol w:w="398"/>
        <w:gridCol w:w="109"/>
        <w:gridCol w:w="109"/>
        <w:gridCol w:w="109"/>
        <w:gridCol w:w="338"/>
        <w:gridCol w:w="580"/>
        <w:gridCol w:w="251"/>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Expense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Severance charges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295" w:type="dxa"/>
            <w:gridSpan w:val="23"/>
            <w:tcBorders/>
          </w:tcPr>
          <w:p>
            <w:pPr>
              <w:pStyle w:val="TableContents"/>
              <w:bidi w:val="0"/>
              <w:spacing w:before="0" w:after="283"/>
              <w:jc w:val="left"/>
              <w:rPr>
                <w:sz w:val="4"/>
                <w:szCs w:val="4"/>
              </w:rPr>
            </w:pPr>
            <w:r>
              <w:rPr>
                <w:sz w:val="4"/>
                <w:szCs w:val="4"/>
              </w:rPr>
            </w:r>
          </w:p>
        </w:tc>
      </w:tr>
      <w:tr>
        <w:trPr/>
        <w:tc>
          <w:tcPr>
            <w:tcW w:w="6448" w:type="dxa"/>
            <w:gridSpan w:val="2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Recorded within selling, general, and administrative ("SG&amp;A") expenses</w:t>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295" w:type="dxa"/>
            <w:gridSpan w:val="2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incurred the following charges during the twenty-six weeks ended August 1, 2026 (in thousands):</w:t>
      </w:r>
    </w:p>
    <w:p>
      <w:pPr>
        <w:pStyle w:val="TextBody"/>
        <w:bidi w:val="0"/>
        <w:spacing w:before="0" w:after="0"/>
        <w:jc w:val="left"/>
        <w:rPr/>
      </w:pPr>
      <w:r>
        <w:rPr/>
      </w:r>
    </w:p>
    <w:tbl>
      <w:tblPr>
        <w:tblW w:w="8064" w:type="dxa"/>
        <w:jc w:val="left"/>
        <w:tblInd w:w="0" w:type="dxa"/>
        <w:tblLayout w:type="fixed"/>
        <w:tblCellMar>
          <w:top w:w="28" w:type="dxa"/>
          <w:left w:w="28" w:type="dxa"/>
          <w:bottom w:w="28" w:type="dxa"/>
          <w:right w:w="28" w:type="dxa"/>
        </w:tblCellMar>
      </w:tblPr>
      <w:tblGrid>
        <w:gridCol w:w="596"/>
        <w:gridCol w:w="525"/>
        <w:gridCol w:w="528"/>
        <w:gridCol w:w="211"/>
        <w:gridCol w:w="466"/>
        <w:gridCol w:w="109"/>
        <w:gridCol w:w="109"/>
        <w:gridCol w:w="109"/>
        <w:gridCol w:w="109"/>
        <w:gridCol w:w="211"/>
        <w:gridCol w:w="466"/>
        <w:gridCol w:w="109"/>
        <w:gridCol w:w="109"/>
        <w:gridCol w:w="109"/>
        <w:gridCol w:w="109"/>
        <w:gridCol w:w="109"/>
        <w:gridCol w:w="109"/>
        <w:gridCol w:w="664"/>
        <w:gridCol w:w="1466"/>
        <w:gridCol w:w="345"/>
        <w:gridCol w:w="109"/>
        <w:gridCol w:w="109"/>
        <w:gridCol w:w="109"/>
        <w:gridCol w:w="251"/>
        <w:gridCol w:w="735"/>
        <w:gridCol w:w="18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Expense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Severance charges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415" w:type="dxa"/>
            <w:gridSpan w:val="23"/>
            <w:tcBorders/>
          </w:tcPr>
          <w:p>
            <w:pPr>
              <w:pStyle w:val="TableContents"/>
              <w:bidi w:val="0"/>
              <w:spacing w:before="0" w:after="283"/>
              <w:jc w:val="left"/>
              <w:rPr>
                <w:sz w:val="4"/>
                <w:szCs w:val="4"/>
              </w:rPr>
            </w:pPr>
            <w:r>
              <w:rPr>
                <w:sz w:val="4"/>
                <w:szCs w:val="4"/>
              </w:rPr>
            </w:r>
          </w:p>
        </w:tc>
      </w:tr>
      <w:tr>
        <w:trPr/>
        <w:tc>
          <w:tcPr>
            <w:tcW w:w="6568" w:type="dxa"/>
            <w:gridSpan w:val="2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Recorded within selling, general, and administrative ("SG&amp;A") expenses</w:t>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415" w:type="dxa"/>
            <w:gridSpan w:val="2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charges and related liabilities associated with the cost savings initiatives and severance charges are as follows (in thousands): </w:t>
      </w:r>
    </w:p>
    <w:p>
      <w:pPr>
        <w:pStyle w:val="TextBody"/>
        <w:bidi w:val="0"/>
        <w:spacing w:before="0" w:after="0"/>
        <w:jc w:val="left"/>
        <w:rPr/>
      </w:pPr>
      <w:r>
        <w:rPr/>
      </w:r>
    </w:p>
    <w:tbl>
      <w:tblPr>
        <w:tblW w:w="5902" w:type="dxa"/>
        <w:jc w:val="left"/>
        <w:tblInd w:w="0" w:type="dxa"/>
        <w:tblLayout w:type="fixed"/>
        <w:tblCellMar>
          <w:top w:w="28" w:type="dxa"/>
          <w:left w:w="28" w:type="dxa"/>
          <w:bottom w:w="28" w:type="dxa"/>
          <w:right w:w="28" w:type="dxa"/>
        </w:tblCellMar>
      </w:tblPr>
      <w:tblGrid>
        <w:gridCol w:w="1155"/>
        <w:gridCol w:w="1017"/>
        <w:gridCol w:w="1021"/>
        <w:gridCol w:w="655"/>
        <w:gridCol w:w="1449"/>
        <w:gridCol w:w="342"/>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Severance Charges Activity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as of January 31, 2026</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charges</w:t>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Liability as of August 1, 2026 </w:t>
            </w:r>
            <w:r>
              <w:rPr>
                <w:rFonts w:ascii="Times New Roman;serif" w:hAnsi="Times New Roman;serif"/>
                <w:b w:val="false"/>
                <w:color w:val="000000"/>
                <w:sz w:val="13"/>
              </w:rPr>
              <w:t>(1)</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Remaining liability is recorded within accrued employment costs</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incurred the following charges during the thirteen weeks ended August 2, 2025 (in thousands):</w:t>
      </w:r>
    </w:p>
    <w:p>
      <w:pPr>
        <w:pStyle w:val="TextBody"/>
        <w:bidi w:val="0"/>
        <w:spacing w:before="0" w:after="0"/>
        <w:jc w:val="left"/>
        <w:rPr/>
      </w:pPr>
      <w:r>
        <w:rPr/>
      </w:r>
    </w:p>
    <w:tbl>
      <w:tblPr>
        <w:tblW w:w="7944" w:type="dxa"/>
        <w:jc w:val="left"/>
        <w:tblInd w:w="0" w:type="dxa"/>
        <w:tblLayout w:type="fixed"/>
        <w:tblCellMar>
          <w:top w:w="28" w:type="dxa"/>
          <w:left w:w="28" w:type="dxa"/>
          <w:bottom w:w="28" w:type="dxa"/>
          <w:right w:w="28" w:type="dxa"/>
        </w:tblCellMar>
      </w:tblPr>
      <w:tblGrid>
        <w:gridCol w:w="596"/>
        <w:gridCol w:w="525"/>
        <w:gridCol w:w="528"/>
        <w:gridCol w:w="211"/>
        <w:gridCol w:w="406"/>
        <w:gridCol w:w="109"/>
        <w:gridCol w:w="109"/>
        <w:gridCol w:w="109"/>
        <w:gridCol w:w="109"/>
        <w:gridCol w:w="211"/>
        <w:gridCol w:w="406"/>
        <w:gridCol w:w="109"/>
        <w:gridCol w:w="109"/>
        <w:gridCol w:w="109"/>
        <w:gridCol w:w="109"/>
        <w:gridCol w:w="109"/>
        <w:gridCol w:w="109"/>
        <w:gridCol w:w="558"/>
        <w:gridCol w:w="1628"/>
        <w:gridCol w:w="289"/>
        <w:gridCol w:w="109"/>
        <w:gridCol w:w="109"/>
        <w:gridCol w:w="109"/>
        <w:gridCol w:w="251"/>
        <w:gridCol w:w="735"/>
        <w:gridCol w:w="18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Expense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Severance charges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2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Recorded within selling, general, and administrative ("SG&amp;A") expenses</w:t>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295" w:type="dxa"/>
            <w:gridSpan w:val="23"/>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295" w:type="dxa"/>
            <w:gridSpan w:val="2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incurred the following charges during the twenty-six weeks ended August 2,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7899" w:type="dxa"/>
        <w:jc w:val="left"/>
        <w:tblInd w:w="0" w:type="dxa"/>
        <w:tblLayout w:type="fixed"/>
        <w:tblCellMar>
          <w:top w:w="28" w:type="dxa"/>
          <w:left w:w="28" w:type="dxa"/>
          <w:bottom w:w="28" w:type="dxa"/>
          <w:right w:w="28" w:type="dxa"/>
        </w:tblCellMar>
      </w:tblPr>
      <w:tblGrid>
        <w:gridCol w:w="596"/>
        <w:gridCol w:w="525"/>
        <w:gridCol w:w="528"/>
        <w:gridCol w:w="211"/>
        <w:gridCol w:w="361"/>
        <w:gridCol w:w="109"/>
        <w:gridCol w:w="109"/>
        <w:gridCol w:w="109"/>
        <w:gridCol w:w="109"/>
        <w:gridCol w:w="211"/>
        <w:gridCol w:w="406"/>
        <w:gridCol w:w="109"/>
        <w:gridCol w:w="109"/>
        <w:gridCol w:w="109"/>
        <w:gridCol w:w="109"/>
        <w:gridCol w:w="109"/>
        <w:gridCol w:w="109"/>
        <w:gridCol w:w="558"/>
        <w:gridCol w:w="1628"/>
        <w:gridCol w:w="289"/>
        <w:gridCol w:w="109"/>
        <w:gridCol w:w="109"/>
        <w:gridCol w:w="109"/>
        <w:gridCol w:w="251"/>
        <w:gridCol w:w="735"/>
        <w:gridCol w:w="18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Expense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Severance charges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2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Recorded within selling, general, and administrative ("SG&amp;A") expenses</w:t>
            </w:r>
          </w:p>
        </w:tc>
        <w:tc>
          <w:tcPr>
            <w:tcW w:w="1496"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250" w:type="dxa"/>
            <w:gridSpan w:val="23"/>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6250" w:type="dxa"/>
            <w:gridSpan w:val="2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charges and related liabilities associated with the cost savings initiatives and severance charges are as follows (in thousands): </w:t>
      </w:r>
    </w:p>
    <w:p>
      <w:pPr>
        <w:pStyle w:val="TextBody"/>
        <w:bidi w:val="0"/>
        <w:spacing w:before="0" w:after="0"/>
        <w:jc w:val="left"/>
        <w:rPr/>
      </w:pPr>
      <w:r>
        <w:rPr/>
      </w:r>
    </w:p>
    <w:tbl>
      <w:tblPr>
        <w:tblW w:w="5683" w:type="dxa"/>
        <w:jc w:val="left"/>
        <w:tblInd w:w="0" w:type="dxa"/>
        <w:tblLayout w:type="fixed"/>
        <w:tblCellMar>
          <w:top w:w="28" w:type="dxa"/>
          <w:left w:w="28" w:type="dxa"/>
          <w:bottom w:w="28" w:type="dxa"/>
          <w:right w:w="28" w:type="dxa"/>
        </w:tblCellMar>
      </w:tblPr>
      <w:tblGrid>
        <w:gridCol w:w="1144"/>
        <w:gridCol w:w="1009"/>
        <w:gridCol w:w="1013"/>
        <w:gridCol w:w="541"/>
        <w:gridCol w:w="1581"/>
        <w:gridCol w:w="395"/>
      </w:tblGrid>
      <w:tr>
        <w:trPr/>
        <w:tc>
          <w:tcPr>
            <w:tcW w:w="11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Charges Activity</w:t>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as of February 1, 2025</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 charges</w:t>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2517"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Liability as of August 2, 2025</w:t>
            </w:r>
            <w:r>
              <w:rPr>
                <w:rFonts w:ascii="Times New Roman;serif" w:hAnsi="Times New Roman;serif"/>
                <w:b w:val="false"/>
                <w:color w:val="000000"/>
                <w:sz w:val="13"/>
              </w:rPr>
              <w:t>(1)</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3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Remaining liability is recorded within accrued employment costs</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12.Segment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which are also its reportable segments: Direct and Indirect. During the thirteen weeks ended May 3, 2025, the Company completed the sale of its wholly owned subsidiary, Creative Genius, also referred to as Pura Vida which was the Company's third reporting segment. Refer to Note 13 for additional information.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Chairman and Chief Executive Officer.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Direct segment includes Vera Bradley full-line and outlet stores; e-commerce sites (verabradley.com, verabradleyoutlet.com, and international.verabradley.com); direct to consumer marketplaces; and typically the Vera Bradley annual outlet sale. Revenues generated from this segment are driven through the sale of Vera Bradley-branded products from Vera Bradley to end consumers.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Indirect segment represents revenues generated through the distribution of Vera Bradley-branded products to specialty retailers representing approximately 1,200 locations, substantially all of which are located in the United States; key accounts, which include department stores, national accounts, and third-party inventory liquidators; and royalties recognized through licensing agreements related to the Vera Bradley brand.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Income earned under the Transition Services Agreement ("TSA") resulting from the sale of Creative Genius is netted against these unallocated corporate expenses. All intercompany-related activities are eliminated in consolidation and are excluded from the segment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Net revenues, cost of sales, other segment expenses, and operating income information for the Company’s reportable segments, as well as a reconciliation to loss from continuing operations before income taxes during the twenty-six weeks ended August 1, 2026 and August 2, 2025, respectively, consisted of the following (in thousands):</w:t>
      </w:r>
    </w:p>
    <w:tbl>
      <w:tblPr>
        <w:tblW w:w="10205" w:type="dxa"/>
        <w:jc w:val="left"/>
        <w:tblInd w:w="0" w:type="dxa"/>
        <w:tblLayout w:type="fixed"/>
        <w:tblCellMar>
          <w:top w:w="28" w:type="dxa"/>
          <w:left w:w="28" w:type="dxa"/>
          <w:bottom w:w="28" w:type="dxa"/>
          <w:right w:w="28" w:type="dxa"/>
        </w:tblCellMar>
      </w:tblPr>
      <w:tblGrid>
        <w:gridCol w:w="1638"/>
        <w:gridCol w:w="1354"/>
        <w:gridCol w:w="1360"/>
        <w:gridCol w:w="109"/>
        <w:gridCol w:w="109"/>
        <w:gridCol w:w="109"/>
        <w:gridCol w:w="211"/>
        <w:gridCol w:w="783"/>
        <w:gridCol w:w="109"/>
        <w:gridCol w:w="109"/>
        <w:gridCol w:w="109"/>
        <w:gridCol w:w="109"/>
        <w:gridCol w:w="211"/>
        <w:gridCol w:w="783"/>
        <w:gridCol w:w="109"/>
        <w:gridCol w:w="109"/>
        <w:gridCol w:w="109"/>
        <w:gridCol w:w="109"/>
        <w:gridCol w:w="211"/>
        <w:gridCol w:w="826"/>
        <w:gridCol w:w="109"/>
        <w:gridCol w:w="109"/>
        <w:gridCol w:w="109"/>
        <w:gridCol w:w="109"/>
        <w:gridCol w:w="211"/>
        <w:gridCol w:w="826"/>
        <w:gridCol w:w="156"/>
      </w:tblGrid>
      <w:tr>
        <w:trPr/>
        <w:tc>
          <w:tcPr>
            <w:tcW w:w="16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 net</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segment expenses, net include SG&amp;A expenses and are net of other income.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13.Discontinued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11, 2025, the Company completed the sale of Creative Genius pursuant to an Interest Purchase Agreement (the “Agreement”) to sell one hundred percent (100%) of Creative Genius, which operates under the name Pura Vida Bracelets. The sale consummated on March 31, 2025. In connection with the transaction, the Company received total consideration of $3.5 million, consisting of a combination of cash consideration, subject to net working capital and net cash adjustments, as well as contingent consideration.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closing, the Company received cash proceeds of $0.9 million, in addition, the Company is entitled to receive contingent consideration with an estimated fair value of $2.5 million, based on the present value of expected future payments. The remaining contingent consideration receivable was $1.8 million as of August 1, 2026. The contingent consideration is calculated as 5% of total sales generated by the divested business, as operated by the buyer, net of customary shipping costs, during the earn-out period specified in the agreement. The earn-out period and related terms are consistent with customary provisions for transactions of this nature. The fair value of the contingent consideration was determined using a probability-weighted discounted cash flow analysis based on internal projections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buyer’s expected future sales. The fair value measurement is classified as Level 3 within the fair value hierarchy due to the use of unobservable inputs.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assess changes in the fair value of the contingent consideration at each reporting date, with any adjustments recognized in earnings in the period in which such changes are identified.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recorded a net loss on disposal of $15.2 million for the twenty-six weeks ended August 2, 2025. The loss on sale is presented as part of results of the discontinued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Pura Vida business is reported as discontinued operations in the Consolidated Statements of Operations for all periods presented in this Form 10-Q. This business was historically presented as its own reportable segment.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Results of discontinued operations were as follows for the twenty-six weeks ended August 1, 2026 and August 2, 2025:</w:t>
      </w:r>
    </w:p>
    <w:tbl>
      <w:tblPr>
        <w:tblW w:w="10205" w:type="dxa"/>
        <w:jc w:val="left"/>
        <w:tblInd w:w="0" w:type="dxa"/>
        <w:tblLayout w:type="fixed"/>
        <w:tblCellMar>
          <w:top w:w="28" w:type="dxa"/>
          <w:left w:w="28" w:type="dxa"/>
          <w:bottom w:w="28" w:type="dxa"/>
          <w:right w:w="28" w:type="dxa"/>
        </w:tblCellMar>
      </w:tblPr>
      <w:tblGrid>
        <w:gridCol w:w="1935"/>
        <w:gridCol w:w="1708"/>
        <w:gridCol w:w="1720"/>
        <w:gridCol w:w="112"/>
        <w:gridCol w:w="112"/>
        <w:gridCol w:w="112"/>
        <w:gridCol w:w="238"/>
        <w:gridCol w:w="461"/>
        <w:gridCol w:w="122"/>
        <w:gridCol w:w="112"/>
        <w:gridCol w:w="112"/>
        <w:gridCol w:w="112"/>
        <w:gridCol w:w="238"/>
        <w:gridCol w:w="461"/>
        <w:gridCol w:w="122"/>
        <w:gridCol w:w="112"/>
        <w:gridCol w:w="112"/>
        <w:gridCol w:w="112"/>
        <w:gridCol w:w="238"/>
        <w:gridCol w:w="461"/>
        <w:gridCol w:w="122"/>
        <w:gridCol w:w="112"/>
        <w:gridCol w:w="112"/>
        <w:gridCol w:w="112"/>
        <w:gridCol w:w="218"/>
        <w:gridCol w:w="640"/>
        <w:gridCol w:w="177"/>
      </w:tblGrid>
      <w:tr>
        <w:trPr/>
        <w:tc>
          <w:tcPr>
            <w:tcW w:w="193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discontinued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$15.2 million loss on sale of discontinued operations recorded during the twenty-six weeks ended August 2, 2025.</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provided certain transition services to support the divested business in accordance with the Interest Purchase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cash flows from operating and investing activities for discontinued operations for the twenty-six weeks ended August 1, 2026 and August 2, 2025:</w:t>
      </w:r>
    </w:p>
    <w:tbl>
      <w:tblPr>
        <w:tblW w:w="6989" w:type="dxa"/>
        <w:jc w:val="left"/>
        <w:tblInd w:w="0" w:type="dxa"/>
        <w:tblLayout w:type="fixed"/>
        <w:tblCellMar>
          <w:top w:w="28" w:type="dxa"/>
          <w:left w:w="28" w:type="dxa"/>
          <w:bottom w:w="28" w:type="dxa"/>
          <w:right w:w="28" w:type="dxa"/>
        </w:tblCellMar>
      </w:tblPr>
      <w:tblGrid>
        <w:gridCol w:w="1652"/>
        <w:gridCol w:w="1450"/>
        <w:gridCol w:w="1457"/>
        <w:gridCol w:w="109"/>
        <w:gridCol w:w="109"/>
        <w:gridCol w:w="109"/>
        <w:gridCol w:w="219"/>
        <w:gridCol w:w="454"/>
        <w:gridCol w:w="122"/>
        <w:gridCol w:w="109"/>
        <w:gridCol w:w="109"/>
        <w:gridCol w:w="109"/>
        <w:gridCol w:w="196"/>
        <w:gridCol w:w="631"/>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operating activities -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investing activities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discussion summarizes the significant factors affecting the condensed consolidated operating results, financial condition, liquidity, and cash flows of the Company as of and for the thirteen and twenty-six weeks ended August 1, 2026 and August 2, 2025. The following discussion should be read in conjunction with our Annual Report on Form 10-K for the fiscal year ended January 31, 2026, and our unaudited condensed consolidated financial statements and the related notes included in Item 1 of this Quarterly Report. The results of operations for the thirteen and twenty-six weeks ended August 1, 2026, are not necessarily indicative of the results to be expected for the full fiscal year.</w:t>
      </w:r>
    </w:p>
    <w:p>
      <w:pPr>
        <w:pStyle w:val="TextBody"/>
        <w:bidi w:val="0"/>
        <w:spacing w:lineRule="auto" w:line="288" w:before="280" w:after="280"/>
        <w:jc w:val="left"/>
        <w:rPr>
          <w:rFonts w:ascii="Times New Roman;serif" w:hAnsi="Times New Roman;serif"/>
          <w:b/>
          <w:color w:val="000000"/>
          <w:sz w:val="20"/>
        </w:rPr>
      </w:pPr>
      <w:r>
        <w:rPr>
          <w:rFonts w:ascii="Times New Roman;serif" w:hAnsi="Times New Roman;serif"/>
          <w:b/>
          <w:color w:val="000000"/>
          <w:sz w:val="20"/>
        </w:rPr>
        <w:t>Strategic Progress, Macroeconomic Factors, and Other Factors Impacting our Financial Condition and Results of Operations</w:t>
      </w:r>
    </w:p>
    <w:p>
      <w:pPr>
        <w:pStyle w:val="TextBody"/>
        <w:bidi w:val="0"/>
        <w:spacing w:lineRule="auto" w:line="288" w:before="0" w:after="0"/>
        <w:jc w:val="left"/>
        <w:rPr/>
      </w:pPr>
      <w:r>
        <w:rPr>
          <w:rFonts w:ascii="Times New Roman;serif" w:hAnsi="Times New Roman;serif"/>
          <w:b w:val="false"/>
          <w:i/>
          <w:color w:val="000000"/>
          <w:sz w:val="20"/>
        </w:rPr>
        <w:t xml:space="preserve">Strategic Progress. </w:t>
      </w:r>
      <w:r>
        <w:rPr>
          <w:rFonts w:ascii="Times New Roman;serif" w:hAnsi="Times New Roman;serif"/>
          <w:b w:val="false"/>
          <w:color w:val="000000"/>
          <w:sz w:val="20"/>
        </w:rPr>
        <w:t>We are continuing execution of Project Sunshine, a comprehensive strategy to strengthen our market position by tapping into our brand’s strong emotional connection 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 — building a responsive organization to fully leverage our unique brand position.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five key initiatives of Project Sunshine are:</w:t>
      </w:r>
    </w:p>
    <w:p>
      <w:pPr>
        <w:pStyle w:val="TextBody"/>
        <w:bidi w:val="0"/>
        <w:spacing w:lineRule="auto" w:line="288" w:before="100" w:after="283"/>
        <w:jc w:val="left"/>
        <w:rPr/>
      </w:pPr>
      <w:r>
        <w:rPr>
          <w:rFonts w:ascii="Times New Roman;serif" w:hAnsi="Times New Roman;serif"/>
          <w:b w:val="false"/>
          <w:color w:val="000000"/>
          <w:sz w:val="20"/>
          <w:u w:val="single"/>
        </w:rPr>
        <w:t>Sharpening Our Brand Focus</w:t>
      </w:r>
      <w:r>
        <w:rPr>
          <w:rFonts w:ascii="Times New Roman;serif" w:hAnsi="Times New Roman;serif"/>
          <w:b w:val="false"/>
          <w:color w:val="000000"/>
          <w:sz w:val="20"/>
        </w:rPr>
        <w:t>: We are restoring Vera Bradley’s distinctive, joyful brand positioning by strengthening product, emphasis on social-first marketing, storytelling, and partnering selectively across wholesale and IP to rebuild relevance and demand.</w:t>
      </w:r>
    </w:p>
    <w:p>
      <w:pPr>
        <w:pStyle w:val="TextBody"/>
        <w:bidi w:val="0"/>
        <w:spacing w:lineRule="auto" w:line="288" w:before="100" w:after="283"/>
        <w:jc w:val="left"/>
        <w:rPr/>
      </w:pPr>
      <w:r>
        <w:rPr>
          <w:rFonts w:ascii="Times New Roman;serif" w:hAnsi="Times New Roman;serif"/>
          <w:b w:val="false"/>
          <w:color w:val="000000"/>
          <w:sz w:val="20"/>
          <w:u w:val="single"/>
        </w:rPr>
        <w:t>Resetting Our Go-to-Market Model</w:t>
      </w:r>
      <w:r>
        <w:rPr>
          <w:rFonts w:ascii="Times New Roman;serif" w:hAnsi="Times New Roman;serif"/>
          <w:b w:val="false"/>
          <w:color w:val="000000"/>
          <w:sz w:val="20"/>
        </w:rPr>
        <w:t>: We are rebuilding our commercial engine with sharper hero product focus, disciplined pricing and promotions, improved inventory planning, and integrated, insight-led execution across channels.</w:t>
      </w:r>
    </w:p>
    <w:p>
      <w:pPr>
        <w:pStyle w:val="TextBody"/>
        <w:bidi w:val="0"/>
        <w:spacing w:lineRule="auto" w:line="288" w:before="100" w:after="283"/>
        <w:jc w:val="left"/>
        <w:rPr/>
      </w:pPr>
      <w:r>
        <w:rPr>
          <w:rFonts w:ascii="Times New Roman;serif" w:hAnsi="Times New Roman;serif"/>
          <w:b w:val="false"/>
          <w:color w:val="000000"/>
          <w:sz w:val="20"/>
          <w:u w:val="single"/>
        </w:rPr>
        <w:t>Rewiring the Digital Ecosystem</w:t>
      </w:r>
      <w:r>
        <w:rPr>
          <w:rFonts w:ascii="Times New Roman;serif" w:hAnsi="Times New Roman;serif"/>
          <w:b w:val="false"/>
          <w:color w:val="000000"/>
          <w:sz w:val="20"/>
        </w:rPr>
        <w:t>: We are integrating our digital commerce platforms to create a seamless customer journey, supported by enhanced site functionality, data-driven decisions, and improved conversion and profitability.</w:t>
      </w:r>
    </w:p>
    <w:p>
      <w:pPr>
        <w:pStyle w:val="TextBody"/>
        <w:bidi w:val="0"/>
        <w:spacing w:lineRule="auto" w:line="288" w:before="100" w:after="283"/>
        <w:jc w:val="left"/>
        <w:rPr/>
      </w:pPr>
      <w:r>
        <w:rPr>
          <w:rFonts w:ascii="Times New Roman;serif" w:hAnsi="Times New Roman;serif"/>
          <w:b w:val="false"/>
          <w:color w:val="000000"/>
          <w:sz w:val="20"/>
          <w:u w:val="single"/>
        </w:rPr>
        <w:t>Outlet 2.0</w:t>
      </w:r>
      <w:r>
        <w:rPr>
          <w:rFonts w:ascii="Times New Roman;serif" w:hAnsi="Times New Roman;serif"/>
          <w:b w:val="false"/>
          <w:color w:val="000000"/>
          <w:sz w:val="20"/>
        </w:rPr>
        <w:t>: We are transforming our outlet channel from discount driven to a curated, brand-building smart-value experience that is delivering higher sales, conversion, and profitability.</w:t>
      </w:r>
    </w:p>
    <w:p>
      <w:pPr>
        <w:pStyle w:val="TextBody"/>
        <w:bidi w:val="0"/>
        <w:spacing w:lineRule="auto" w:line="288" w:before="100" w:after="280"/>
        <w:jc w:val="left"/>
        <w:rPr/>
      </w:pPr>
      <w:r>
        <w:rPr>
          <w:rFonts w:ascii="Times New Roman;serif" w:hAnsi="Times New Roman;serif"/>
          <w:b w:val="false"/>
          <w:color w:val="000000"/>
          <w:sz w:val="20"/>
          <w:u w:val="single"/>
        </w:rPr>
        <w:t>Reimagining How We Work</w:t>
      </w:r>
      <w:r>
        <w:rPr>
          <w:rFonts w:ascii="Times New Roman;serif" w:hAnsi="Times New Roman;serif"/>
          <w:b w:val="false"/>
          <w:color w:val="000000"/>
          <w:sz w:val="20"/>
        </w:rPr>
        <w:t>: We are streamlining the organization while investing in critical talent and capabilities to create a more agile, future-fit company positioned for sustainable long-term growth.</w:t>
      </w:r>
    </w:p>
    <w:p>
      <w:pPr>
        <w:pStyle w:val="TextBody"/>
        <w:bidi w:val="0"/>
        <w:spacing w:lineRule="auto" w:line="288" w:before="0" w:after="0"/>
        <w:jc w:val="left"/>
        <w:rPr/>
      </w:pPr>
      <w:r>
        <w:rPr>
          <w:rFonts w:ascii="Times New Roman;serif" w:hAnsi="Times New Roman;serif"/>
          <w:b w:val="false"/>
          <w:i/>
          <w:color w:val="000000"/>
          <w:sz w:val="20"/>
        </w:rPr>
        <w:t>Macroeconomic and Other Factors.</w:t>
      </w:r>
      <w:r>
        <w:rPr>
          <w:color w:val="000000"/>
        </w:rPr>
        <w:t xml:space="preserve"> </w:t>
      </w:r>
      <w:r>
        <w:rPr>
          <w:rFonts w:ascii="Times New Roman;serif" w:hAnsi="Times New Roman;serif"/>
          <w:b w:val="false"/>
          <w:color w:val="000000"/>
          <w:sz w:val="20"/>
        </w:rPr>
        <w:t>We continue to closely monitor the dynamic economic landscape and are actively managing the impact of changing tariff costs. While ongoing inflationary pressures and related macroeconomic factors continue to influence consumer discretionary spending, our business has demonstrated resilience to start the fiscal year. We delivered a strong start to fiscal 2027 and remain focused on executing our strategic initiatives and adapting to current market conditions to support sustained long-term growth.</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Management Transition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2025, the Company announced the departure of its former Chief Executive Officer (“CEO”), Jacqueline Ardrey. In March 2026, Board member Ian Bickley was appointed permanent Chairman and Chief Executive Officer after serving as our Interim CEO since July 2025. Martin Layding was named Chief Financial Officer in June 2025 and was promoted to also serve as the Chief Operating Officer in March 2026.</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sale of Pura Vida was completed on March 31, 2025. See Note 13 to the Notes to the Condensed Consolidated Financial Statements herein for additional information. The loss on sale was presented as part of results of the discontinued operations. We have reflected the results of operations of the Pura Vida business as discontinued operations in the Consolidated Statement of Operations. This business was historically presented as its own reporting unit.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we consider a variety of performance and financial measures.</w:t>
      </w: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reflect sales of our merchandise and revenue from distribution and shipping and handling fees, less returns and discounts. Revenues for the Direct segment reflect sales through full-line and outlet stores; e-commerce sites (verabradley.com, verabradleyoutlet.com, and international.verabradley.com); direct to consumer marketplaces; and typically the Vera Bradley annual outlet sale. Revenues for the Indirect segment reflect sales of Vera Bradley-branded products to specialty retail partners; key accounts consisting of department stores, national accounts, and third-party inventory liquidators; and royalties recognized through licensing agreements related to the Vera Bradley brand.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Comparable Sales</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Comparable sales are calculated based upon our stores that have been open for at least 12 full fiscal months and net revenues from our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Measuring the change in year-over-year comparable sales allows us and our investors to evaluate how our store base and e-commerce operations are performing. Various factors affect our comparable sales,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Overall economic trends;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Consumer preferences and fashion trends;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our releases of new patterns and collections;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Changes in our product mix;</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Pricing, as well as timing and level of promotions;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Amount of store, mall, and e-commerce traffic;</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level of customer service that we provide in stores and to our on-line customers;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source and distribute products efficiently;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number of stores we open and close in any period;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and success of promotional and marketing efforts.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Gross profit can be impacted by changes in volume; fluctuations in sales price; inbound freight and other logistical costs; outbound freight; operational efficiencies, such as leveraging of fixed costs; promotional activities, including free shipping; commodity prices, such as for cotton; tariffs; and labor costs.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(“SG&amp;A”)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include selling; advertising, marketing, and product development; and administrative expenses. Selling expenses include: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Direct business expenses, such as store expenses, employee compensation, and store occupancy and supply costs;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Indirect business expenses consisting primarily of employee compensation and other expenses associated with sales to Indirect retailers;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11 to the Notes to the Condensed Consolidated Financial Statements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condensed consolidated results of operations for the periods indicated, both in dollars and as a percentage of our net revenues ($ in thousands):</w:t>
      </w:r>
    </w:p>
    <w:tbl>
      <w:tblPr>
        <w:tblW w:w="10205" w:type="dxa"/>
        <w:jc w:val="left"/>
        <w:tblInd w:w="0" w:type="dxa"/>
        <w:tblLayout w:type="fixed"/>
        <w:tblCellMar>
          <w:top w:w="28" w:type="dxa"/>
          <w:left w:w="28" w:type="dxa"/>
          <w:bottom w:w="28" w:type="dxa"/>
          <w:right w:w="28" w:type="dxa"/>
        </w:tblCellMar>
      </w:tblPr>
      <w:tblGrid>
        <w:gridCol w:w="1435"/>
        <w:gridCol w:w="1193"/>
        <w:gridCol w:w="1201"/>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7"/>
      </w:tblGrid>
      <w:tr>
        <w:trPr/>
        <w:tc>
          <w:tcPr>
            <w:tcW w:w="143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58,264 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(22,969)</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net revenues and operating income (loss) by operating segment, both in dollars and as a percentage of associated net revenues, and store data for the periods indicated ($ in thousands, except as otherwise indicated):</w:t>
      </w:r>
    </w:p>
    <w:tbl>
      <w:tblPr>
        <w:tblW w:w="9900" w:type="dxa"/>
        <w:jc w:val="left"/>
        <w:tblInd w:w="0" w:type="dxa"/>
        <w:tblLayout w:type="fixed"/>
        <w:tblCellMar>
          <w:top w:w="28" w:type="dxa"/>
          <w:left w:w="28" w:type="dxa"/>
          <w:bottom w:w="28" w:type="dxa"/>
          <w:right w:w="28" w:type="dxa"/>
        </w:tblCellMar>
      </w:tblPr>
      <w:tblGrid>
        <w:gridCol w:w="1278"/>
        <w:gridCol w:w="1119"/>
        <w:gridCol w:w="1128"/>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2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 of Net Revenues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508"/>
        <w:gridCol w:w="1264"/>
        <w:gridCol w:w="1271"/>
        <w:gridCol w:w="109"/>
        <w:gridCol w:w="109"/>
        <w:gridCol w:w="109"/>
        <w:gridCol w:w="211"/>
        <w:gridCol w:w="721"/>
        <w:gridCol w:w="271"/>
        <w:gridCol w:w="109"/>
        <w:gridCol w:w="109"/>
        <w:gridCol w:w="109"/>
        <w:gridCol w:w="211"/>
        <w:gridCol w:w="666"/>
        <w:gridCol w:w="271"/>
        <w:gridCol w:w="109"/>
        <w:gridCol w:w="109"/>
        <w:gridCol w:w="109"/>
        <w:gridCol w:w="211"/>
        <w:gridCol w:w="721"/>
        <w:gridCol w:w="271"/>
        <w:gridCol w:w="109"/>
        <w:gridCol w:w="109"/>
        <w:gridCol w:w="109"/>
        <w:gridCol w:w="211"/>
        <w:gridCol w:w="771"/>
        <w:gridCol w:w="318"/>
      </w:tblGrid>
      <w:tr>
        <w:trPr/>
        <w:tc>
          <w:tcPr>
            <w:tcW w:w="150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Corporate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 as a Percentage of Net Revenues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Vera Bradley Store Data </w:t>
            </w:r>
            <w:r>
              <w:rPr>
                <w:rFonts w:ascii="Times New Roman;serif" w:hAnsi="Times New Roman;serif"/>
                <w:b/>
                <w:color w:val="000000"/>
                <w:sz w:val="13"/>
              </w:rPr>
              <w:t>(1)</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stores opened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stores closed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stores open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square footage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revenues per gross square foot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Comparable sales (including e-commerce) increase (decrease)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shd w:fill="FFFFFF" w:val="clear"/>
        </w:rPr>
        <w:t>Includes Vera Bradley full-line and outlet stores.</w:t>
      </w:r>
    </w:p>
    <w:p>
      <w:pPr>
        <w:pStyle w:val="TextBody"/>
        <w:bidi w:val="0"/>
        <w:spacing w:lineRule="auto" w:line="288" w:before="0" w:after="0"/>
        <w:ind w:left="0" w:right="0" w:hanging="630"/>
        <w:jc w:val="left"/>
        <w:rPr/>
      </w:pPr>
      <w:r>
        <w:rPr>
          <w:rFonts w:ascii="Times New Roman;serif" w:hAnsi="Times New Roman;serif"/>
          <w:b w:val="false"/>
          <w:color w:val="000000"/>
          <w:sz w:val="13"/>
          <w:shd w:fill="FFFFFF" w:val="clear"/>
        </w:rPr>
        <w:t>(2)</w:t>
      </w:r>
      <w:r>
        <w:rPr>
          <w:rFonts w:ascii="Times New Roman;serif" w:hAnsi="Times New Roman;serif"/>
          <w:b w:val="false"/>
          <w:color w:val="000000"/>
          <w:sz w:val="20"/>
        </w:rPr>
        <w:t>Dollars not in thousands. Average net revenues per gross square foot are calculated by dividing total net revenues for our stores that have been open at least 12 full fiscal months as of the end of the period by total gross square footage for those s</w:t>
      </w:r>
      <w:r>
        <w:rPr>
          <w:rFonts w:ascii="Times New Roman;serif" w:hAnsi="Times New Roman;serif"/>
          <w:b w:val="false"/>
          <w:color w:val="000000"/>
          <w:sz w:val="20"/>
          <w:shd w:fill="FFFFFF" w:val="clear"/>
        </w:rPr>
        <w:t>tores. Remodeled stores are included in average net revenues per gross square foot unless the store was closed for a portion of the period.</w:t>
      </w:r>
    </w:p>
    <w:p>
      <w:pPr>
        <w:pStyle w:val="TextBody"/>
        <w:bidi w:val="0"/>
        <w:spacing w:lineRule="auto" w:line="288" w:before="0" w:after="0"/>
        <w:ind w:left="0" w:right="0" w:hanging="630"/>
        <w:jc w:val="left"/>
        <w:rPr/>
      </w:pPr>
      <w:r>
        <w:rPr>
          <w:rFonts w:ascii="Times New Roman;serif" w:hAnsi="Times New Roman;serif"/>
          <w:b w:val="false"/>
          <w:color w:val="000000"/>
          <w:sz w:val="13"/>
          <w:shd w:fill="FFFFFF" w:val="clear"/>
        </w:rPr>
        <w:t>(3)</w:t>
      </w:r>
      <w:r>
        <w:rPr>
          <w:rFonts w:ascii="Times New Roman;serif" w:hAnsi="Times New Roman;serif"/>
          <w:b w:val="false"/>
          <w:color w:val="000000"/>
          <w:sz w:val="20"/>
          <w:shd w:fill="FFFFFF" w:val="clear"/>
        </w:rPr>
        <w:t>Comparable sales are calculated based upon stores that have been open for at least 12 full fiscal months and net revenues from e-commerce operations</w:t>
      </w:r>
      <w:r>
        <w:rPr>
          <w:rFonts w:ascii="Times New Roman;serif" w:hAnsi="Times New Roman;serif"/>
          <w:b w:val="false"/>
          <w:color w:val="000000"/>
          <w:sz w:val="20"/>
        </w:rPr>
        <w:t>. Comparable sales increase (decrease)</w:t>
      </w:r>
      <w:r>
        <w:rPr>
          <w:color w:val="000000"/>
          <w:shd w:fill="FFFFFF" w:val="clear"/>
        </w:rPr>
        <w:t xml:space="preserve"> </w:t>
      </w:r>
      <w:r>
        <w:rPr>
          <w:rFonts w:ascii="Times New Roman;serif" w:hAnsi="Times New Roman;serif"/>
          <w:b w:val="false"/>
          <w:color w:val="000000"/>
          <w:sz w:val="20"/>
          <w:shd w:fill="FFFFFF" w:val="clear"/>
        </w:rPr>
        <w:t>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Thirteen Weeks Ended August 1, 2026, Compared to Thirteen Weeks Ended August 2, 2025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August 1, 2026, net revenues increased $0.8 million, or 1.1%, to $71.6 million, from $70.9 million in the comparable prior-year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pPr>
      <w:r>
        <w:rPr>
          <w:rFonts w:ascii="Times New Roman;serif" w:hAnsi="Times New Roman;serif"/>
          <w:b w:val="false"/>
          <w:i/>
          <w:color w:val="000000"/>
          <w:sz w:val="20"/>
        </w:rPr>
        <w:t>Direct</w:t>
      </w:r>
      <w:r>
        <w:rPr>
          <w:rFonts w:ascii="Times New Roman;serif" w:hAnsi="Times New Roman;serif"/>
          <w:b w:val="false"/>
          <w:color w:val="000000"/>
          <w:sz w:val="20"/>
        </w:rPr>
        <w:t xml:space="preserve">. For the thirteen weeks ended August 1, 2026, net revenues in the Direct segment increased $4.9 million, or 8.0%, to $65.4 million, from $60.5 million in the comparable prior-year period. Vera Bradley comparable sales increased 9.2%, which includes a 4.1% increase in comparable store sales as well as an increase in e-commerce sales of 16.2%. </w:t>
      </w:r>
    </w:p>
    <w:p>
      <w:pPr>
        <w:pStyle w:val="TextBody"/>
        <w:bidi w:val="0"/>
        <w:spacing w:lineRule="auto" w:line="276" w:before="180" w:after="283"/>
        <w:jc w:val="left"/>
        <w:rPr/>
      </w:pPr>
      <w:r>
        <w:rPr>
          <w:rFonts w:ascii="Times New Roman;serif" w:hAnsi="Times New Roman;serif"/>
          <w:b w:val="false"/>
          <w:i/>
          <w:color w:val="000000"/>
          <w:sz w:val="20"/>
        </w:rPr>
        <w:t>Indirect</w:t>
      </w:r>
      <w:r>
        <w:rPr>
          <w:rFonts w:ascii="Times New Roman;serif" w:hAnsi="Times New Roman;serif"/>
          <w:b w:val="false"/>
          <w:color w:val="000000"/>
          <w:sz w:val="20"/>
        </w:rPr>
        <w:t>. For the thirteen weeks ended August 1, 2026, net revenues in the Indirect segment decreased $4.1 million, or 39.4%, to $6.3 million, from $10.3 million in the comparable prior-year period. The decrease was primarily due to strategic shift and timing related to our marketplace strategy.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August 1, 2026, gross profit increased $7.3 million, or 20.6%, to $42.8 million, from $35.5 million in the comparable prior-year period. As a percentage of net revenues, gross profit increased to 59.8% for the thirteen weeks ended August 1, 2026, from 50.1% in the comparable prior-year period. The year-over-year margin rate improvement was primarily driven by tariff refunds of $7.7 million partially offset by margin pressure to sell through Project Restoration product.</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August 1, 2026, SG&amp;A expenses decreased $1.7 million, or 4.2%, to $38.7 million, from $40.4 million in the comparable prior-year period. As a percentage of net revenues, SG&amp;A expenses decreased to 54.1% for the thirteen weeks ended August 1, 2026, from 57.1% in the comparable prior-year period. For the thirteen weeks ended August 1, 2026, consolidated SG&amp;A expenses decreased primarily due to a $4.0 million reduction in advertising costs driven by cost optimization efforts, including the reduction and phasing of advertising spend. This decrease was partially offset by $1.1 million in higher employee-related costs, primarily reflecting increased variable compensation, net of lower severance costs, as well as $0.7 million in higher professional fees and $0.5 million in other expenses.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August 1, 2026, net other income decreased $0.3 million to $0.1 million, from $0.4 million in the comparable prior-year period. The decrease in net other income was primarily due to prior-year income from the TSA resulting from the sale of Creative Genius.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 (Loss) from Continuing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August 1, 2026, operating income from continuing operations increased $8.8 million, or 191.0%, to $4.2 million, from a loss of $(4.6) million in the comparable prior-year period. As a percentage of net revenues, operating income (loss) from continuing operations was 5.8% and (6.5)% for the thirteen weeks ended August 1, 2026 and August 2, 2025, respectively. Operating income from continuing operations increased due to the factors described above.</w:t>
      </w:r>
    </w:p>
    <w:p>
      <w:pPr>
        <w:pStyle w:val="TextBody"/>
        <w:bidi w:val="0"/>
        <w:spacing w:lineRule="auto" w:line="288" w:before="180" w:after="283"/>
        <w:jc w:val="left"/>
        <w:rPr/>
      </w:pPr>
      <w:r>
        <w:rPr>
          <w:rFonts w:ascii="Times New Roman;serif" w:hAnsi="Times New Roman;serif"/>
          <w:b w:val="false"/>
          <w:i/>
          <w:color w:val="000000"/>
          <w:sz w:val="20"/>
        </w:rPr>
        <w:t>Direct</w:t>
      </w:r>
      <w:r>
        <w:rPr>
          <w:rFonts w:ascii="Times New Roman;serif" w:hAnsi="Times New Roman;serif"/>
          <w:b w:val="false"/>
          <w:color w:val="000000"/>
          <w:sz w:val="20"/>
        </w:rPr>
        <w:t>. For the thirteen weeks ended August 1, 2026, operating income in the Direct segment increased $7.3 million, or 78.7%, to $16.7 million, from $9.3 million in the comparable prior-year period. As a percentage of Direct segment net revenues, operating income in the Direct segment was 25.5% and 15.4% for the thirteen weeks ended August 1, 2026 and August 2, 2025, respectively. The increase in operating income as a percentage of Direct segment net revenues was primarily due to the tariff refund discussed earlier, as well as improved SG&amp;A expense leverage.</w:t>
      </w:r>
    </w:p>
    <w:p>
      <w:pPr>
        <w:pStyle w:val="TextBody"/>
        <w:bidi w:val="0"/>
        <w:spacing w:lineRule="auto" w:line="288" w:before="180" w:after="283"/>
        <w:jc w:val="left"/>
        <w:rPr/>
      </w:pPr>
      <w:r>
        <w:rPr>
          <w:rFonts w:ascii="Times New Roman;serif" w:hAnsi="Times New Roman;serif"/>
          <w:b w:val="false"/>
          <w:i/>
          <w:color w:val="000000"/>
          <w:sz w:val="20"/>
        </w:rPr>
        <w:t>Indirect</w:t>
      </w:r>
      <w:r>
        <w:rPr>
          <w:rFonts w:ascii="Times New Roman;serif" w:hAnsi="Times New Roman;serif"/>
          <w:b w:val="false"/>
          <w:color w:val="000000"/>
          <w:sz w:val="20"/>
        </w:rPr>
        <w:t>. For the thirteen weeks ended August 1, 2026, operating income in the Indirect segment increased $0.8 million, or 36.0%, to $3.0 million from $2.2 million in the comparable prior-year period. As a percentage of Indirect segment net revenues, operating income in the Indirect segment was 47.5% and 21.2% for the thirteen weeks ended August 1, 2026 and August 2, 2025, respectively. The increase in operating income as a percentage of Indirect segment net revenues was primarily due to the tariff refund previously discussed, which partially offset the impact of the sales decline, as well as lower overall SG&amp;A expenses in the segment.</w:t>
      </w:r>
    </w:p>
    <w:p>
      <w:pPr>
        <w:pStyle w:val="TextBody"/>
        <w:bidi w:val="0"/>
        <w:spacing w:lineRule="auto" w:line="288" w:before="180" w:after="283"/>
        <w:jc w:val="left"/>
        <w:rPr/>
      </w:pPr>
      <w:r>
        <w:rPr>
          <w:rFonts w:ascii="Times New Roman;serif" w:hAnsi="Times New Roman;serif"/>
          <w:b w:val="false"/>
          <w:i/>
          <w:color w:val="000000"/>
          <w:sz w:val="20"/>
        </w:rPr>
        <w:t>Unallocated</w:t>
      </w:r>
      <w:r>
        <w:rPr>
          <w:rFonts w:ascii="Times New Roman;serif" w:hAnsi="Times New Roman;serif"/>
          <w:b w:val="false"/>
          <w:color w:val="000000"/>
          <w:sz w:val="20"/>
        </w:rPr>
        <w:t>. For the thirteen weeks ended August 1, 2026, unallocated expenses decreased $0.6 million, or 4.0%, to $15.5 million from $16.1 million in the comparable prior-year period. The decrease in unallocated expenses was primarily due to a $1.9 million reduction in advertising costs driven by cost optimization efforts, including the reduction and phasing of advertising spend throughout the year. This decrease was partially offset by $0.4 million in higher employee-related costs, primarily reflecting increased variable compensation, net of lower severance costs, and $0.9 million in other expenses, net of other income.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thirteen weeks ended August 1, 2026, interest income increased $0.3 million, to $0.2 million from $(0.1) million in the comparable prior-year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thirteen weeks ended August 1, 2026, was (2.1)%, compared to 0.4% for the thirteen weeks ended August 2, 2025. See Note 7 "Income Taxes" of the Notes to the Condensed Consolidated Financial Statements for additional information about the Company's interim provision for income taxes.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(Loss) from Continuing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thirteen weeks ended August 1, 2026, net income (loss) from continuing operations was $4.5 million, a $9.2 million increase from $(4.7) million in the comparable prior-year period due to the factors described above.</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Twenty-Six Weeks Ended August 1, 2026, Compared to Twenty-Six Weeks Ended August 2, 2025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net revenues increased $4.8 million, or 4.0%, to $127.4 million, from $122.5 million in the comparable prior-year period.</w:t>
      </w:r>
    </w:p>
    <w:p>
      <w:pPr>
        <w:pStyle w:val="TextBody"/>
        <w:bidi w:val="0"/>
        <w:spacing w:lineRule="auto" w:line="276" w:before="180" w:after="283"/>
        <w:jc w:val="left"/>
        <w:rPr/>
      </w:pPr>
      <w:r>
        <w:rPr>
          <w:rFonts w:ascii="Times New Roman;serif" w:hAnsi="Times New Roman;serif"/>
          <w:b w:val="false"/>
          <w:i/>
          <w:color w:val="000000"/>
          <w:sz w:val="20"/>
        </w:rPr>
        <w:t>Direct</w:t>
      </w:r>
      <w:r>
        <w:rPr>
          <w:rFonts w:ascii="Times New Roman;serif" w:hAnsi="Times New Roman;serif"/>
          <w:b w:val="false"/>
          <w:color w:val="000000"/>
          <w:sz w:val="20"/>
        </w:rPr>
        <w:t>. For the twenty-six weeks ended August 1, 2026, net revenues in the Direct segment increased $6.6 million, or 6.4%, to $110.2 million, from $103.6 million in the comparable prior-year period. Vera Bradley comparable sales increased 10.9%, which includes a 6.9% increase in comparable store sales as well as an increase in e-commerce sales of 15.9%. In addition, non-comparable revenue decreased $4.1 million, primarily attributable to not hosting the Vera Bradley annual outlet sale in the current year period. The increase in net revenues was primarily driven by strong e-commerce performance, including favorable customer response to our IP collections featuring Disney characters, Peanuts, and other licensed collections.</w:t>
      </w:r>
    </w:p>
    <w:p>
      <w:pPr>
        <w:pStyle w:val="TextBody"/>
        <w:bidi w:val="0"/>
        <w:spacing w:lineRule="auto" w:line="276" w:before="180" w:after="283"/>
        <w:jc w:val="left"/>
        <w:rPr/>
      </w:pPr>
      <w:r>
        <w:rPr>
          <w:rFonts w:ascii="Times New Roman;serif" w:hAnsi="Times New Roman;serif"/>
          <w:b w:val="false"/>
          <w:i/>
          <w:color w:val="000000"/>
          <w:sz w:val="20"/>
        </w:rPr>
        <w:t>Indirect</w:t>
      </w:r>
      <w:r>
        <w:rPr>
          <w:rFonts w:ascii="Times New Roman;serif" w:hAnsi="Times New Roman;serif"/>
          <w:b w:val="false"/>
          <w:color w:val="000000"/>
          <w:sz w:val="20"/>
        </w:rPr>
        <w:t>. For the twenty-six weeks ended August 1, 2026, net revenues in the Indirect segment decreased $1.8 million, or 9.5%, to $17.1 million, from $18.9 million in the comparable prior-year period. The decrease was primarily due to strategic shift and timing related to our marketplace strategy.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gross profit increased $13.4 million, or 23.0%, to $71.6 million, from $58.3 million in the comparable prior-year period. As a percentage of net revenues, gross profit increased to 56.3% for the twenty-six weeks ended August 1, 2026, from 47.6% in the comparable prior-year period. The year-over-year margin rate improvement was driven by $7.7 million of favorable tariff impact, favorable sales mix and lower freight and duty costs in the current year period, as well as reduction in costs related to inventory write-offs associated with the sale of Pura Vida, purchase order cancellation fees, and professional fees from the prior-year period.</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SG&amp;A expenses decreased $8.4 million, or 10.3%, to $72.9 million, from $81.2 million in the comparable prior-year period. As a percentage of net revenues, SG&amp;A expenses decreased to 57.2% for the twenty-six weeks ended August 1, 2026, from 66.3% in the comparable prior-year period. For the twenty-six weeks ended August 1, 2026, consolidated SG&amp;A expenses decreased primarily due to a $6.8 million reduction in advertising costs driven by cost optimization efforts, including the reduction and phasing of advertising spend throughout the year, a $1.0 million impairment charge in the prior-year, and $0.8 million in lower other expenses, partially offset by $0.2 million in higher employee-related costs.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other income, net increased $0.3 million to $0.8 million, from $0.5 million in the comparable prior-year period. The increase in net other income was primarily due to an insurance settlement in the current year.</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Loss from Continuing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operating loss from continuing operations decreased $22.0 million, or 97.9%, to $(0.5) million, from $(22.4) million in the comparable prior-year period. As a percentage of net revenues, operating loss from continuing operations was (0.3)% and (18.3)% for the twenty-six weeks ended August 1, 2026 and August 2, 2025, respectively. Operating loss from continuing operations decreased due to the factors described above.</w:t>
      </w:r>
    </w:p>
    <w:p>
      <w:pPr>
        <w:pStyle w:val="TextBody"/>
        <w:bidi w:val="0"/>
        <w:spacing w:lineRule="auto" w:line="288" w:before="180" w:after="283"/>
        <w:jc w:val="left"/>
        <w:rPr/>
      </w:pPr>
      <w:r>
        <w:rPr>
          <w:rFonts w:ascii="Times New Roman;serif" w:hAnsi="Times New Roman;serif"/>
          <w:b w:val="false"/>
          <w:i/>
          <w:color w:val="000000"/>
          <w:sz w:val="20"/>
        </w:rPr>
        <w:t>Direct</w:t>
      </w:r>
      <w:r>
        <w:rPr>
          <w:rFonts w:ascii="Times New Roman;serif" w:hAnsi="Times New Roman;serif"/>
          <w:b w:val="false"/>
          <w:color w:val="000000"/>
          <w:sz w:val="20"/>
        </w:rPr>
        <w:t xml:space="preserve">. For the twenty-six weeks ended August 1, 2026, operating income in the Direct segment increased $16.0 million, or 420.9%, to $19.8 million, from $3.8 million in the comparable prior-year period. As a percentage of Direct segment net revenues, operating income in the Direct segment was 18.0% and 3.7% for the twenty-six weeks ended August 1,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August 2, 2025, respectively. The increase in operating income as a percentage of Direct segment net revenues was primarily due to the tariff refund discussed earlier, as well as improved SG&amp;A expense leverage.</w:t>
      </w:r>
    </w:p>
    <w:p>
      <w:pPr>
        <w:pStyle w:val="TextBody"/>
        <w:bidi w:val="0"/>
        <w:spacing w:lineRule="auto" w:line="288" w:before="180" w:after="283"/>
        <w:jc w:val="left"/>
        <w:rPr/>
      </w:pPr>
      <w:r>
        <w:rPr>
          <w:rFonts w:ascii="Times New Roman;serif" w:hAnsi="Times New Roman;serif"/>
          <w:b w:val="false"/>
          <w:i/>
          <w:color w:val="000000"/>
          <w:sz w:val="20"/>
        </w:rPr>
        <w:t>Indirect</w:t>
      </w:r>
      <w:r>
        <w:rPr>
          <w:rFonts w:ascii="Times New Roman;serif" w:hAnsi="Times New Roman;serif"/>
          <w:b w:val="false"/>
          <w:color w:val="000000"/>
          <w:sz w:val="20"/>
        </w:rPr>
        <w:t>. For the twenty-six weeks ended August 1, 2026, operating income in the Indirect segment increased $2.8 million, or 67.6%, to $7.0 million from $4.2 million in the comparable prior-year period. As a percentage of Indirect segment net revenues, operating income in the Indirect segment was 40.8% and 22.0% for the twenty-six weeks ended August 1, 2026 and August 2, 2025, respectively. The increase in operating income as a percentage of Indirect segment net revenues was due to the tariff refund previously discussed, which partially offset the impact of the sales decline, as well as lower overall SG&amp;A expenses in the segment.</w:t>
      </w:r>
    </w:p>
    <w:p>
      <w:pPr>
        <w:pStyle w:val="TextBody"/>
        <w:bidi w:val="0"/>
        <w:spacing w:lineRule="auto" w:line="288" w:before="180" w:after="283"/>
        <w:jc w:val="left"/>
        <w:rPr/>
      </w:pPr>
      <w:r>
        <w:rPr>
          <w:rFonts w:ascii="Times New Roman;serif" w:hAnsi="Times New Roman;serif"/>
          <w:b w:val="false"/>
          <w:i/>
          <w:color w:val="000000"/>
          <w:sz w:val="20"/>
        </w:rPr>
        <w:t>Unallocated</w:t>
      </w:r>
      <w:r>
        <w:rPr>
          <w:rFonts w:ascii="Times New Roman;serif" w:hAnsi="Times New Roman;serif"/>
          <w:b w:val="false"/>
          <w:color w:val="000000"/>
          <w:sz w:val="20"/>
        </w:rPr>
        <w:t>. For the twenty-six weeks ended August 1, 2026, unallocated expenses decreased $3.2 million, or 10.4%, to $27.2 million from $30.4 million in the comparable prior-year period. The decrease in unallocated expenses was primarily due to a $2.8 million reduction in advertising costs driven by cost optimization efforts, including the reduction and phasing of advertising spend throughout the year, and $0.5 million in lower other expenses, net of other income, partially offset by $0.1 million in higher employee-related costs.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twenty-six weeks ended August 1, 2026, interest income increased $0.3 million, to $0.2 million from $(0.1) million in the comparable prior-year period.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twenty-six weeks ended August 1, 2026, was (6.2)%, compared to (1.7)% for the twenty-six weeks ended August 2, 2025. See Note 7 "Income Taxes" of the Notes to the Condensed Consolidated Financial Statements for additional information about the Company's interim provision for income taxes.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Loss from Continuing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twenty-six weeks ended August 1, 2026, there was a net loss from continuing operations of $(0.3) million, a $22.6 million decrease, from $(23.0) million in the comparable prior-year period due to the factors described above.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on hand and cash equivalents, as well as cash flow from operations. We also have access to additional liquidity, if needed, through borrowings under our $75.0 million asset-based revolving credit agreement (the “Credit Agreement”). Availability under the Credit Agreement is driven by a borrowing base comprised primarily of eligible accounts receivable and inventory, each subject to advance rates, eligibility criteria, and applicable reserves. As a result, borrowing capacity may fluctuate based on the level and quality of receivables and the composition and valuation of inventory. There was no debt outstanding under the Credit Agreement as of August 1, 2026. The Company also owns two real estate properties that are unencumbered, which provide additional financial flexibility and may serve as a potential source of liquidity or collateral if needed.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Cash Flow Analysis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 summary of operating, investing, and financing activities is shown in the following table (in thousands):</w:t>
      </w:r>
    </w:p>
    <w:tbl>
      <w:tblPr>
        <w:tblW w:w="7070" w:type="dxa"/>
        <w:jc w:val="left"/>
        <w:tblInd w:w="0" w:type="dxa"/>
        <w:tblLayout w:type="fixed"/>
        <w:tblCellMar>
          <w:top w:w="28" w:type="dxa"/>
          <w:left w:w="28" w:type="dxa"/>
          <w:bottom w:w="28" w:type="dxa"/>
          <w:right w:w="28" w:type="dxa"/>
        </w:tblCellMar>
      </w:tblPr>
      <w:tblGrid>
        <w:gridCol w:w="1524"/>
        <w:gridCol w:w="1340"/>
        <w:gridCol w:w="1350"/>
        <w:gridCol w:w="109"/>
        <w:gridCol w:w="109"/>
        <w:gridCol w:w="109"/>
        <w:gridCol w:w="211"/>
        <w:gridCol w:w="721"/>
        <w:gridCol w:w="109"/>
        <w:gridCol w:w="109"/>
        <w:gridCol w:w="109"/>
        <w:gridCol w:w="109"/>
        <w:gridCol w:w="211"/>
        <w:gridCol w:w="79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consists primarily of net income (loss) adjusted for non-cash items, including depreciation, amortization, impairment charges, deferred taxes, stock-based compensation and the loss on sale of business; and the effect of changes in assets and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operating activities for the twenty-six weeks ended August 1, 2026 was $17.7 million, compared to $(23.3) million for the twenty-six weeks ended August 2, 2025. The increase in cash provided by operating activities was primarily attributable to a net loss of $(0.3) million, a $22.6 million improvement in net loss compared to the prior-year period, excluding the $15.2 million loss on the sale of a business recognized in the prior-year period. Operating cash flows also benefited from continued inventory management initiatives, which resulted in a $6.7 million source of cash from inventories during the current year period compared to a $4.9 million use of cash in the prior-year period and cash collected in payment of accounts receivable which resulted in a $4.3 million source of cash during the current year period compared to a $4.0 million use of cash in the prior-year period. These favorable impacts were partially offset by changes in cash paid for accounts payable which resulted in a $1.7 million use of cash during the current year period compared to a $2.8 million use of cash in the prior-year period.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consist primarily of investments and capital expenditures related to new store openings, buildings, operational equipment, and information technology investments.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$1.0 million for the twenty-six weeks ended August 1, 2026, compared to $1.6 million for the twenty-six weeks ended August 2, 2025. The decrease in cash used in investing activities was primarily attributable to a decrease in property, plant, and equipment spending of $1.6 million in the current year period, partially offset by $1.0 million proceeds from the sale of Pura Vida recognized in the prior-year period.</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$0.9 million for the twenty-six weeks ended August 1, 2026, compared to net cash provided by financing activities of $9.8 million for the twenty-six weeks ended August 2, 2025. The decrease in cash (used in) provided by financing activities was primarily attributable to a $10 million ABL draw in the prior-year.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JPMorgan Chase Bank, N.A., as the administrative agent, and lenders from time to time party thereto, entered into a Fourth Amendment (the “Fourth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The Credit Agreement also contains an option for VBD to arrange with lenders to increase the aggregate principal amount by up to $50.0 million.</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21, 2025, VBD amended the agreement to include, among other things, to: (i) permit the sale of certain real property assets without requiring the application of the proceeds from such sale to be used to repay amounts 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and January 31, 2026, the Company had no borrowings outstanding and availability of $54.3 million and $58.6 million, respectively, under the Credit Agreement, subject to the borrowing base provisions of the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further information regarding the Credit Agreement, please see Note 6 of the Notes to Condensed Consolidated Financial Statements herein.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there were no material changes outside the ordinary course of business to material cash requirements, as disclosed in our Annual Report on Form 10-K for the fiscal year ended January 31, 2026.</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Off-Balance-Sheet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off-balance-sheet financing or unconsolidated special-purpose entities.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31,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31, 2026. There were no significant changes to any of the critical accounting policies and estimates described in the Annual Report as of August 1, 2026.</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00"/>
        <w:jc w:val="left"/>
        <w:rPr/>
      </w:pPr>
      <w:r>
        <w:rPr>
          <w:rFonts w:ascii="Times New Roman;serif" w:hAnsi="Times New Roman;serif"/>
          <w:b w:val="false"/>
          <w:color w:val="000000"/>
          <w:sz w:val="20"/>
        </w:rPr>
        <w:t>Refer to Note 1 “Description of the Company and Basis of Presentation”</w:t>
      </w:r>
      <w:r>
        <w:rPr>
          <w:color w:val="000000"/>
        </w:rPr>
        <w:t xml:space="preserve"> </w:t>
      </w:r>
      <w:r>
        <w:rPr>
          <w:rFonts w:ascii="Times New Roman;serif" w:hAnsi="Times New Roman;serif"/>
          <w:b w:val="false"/>
          <w:color w:val="000000"/>
          <w:sz w:val="20"/>
        </w:rPr>
        <w:t xml:space="preserve">within Item 1 “Financial Statements” of this Quarterly Report on Form 10-Q for a discussion of recently issued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there was no material change in the market risks described in “Quantitative and Qualitative Disclosures About Market Risks” in the Company’s Annual Report on Form 10-K for the fiscal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the end of the period covered by this Quarterly Report on Form 10-Q, the Company carried out an evaluation, under the supervision and with the participation of the Company’s Disclosure Committee and management, including the Chief Executive Officer and the Chief Operating &amp; Financial Officer, of the effectiveness of the design and operation of the Company’s disclosure controls and procedures pursuant to Rule 13a-15 of the Securities Exchange Act of 1934. Based on that evaluation, the Chief Executive Officer and Chief Operating &amp; Financial Officer concluded that the Company’s disclosure controls and procedures were effective as of August 1, 2026.</w:t>
      </w:r>
    </w:p>
    <w:p>
      <w:pPr>
        <w:pStyle w:val="TextBody"/>
        <w:bidi w:val="0"/>
        <w:spacing w:lineRule="auto" w:line="288" w:before="180" w:after="283"/>
        <w:jc w:val="left"/>
        <w:rPr/>
      </w:pPr>
      <w:r>
        <w:rPr>
          <w:rFonts w:ascii="Times New Roman;serif" w:hAnsi="Times New Roman;serif"/>
          <w:b w:val="false"/>
          <w:color w:val="000000"/>
          <w:sz w:val="20"/>
        </w:rPr>
        <w:t>There has been no change in our intern</w:t>
      </w:r>
      <w:r>
        <w:rPr>
          <w:rFonts w:ascii="Times New Roman;serif" w:hAnsi="Times New Roman;serif"/>
          <w:b w:val="false"/>
          <w:color w:val="000000"/>
          <w:sz w:val="20"/>
          <w:shd w:fill="FFFFFF" w:val="clear"/>
        </w:rPr>
        <w:t>al control over financial reporting during the most recent fiscal quarter that has materially affected, or that is reasonably likely to materially affect, our internal control over financial reporting.</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 xml:space="preserve">LEGAL PROCEEDINGS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pStyle w:val="TextBody"/>
        <w:bidi w:val="0"/>
        <w:spacing w:lineRule="auto" w:line="268" w:before="100" w:after="100"/>
        <w:jc w:val="left"/>
        <w:rPr>
          <w:rFonts w:ascii="Times New Roman;serif" w:hAnsi="Times New Roman;serif"/>
          <w:b w:val="false"/>
          <w:color w:val="000000"/>
          <w:sz w:val="20"/>
        </w:rPr>
      </w:pPr>
      <w:r>
        <w:rPr>
          <w:rFonts w:ascii="Times New Roman;serif" w:hAnsi="Times New Roman;serif"/>
          <w:b w:val="false"/>
          <w:color w:val="000000"/>
          <w:sz w:val="20"/>
        </w:rPr>
        <w:t>In June of 2025, the Company received a notice from the buyer of Creative Genius requesting a purchase price adjustment of approximately $4.6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w:t>
      </w:r>
    </w:p>
    <w:p>
      <w:pPr>
        <w:pStyle w:val="TextBody"/>
        <w:bidi w:val="0"/>
        <w:spacing w:lineRule="auto" w:line="26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also subject to other legal proceedings from time to time in the ordinary course of business but does not believe any of these such claims would have a material adverse impact on the Company at this time.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erif" w:hAnsi="Times New Roman;serif"/>
          <w:b/>
          <w:color w:val="000000"/>
          <w:sz w:val="20"/>
          <w:shd w:fill="FFFFFF" w:val="clear"/>
        </w:rPr>
        <w:t>ITEM 1A.</w:t>
      </w:r>
      <w:r>
        <w:rPr>
          <w:color w:val="000000"/>
          <w:shd w:fill="FFFFFF" w:val="clear"/>
        </w:rPr>
        <w:t>    </w:t>
      </w:r>
      <w:r>
        <w:rPr>
          <w:rFonts w:ascii="Times New Roman;serif" w:hAnsi="Times New Roman;serif"/>
          <w:b/>
          <w:color w:val="000000"/>
          <w:sz w:val="20"/>
          <w:shd w:fill="FFFFFF" w:val="clear"/>
        </w:rPr>
        <w:t>RISK FACTORS</w:t>
      </w:r>
    </w:p>
    <w:p>
      <w:pPr>
        <w:pStyle w:val="TextBody"/>
        <w:bidi w:val="0"/>
        <w:spacing w:lineRule="auto" w:line="288" w:before="100" w:after="100"/>
        <w:jc w:val="left"/>
        <w:rPr/>
      </w:pPr>
      <w:r>
        <w:rPr>
          <w:rFonts w:ascii="Times New Roman;serif" w:hAnsi="Times New Roman;serif"/>
          <w:b w:val="false"/>
          <w:color w:val="000000"/>
          <w:sz w:val="20"/>
        </w:rPr>
        <w:t>There have been no material changes to th</w:t>
      </w:r>
      <w:r>
        <w:rPr>
          <w:rFonts w:ascii="Times New Roman;serif" w:hAnsi="Times New Roman;serif"/>
          <w:b w:val="false"/>
          <w:color w:val="000000"/>
          <w:sz w:val="20"/>
          <w:shd w:fill="FFFFFF" w:val="clear"/>
        </w:rPr>
        <w:t>e risk factors previously set forth in the Company’s Annual Report on Form 10-K for the fiscal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As of August 1, 2026, there were no purchases made under the 2024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the thirteen weeks ended August 1, 2026,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
        <w:gridCol w:w="127"/>
        <w:gridCol w:w="127"/>
        <w:gridCol w:w="127"/>
        <w:gridCol w:w="127"/>
        <w:gridCol w:w="127"/>
        <w:gridCol w:w="109"/>
        <w:gridCol w:w="109"/>
        <w:gridCol w:w="109"/>
        <w:gridCol w:w="2953"/>
        <w:gridCol w:w="2922"/>
        <w:gridCol w:w="2953"/>
        <w:gridCol w:w="109"/>
        <w:gridCol w:w="161"/>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9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vra-20260801x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a-20260801xex311.htm">
              <w:r>
                <w:rPr>
                  <w:rStyle w:val="InternetLink"/>
                  <w:rFonts w:ascii="Times New Roman;serif" w:hAnsi="Times New Roman;serif"/>
                  <w:b w:val="false"/>
                  <w:color w:val="0000FF"/>
                  <w:sz w:val="20"/>
                  <w:u w:val="single"/>
                </w:rPr>
                <w:t>CEO Section 302 Certification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vra-20260801x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a-20260801xex312.htm">
              <w:r>
                <w:rPr>
                  <w:rStyle w:val="InternetLink"/>
                  <w:rFonts w:ascii="Times New Roman;serif" w:hAnsi="Times New Roman;serif"/>
                  <w:b w:val="false"/>
                  <w:color w:val="0000FF"/>
                  <w:sz w:val="20"/>
                  <w:u w:val="single"/>
                </w:rPr>
                <w:t>CFO Section 302 Certification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vra-20260801x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a-20260801xex321.htm">
              <w:r>
                <w:rPr>
                  <w:rStyle w:val="InternetLink"/>
                  <w:rFonts w:ascii="Times New Roman;serif" w:hAnsi="Times New Roman;serif"/>
                  <w:b w:val="false"/>
                  <w:color w:val="0000FF"/>
                  <w:sz w:val="20"/>
                  <w:u w:val="single"/>
                </w:rPr>
                <w:t>Section 906 Certifications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a9740e37ce44f75aa07d9d499e31014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471"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894"/>
        <w:gridCol w:w="894"/>
        <w:gridCol w:w="127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Vera Bradley,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Layding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Layding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&amp;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Ian Bickley, certify that: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Vera Bradley, Inc.;</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32"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914"/>
        <w:gridCol w:w="914"/>
        <w:gridCol w:w="129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Bickley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Bickley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&amp; Chairman</w:t>
            </w:r>
          </w:p>
        </w:tc>
      </w:tr>
    </w:tbl>
    <w:p>
      <w:pPr>
        <w:pStyle w:val="TextBody"/>
        <w:bidi w:val="0"/>
        <w:spacing w:before="10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Martin Layding, certify that: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Vera Bradley, Inc.;</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62"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921"/>
        <w:gridCol w:w="921"/>
        <w:gridCol w:w="1308"/>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Layding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Martin Layding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Operating &amp; Financial Officer</w:t>
            </w:r>
          </w:p>
        </w:tc>
      </w:tr>
    </w:tbl>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CERTIFICATIONS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Ian Bickley, the Chief Executive Officer &amp; Chairman of Vera Bradley, Inc., certify that (i) the quarterly report on Form 10-Q for the fiscal quarter ended August 1, 2026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tbl>
      <w:tblPr>
        <w:tblW w:w="37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914"/>
        <w:gridCol w:w="914"/>
        <w:gridCol w:w="1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Bickley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Bickley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&amp; Chairman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Martin Layding, the Chief Operating &amp; Financial Officer of Vera Bradley, Inc., certify that (i) the quarterly report on Form 10-Q for the fiscal quarter ended August 1, 2026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tbl>
      <w:tblPr>
        <w:tblW w:w="381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921"/>
        <w:gridCol w:w="921"/>
        <w:gridCol w:w="1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Layding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Layding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Operating &amp;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16771</Words>
  <Characters>93883</Characters>
  <CharactersWithSpaces>109378</CharactersWithSpaces>
  <Paragraphs>2300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