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August 4,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2478405"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5">
            <w:col w:w="2300" w:space="720"/>
            <w:col w:w="160" w:space="100"/>
            <w:col w:w="3920" w:space="720"/>
            <w:col w:w="2460" w:space="720"/>
            <w:col w:w="320"/>
          </w:cols>
          <w:pgMar w:left="240" w:top="229" w:right="239" w:bottom="0" w:gutter="0" w:footer="0" w:header="0"/>
          <w:type w:val="continuous"/>
        </w:sectPr>
      </w:pPr>
    </w:p>
    <w:bookmarkStart w:id="1" w:name="page2"/>
    <w:bookmarkEnd w:id="1"/>
    <w:p>
      <w:pPr>
        <w:ind w:left="7920"/>
        <w:spacing w:after="0" w:line="207" w:lineRule="exact"/>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ind w:lef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35,356,586 shares of its common stock outstanding as of September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7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8"/>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August 4, 2018, and February 3, 2018</w:t>
              </w:r>
            </w:hyperlink>
          </w:p>
        </w:tc>
        <w:tc>
          <w:tcPr>
            <w:tcW w:w="41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Thirteen and Twenty-Six Weeks Ended August 4, 2018, and July 29,</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2017</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Thirteen and Twenty-Six Weeks Ended August 4, 2018,</w:t>
              </w:r>
            </w:hyperlink>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and July 29, 2017</w:t>
              </w:r>
            </w:hyperlink>
          </w:p>
        </w:tc>
        <w:tc>
          <w:tcPr>
            <w:tcW w:w="898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Twenty-Six Weeks Ended August 4, 2018, and July 29, 2017</w:t>
              </w:r>
            </w:hyperlink>
          </w:p>
        </w:tc>
        <w:tc>
          <w:tcPr>
            <w:tcW w:w="16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600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OTHER INFORMATION</w:t>
              </w:r>
            </w:hyperlink>
          </w:p>
        </w:tc>
        <w:tc>
          <w:tcPr>
            <w:tcW w:w="84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93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592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960" w:type="dxa"/>
            <w:vAlign w:val="bottom"/>
            <w:gridSpan w:val="1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0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ramifications from the payment card incident disclosed in October 2016;</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 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3, 2018.</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4,</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3,</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68,751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54,150</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15,566</w:t>
            </w: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86,280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87,838</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11,327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242,023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86,463</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5,385</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350,669</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13,616</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812</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40,274</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25,112</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65,386</w:t>
            </w: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200,000 shares authorized, 41,280 and 41,102 shares issued and 35,385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and 35,459 shares outstanding,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93,278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91,192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270,783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(76,578)</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292,149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285,283</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350,669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4,</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29,</w:t>
            </w: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4,</w:t>
            </w:r>
          </w:p>
        </w:tc>
        <w:tc>
          <w:tcPr>
            <w:tcW w:w="300" w:type="dxa"/>
            <w:vAlign w:val="bottom"/>
          </w:tcPr>
          <w:p>
            <w:pPr>
              <w:spacing w:after="0"/>
              <w:rPr>
                <w:sz w:val="13"/>
                <w:szCs w:val="13"/>
                <w:color w:val="auto"/>
              </w:rPr>
            </w:pPr>
          </w:p>
        </w:tc>
        <w:tc>
          <w:tcPr>
            <w:tcW w:w="1180" w:type="dxa"/>
            <w:vAlign w:val="bottom"/>
          </w:tcPr>
          <w:p>
            <w:pPr>
              <w:jc w:val="right"/>
              <w:ind w:right="432"/>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208,553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47,885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92,560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53,770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104,475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117,518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12,016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35,540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36,178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36,178</w:t>
            </w:r>
          </w:p>
        </w:tc>
      </w:tr>
      <w:tr>
        <w:trPr>
          <w:trHeight w:val="32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4,</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29,</w:t>
            </w: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4,</w:t>
            </w:r>
          </w:p>
        </w:tc>
        <w:tc>
          <w:tcPr>
            <w:tcW w:w="300" w:type="dxa"/>
            <w:vAlign w:val="bottom"/>
          </w:tcPr>
          <w:p>
            <w:pPr>
              <w:spacing w:after="0"/>
              <w:rPr>
                <w:sz w:val="13"/>
                <w:szCs w:val="13"/>
                <w:color w:val="auto"/>
              </w:rPr>
            </w:pPr>
          </w:p>
        </w:tc>
        <w:tc>
          <w:tcPr>
            <w:tcW w:w="118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gain on available-for-sale debt investments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 net of tax</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9,336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8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4,</w:t>
            </w:r>
          </w:p>
        </w:tc>
        <w:tc>
          <w:tcPr>
            <w:tcW w:w="300" w:type="dxa"/>
            <w:vAlign w:val="bottom"/>
          </w:tcPr>
          <w:p>
            <w:pPr>
              <w:spacing w:after="0"/>
              <w:rPr>
                <w:sz w:val="13"/>
                <w:szCs w:val="13"/>
                <w:color w:val="auto"/>
              </w:rPr>
            </w:pPr>
          </w:p>
        </w:tc>
        <w:tc>
          <w:tcPr>
            <w:tcW w:w="1180" w:type="dxa"/>
            <w:vAlign w:val="bottom"/>
          </w:tcPr>
          <w:p>
            <w:pPr>
              <w:jc w:val="right"/>
              <w:ind w:right="431"/>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9,934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2,103</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Cash gain on investments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charges,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3,562</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(14,670)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(39,298)</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maturities and sales of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(12,005)</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jc w:val="both"/>
        <w:ind w:left="860"/>
        <w:spacing w:after="0"/>
        <w:tabs>
          <w:tab w:leader="none" w:pos="2360" w:val="left"/>
        </w:tabs>
        <w:rPr>
          <w:sz w:val="20"/>
          <w:szCs w:val="20"/>
          <w:color w:val="auto"/>
        </w:rPr>
      </w:pPr>
      <w:r>
        <w:rPr>
          <w:rFonts w:ascii="Arial" w:cs="Arial" w:eastAsia="Arial" w:hAnsi="Arial"/>
          <w:sz w:val="18"/>
          <w:szCs w:val="18"/>
          <w:color w:val="auto"/>
        </w:rPr>
        <w:t>12,324</w:t>
      </w:r>
      <w:r>
        <w:rPr>
          <w:sz w:val="20"/>
          <w:szCs w:val="20"/>
          <w:color w:val="auto"/>
        </w:rPr>
        <w:tab/>
      </w:r>
      <w:r>
        <w:rPr>
          <w:rFonts w:ascii="Arial" w:cs="Arial" w:eastAsia="Arial" w:hAnsi="Arial"/>
          <w:sz w:val="18"/>
          <w:szCs w:val="18"/>
          <w:color w:val="auto"/>
        </w:rPr>
        <w:t>(20,013)</w:t>
      </w:r>
    </w:p>
    <w:p>
      <w:pPr>
        <w:spacing w:after="0" w:line="63"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8"/>
          <w:szCs w:val="18"/>
          <w:color w:val="auto"/>
        </w:rPr>
        <w:t>68,751</w:t>
      </w:r>
      <w:r>
        <w:rPr>
          <w:sz w:val="20"/>
          <w:szCs w:val="20"/>
          <w:color w:val="auto"/>
        </w:rPr>
        <w:tab/>
      </w:r>
      <w:r>
        <w:rPr>
          <w:rFonts w:ascii="Arial" w:cs="Arial" w:eastAsia="Arial" w:hAnsi="Arial"/>
          <w:sz w:val="18"/>
          <w:szCs w:val="18"/>
          <w:color w:val="auto"/>
        </w:rPr>
        <w:t>86,375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81,075</w:t>
        <w:tab/>
        <w:t>$</w:t>
      </w:r>
      <w:r>
        <w:rPr>
          <w:sz w:val="20"/>
          <w:szCs w:val="20"/>
          <w:color w:val="auto"/>
        </w:rPr>
        <w:tab/>
      </w:r>
      <w:r>
        <w:rPr>
          <w:rFonts w:ascii="Arial" w:cs="Arial" w:eastAsia="Arial" w:hAnsi="Arial"/>
          <w:sz w:val="16"/>
          <w:szCs w:val="16"/>
          <w:color w:val="auto"/>
        </w:rPr>
        <w:t>66,362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660" w:space="720"/>
            <w:col w:w="3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activity</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August 4, 2018 and July 29, 2017</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February 3, 2018 and January 28,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August 4, 2018 and July 29,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February 3, 2018 and January 28, 2017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4" w:lineRule="exact"/>
        <w:rPr>
          <w:rFonts w:ascii="Arial" w:cs="Arial" w:eastAsia="Arial" w:hAnsi="Arial"/>
          <w:sz w:val="18"/>
          <w:szCs w:val="18"/>
          <w:b w:val="1"/>
          <w:bCs w:val="1"/>
          <w:color w:val="auto"/>
        </w:rPr>
      </w:pPr>
    </w:p>
    <w:p>
      <w:pPr>
        <w:ind w:left="6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direct-to-consumer eBay sales; and the Company’s annual outlet sale in Fort Wayne, Indiana. As of August 4, 2018, the Company operated 104 full-line stores and 57 factory outlet stores. The Indirect business consists of sales of Vera Bradley products to approximately 2,400 specialty retail locations, substantially all of which are located in the United States, as well as department stores, national accounts, third-party e-commerce sites, third-party inventory liquidators, and royalties recognized through licensing agreements.</w:t>
      </w:r>
    </w:p>
    <w:p>
      <w:pPr>
        <w:spacing w:after="0" w:line="42"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3, 2018, filed with the SEC.</w:t>
      </w:r>
    </w:p>
    <w:p>
      <w:pPr>
        <w:spacing w:after="0" w:line="23" w:lineRule="exact"/>
        <w:rPr>
          <w:rFonts w:ascii="Arial" w:cs="Arial" w:eastAsia="Arial" w:hAnsi="Arial"/>
          <w:sz w:val="18"/>
          <w:szCs w:val="18"/>
          <w:b w:val="1"/>
          <w:bCs w:val="1"/>
          <w:color w:val="auto"/>
        </w:rPr>
      </w:pPr>
    </w:p>
    <w:p>
      <w:pPr>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4, 2018, are not necessarily indicative of the results to be expected for the full fiscal year.</w:t>
      </w:r>
    </w:p>
    <w:p>
      <w:pPr>
        <w:spacing w:after="0" w:line="20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6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6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August 4, 2018 and July 29, 2017, refer to the thirteen-week periods ended on those dates.</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94" w:lineRule="exact"/>
        <w:rPr>
          <w:rFonts w:ascii="Arial" w:cs="Arial" w:eastAsia="Arial" w:hAnsi="Arial"/>
          <w:sz w:val="18"/>
          <w:szCs w:val="18"/>
          <w:b w:val="1"/>
          <w:bCs w:val="1"/>
          <w:color w:val="auto"/>
        </w:rPr>
      </w:pPr>
    </w:p>
    <w:p>
      <w:pPr>
        <w:ind w:left="6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Included in net revenues are Vera Bradley product sales to Direct and Indirect customers, including amounts billed to customers for shipping fees, as well as royalties from the Company’s licensing arrangements. Costs related to shipping of product are classified in cost of sales in the Condensed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37" w:lineRule="exact"/>
        <w:rPr>
          <w:rFonts w:ascii="Arial" w:cs="Arial" w:eastAsia="Arial" w:hAnsi="Arial"/>
          <w:sz w:val="18"/>
          <w:szCs w:val="18"/>
          <w:b w:val="1"/>
          <w:bCs w:val="1"/>
          <w:color w:val="auto"/>
        </w:rPr>
      </w:pPr>
    </w:p>
    <w:p>
      <w:pPr>
        <w:ind w:left="660" w:right="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identified in Accounting Standards Codification (“ASC”) Topic 606. These steps are: (i) identify the contract with the customer;</w:t>
      </w:r>
    </w:p>
    <w:p>
      <w:pPr>
        <w:ind w:left="920" w:hanging="264"/>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identify the performance obligations; (iii) determine the transaction price; (iv) allocate the transaction price to each performance obligation; and</w:t>
      </w:r>
    </w:p>
    <w:p>
      <w:pPr>
        <w:spacing w:after="0" w:line="32" w:lineRule="exact"/>
        <w:rPr>
          <w:rFonts w:ascii="Arial" w:cs="Arial" w:eastAsia="Arial" w:hAnsi="Arial"/>
          <w:sz w:val="16"/>
          <w:szCs w:val="16"/>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collects payment at the point of sale for full-line and factory outlet store transactions and upon shipment for e-commerce transactions.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collects payment in arrears in accordance with established payment terms for each customer within the Indirect segment.</w:t>
      </w:r>
    </w:p>
    <w:p>
      <w:pPr>
        <w:spacing w:after="0" w:line="99"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Indirect retailers based upon various contract terms and other potential product credits granted to Indirect retailers.</w:t>
      </w:r>
    </w:p>
    <w:p>
      <w:pPr>
        <w:spacing w:after="0" w:line="46"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$0.9 million as of August 4, 2018 and February 3, 2018.</w:t>
      </w:r>
    </w:p>
    <w:p>
      <w:pPr>
        <w:spacing w:after="0" w:line="46"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The Company sells gift cards with no expiration dates to customers and does not charge administrative fees on unused gift cards. Gift cards issued by the Company are recorded as a liability until they are redeemed, at which point revenue is recognized. In addition, the Company recognizes revenue on estimated unredeemed gift cards based upon the historical patterns of gift card redemption. During the thirteen and twenty-six weeks ended August 4, 2018, the Company recorded an immaterial amount of revenue related to gift card breakage. Gift card breakage is included in net revenues in the Condensed Consolidated Statements of Operations, as well as Direct segment net revenues for the current-year period. The Company did not recognize gift card breakage revenue within net revenues in the comparable prior-year period as ASC Topic 606 was adopted using the modified retrospective transition approach with an immaterial adjustment to fiscal 2019 beginning retained earnings. Refer to Note 2 herein for additional information regarding the Company’s net revenues and its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August 4, 2018 and February 3, 2018, deferred rent liability was $13.1 million and $12.9 million, respectively, and is included within long-term liabilities on the Condensed Consolidated Balance Sheets.</w:t>
      </w:r>
    </w:p>
    <w:p>
      <w:pPr>
        <w:spacing w:after="0" w:line="53" w:lineRule="exact"/>
        <w:rPr>
          <w:sz w:val="20"/>
          <w:szCs w:val="20"/>
          <w:color w:val="auto"/>
        </w:rPr>
      </w:pPr>
    </w:p>
    <w:p>
      <w:pPr>
        <w:ind w:left="660" w:right="220"/>
        <w:spacing w:after="0" w:line="255"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August 4, 2018 and February 3, 2018, the deferred lease credit liability was $14.2 million and $14.6 million, respectively. Of these amounts, $2.6 million and $2.4 million is included within other accrued liabilities as of August 4, 2018 and February 3, 2018, respectively; $11.6 million and $12.2 million is included within long-term liabilities as of August 4, 2018 and February 3, 2018,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This guidance requires companies to recognize revenue in a manner that depicts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amounts that reflect the consideration to which a company expects to be entitled in exchange for those goods or services. The standard also requires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was February 4, 2018 (the beginning of the Company’s fiscal 2019).</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left="660" w:right="600"/>
        <w:spacing w:after="0" w:line="264" w:lineRule="auto"/>
        <w:rPr>
          <w:sz w:val="20"/>
          <w:szCs w:val="20"/>
          <w:color w:val="auto"/>
        </w:rPr>
      </w:pPr>
      <w:r>
        <w:rPr>
          <w:rFonts w:ascii="Arial" w:cs="Arial" w:eastAsia="Arial" w:hAnsi="Arial"/>
          <w:sz w:val="18"/>
          <w:szCs w:val="18"/>
          <w:color w:val="auto"/>
        </w:rPr>
        <w:t>The Company adopted this standard in the first quarter of fiscal 2019 using the modified retrospective method with a$0.5 million cumulative adjustment to beginning retained earnings. As a result of this adoption method, the prior-year period presented in the Company’s Condensed Consolidated Financial Statements was not recast.</w:t>
      </w:r>
    </w:p>
    <w:p>
      <w:pPr>
        <w:spacing w:after="0" w:line="46"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Company no longer adjusts revenue for shipments not yet received at each reporting period as it recognizes revenue as control is passed to the customer. It was determined that control is passed to the customer upon shipment, consistent with when legal title is passed. This accelerates the recognition of revenue at each reporting period compared to the Company’s historical practice.</w:t>
      </w:r>
    </w:p>
    <w:p>
      <w:pPr>
        <w:spacing w:after="0" w:line="46" w:lineRule="exact"/>
        <w:rPr>
          <w:sz w:val="20"/>
          <w:szCs w:val="20"/>
          <w:color w:val="auto"/>
        </w:rPr>
      </w:pPr>
    </w:p>
    <w:p>
      <w:pPr>
        <w:jc w:val="both"/>
        <w:ind w:left="660" w:right="200"/>
        <w:spacing w:after="0" w:line="312" w:lineRule="auto"/>
        <w:rPr>
          <w:sz w:val="20"/>
          <w:szCs w:val="20"/>
          <w:color w:val="auto"/>
        </w:rPr>
      </w:pPr>
      <w:r>
        <w:rPr>
          <w:rFonts w:ascii="Arial" w:cs="Arial" w:eastAsia="Arial" w:hAnsi="Arial"/>
          <w:sz w:val="16"/>
          <w:szCs w:val="16"/>
          <w:color w:val="auto"/>
        </w:rPr>
        <w:t>Revenue for unredeemed gift cards is estimated and recognized based on the historical patterns of gift card redemption. Historically, the Company recognized revenue for gift card breakage when the likelihood of the customer exercising their remaining rights became remote. The new revenue standard results in accelerated recognition of gift card breakage revenue at each reporting period compared to the Company’s historical practice.</w:t>
      </w:r>
    </w:p>
    <w:p>
      <w:pPr>
        <w:spacing w:after="0" w:line="93"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Revenue associated with contractually guaranteed minimum royalties in sales-based royalty arrangements is recognized straight-line over the remaining license period once determined that the minimum sales level will not be achieved. Historically, the Company recognized any excess of the guaranteed minimum royalty over the actual royalties earned at the end of the license period.</w:t>
      </w:r>
    </w:p>
    <w:p>
      <w:pPr>
        <w:spacing w:after="0" w:line="12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Certain liabilities for estimated product returns have been re-classified to other accrued liabilities from a contra-asset within accounts receivable, net, as of the adoption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herein for additional information regarding the adoption of ASC 606.</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90"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plans to adopt the standard using this adoption method. The Company has operating leases at all of its retail stores; therefore, the adoption of this standard will result in a material increase of assets and liabilities on the Company’s Consolidated Balance Sheets. The Company is continuing to evaluate the impact on its consolidated results of operations and cash flows.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94"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adopted ASC Topic 606 beginning in the first quarter of fiscal 2019 using the modified retrospective adoption method. Accordingly, disclosures herein required by the standard were excluded for the prior-year period.</w:t>
      </w:r>
    </w:p>
    <w:p>
      <w:pPr>
        <w:spacing w:after="0" w:line="170"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tables illustrate the financial statement line items that were impacted as a result of the adoption of ASC 606 as of and for the thirteen and twenty-six weeks ended August 4, 2018. These adjustments are a result of adjusting for shipments not yet received by customers, gift card breakage revenue, and the re-classification of certain liabilities for estimated product returns, which are further described in Note 1 herein (schedules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19"/>
              <w:spacing w:after="0"/>
              <w:rPr>
                <w:sz w:val="20"/>
                <w:szCs w:val="20"/>
                <w:color w:val="auto"/>
              </w:rPr>
            </w:pPr>
            <w:r>
              <w:rPr>
                <w:rFonts w:ascii="Arial" w:cs="Arial" w:eastAsia="Arial" w:hAnsi="Arial"/>
                <w:sz w:val="14"/>
                <w:szCs w:val="14"/>
                <w:b w:val="1"/>
                <w:bCs w:val="1"/>
                <w:color w:val="auto"/>
                <w:w w:val="91"/>
              </w:rPr>
              <w:t>August 4, 2018</w:t>
            </w:r>
          </w:p>
        </w:tc>
        <w:tc>
          <w:tcPr>
            <w:tcW w:w="134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4"/>
          </w:tcPr>
          <w:p>
            <w:pPr>
              <w:ind w:left="120"/>
              <w:spacing w:after="0"/>
              <w:rPr>
                <w:sz w:val="20"/>
                <w:szCs w:val="20"/>
                <w:color w:val="auto"/>
              </w:rPr>
            </w:pPr>
            <w:r>
              <w:rPr>
                <w:rFonts w:ascii="Arial" w:cs="Arial" w:eastAsia="Arial" w:hAnsi="Arial"/>
                <w:sz w:val="14"/>
                <w:szCs w:val="14"/>
                <w:b w:val="1"/>
                <w:bCs w:val="1"/>
                <w:color w:val="auto"/>
              </w:rPr>
              <w:t>Adjustments</w:t>
            </w: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Balances Under Prior U.S. GAAP</w:t>
            </w:r>
          </w:p>
        </w:tc>
      </w:tr>
      <w:tr>
        <w:trPr>
          <w:trHeight w:val="250"/>
        </w:trPr>
        <w:tc>
          <w:tcPr>
            <w:tcW w:w="4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Balance Sheet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21,776</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87,623</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3,162</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257,682</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5,001</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357,460</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15,411</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42,377</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67,144</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277,316</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292,149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290,316</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357,460</w:t>
            </w:r>
          </w:p>
        </w:tc>
      </w:tr>
      <w:tr>
        <w:trPr>
          <w:trHeight w:val="480"/>
        </w:trPr>
        <w:tc>
          <w:tcPr>
            <w:tcW w:w="4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19"/>
              <w:spacing w:after="0"/>
              <w:rPr>
                <w:sz w:val="20"/>
                <w:szCs w:val="20"/>
                <w:color w:val="auto"/>
              </w:rPr>
            </w:pPr>
            <w:r>
              <w:rPr>
                <w:rFonts w:ascii="Arial" w:cs="Arial" w:eastAsia="Arial" w:hAnsi="Arial"/>
                <w:sz w:val="14"/>
                <w:szCs w:val="14"/>
                <w:b w:val="1"/>
                <w:bCs w:val="1"/>
                <w:color w:val="auto"/>
                <w:w w:val="94"/>
              </w:rPr>
              <w:t>Thirteen Weeks Ended</w:t>
            </w:r>
          </w:p>
        </w:tc>
        <w:tc>
          <w:tcPr>
            <w:tcW w:w="1340" w:type="dxa"/>
            <w:vAlign w:val="bottom"/>
            <w:tcBorders>
              <w:bottom w:val="single" w:sz="8" w:color="auto"/>
            </w:tcBorders>
          </w:tcPr>
          <w:p>
            <w:pPr>
              <w:spacing w:after="0"/>
              <w:rPr>
                <w:sz w:val="24"/>
                <w:szCs w:val="24"/>
                <w:color w:val="auto"/>
              </w:rPr>
            </w:pPr>
          </w:p>
        </w:tc>
      </w:tr>
      <w:tr>
        <w:trPr>
          <w:trHeight w:val="250"/>
        </w:trPr>
        <w:tc>
          <w:tcPr>
            <w:tcW w:w="45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jc w:val="center"/>
              <w:ind w:right="319"/>
              <w:spacing w:after="0"/>
              <w:rPr>
                <w:sz w:val="20"/>
                <w:szCs w:val="20"/>
                <w:color w:val="auto"/>
              </w:rPr>
            </w:pPr>
            <w:r>
              <w:rPr>
                <w:rFonts w:ascii="Arial" w:cs="Arial" w:eastAsia="Arial" w:hAnsi="Arial"/>
                <w:sz w:val="14"/>
                <w:szCs w:val="14"/>
                <w:b w:val="1"/>
                <w:bCs w:val="1"/>
                <w:color w:val="auto"/>
                <w:w w:val="91"/>
              </w:rPr>
              <w:t>August 4, 2018</w:t>
            </w:r>
          </w:p>
        </w:tc>
        <w:tc>
          <w:tcPr>
            <w:tcW w:w="1340" w:type="dxa"/>
            <w:vAlign w:val="bottom"/>
            <w:tcBorders>
              <w:bottom w:val="single" w:sz="8" w:color="auto"/>
            </w:tcBorders>
          </w:tcPr>
          <w:p>
            <w:pPr>
              <w:spacing w:after="0"/>
              <w:rPr>
                <w:sz w:val="21"/>
                <w:szCs w:val="21"/>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Amounts Under Prior U.S. GAAP</w:t>
            </w: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113,625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112,331</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47,364</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65,740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64,967</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12,275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11,502</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8,692</w:t>
            </w:r>
          </w:p>
        </w:tc>
      </w:tr>
      <w:tr>
        <w:trPr>
          <w:trHeight w:val="486"/>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368"/>
              <w:spacing w:after="0"/>
              <w:rPr>
                <w:sz w:val="20"/>
                <w:szCs w:val="20"/>
                <w:color w:val="auto"/>
              </w:rPr>
            </w:pPr>
            <w:r>
              <w:rPr>
                <w:rFonts w:ascii="Arial" w:cs="Arial" w:eastAsia="Arial" w:hAnsi="Arial"/>
                <w:sz w:val="14"/>
                <w:szCs w:val="14"/>
                <w:b w:val="1"/>
                <w:bCs w:val="1"/>
                <w:color w:val="auto"/>
                <w:w w:val="93"/>
              </w:rPr>
              <w:t>Twenty-Six Weeks Ended</w:t>
            </w:r>
          </w:p>
        </w:tc>
        <w:tc>
          <w:tcPr>
            <w:tcW w:w="1300" w:type="dxa"/>
            <w:vAlign w:val="bottom"/>
            <w:tcBorders>
              <w:bottom w:val="single" w:sz="8" w:color="auto"/>
            </w:tcBorders>
          </w:tcPr>
          <w:p>
            <w:pPr>
              <w:spacing w:after="0"/>
              <w:rPr>
                <w:sz w:val="16"/>
                <w:szCs w:val="16"/>
                <w:color w:val="auto"/>
              </w:rPr>
            </w:pPr>
          </w:p>
        </w:tc>
      </w:tr>
      <w:tr>
        <w:trPr>
          <w:trHeight w:val="250"/>
        </w:trPr>
        <w:tc>
          <w:tcPr>
            <w:tcW w:w="4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jc w:val="center"/>
              <w:ind w:right="368"/>
              <w:spacing w:after="0"/>
              <w:rPr>
                <w:sz w:val="20"/>
                <w:szCs w:val="20"/>
                <w:color w:val="auto"/>
              </w:rPr>
            </w:pPr>
            <w:r>
              <w:rPr>
                <w:rFonts w:ascii="Arial" w:cs="Arial" w:eastAsia="Arial" w:hAnsi="Arial"/>
                <w:sz w:val="14"/>
                <w:szCs w:val="14"/>
                <w:b w:val="1"/>
                <w:bCs w:val="1"/>
                <w:color w:val="auto"/>
                <w:w w:val="91"/>
              </w:rPr>
              <w:t>August 4, 2018</w:t>
            </w:r>
          </w:p>
        </w:tc>
        <w:tc>
          <w:tcPr>
            <w:tcW w:w="1300" w:type="dxa"/>
            <w:vAlign w:val="bottom"/>
            <w:tcBorders>
              <w:bottom w:val="single" w:sz="8" w:color="auto"/>
            </w:tcBorders>
          </w:tcPr>
          <w:p>
            <w:pPr>
              <w:spacing w:after="0"/>
              <w:rPr>
                <w:sz w:val="21"/>
                <w:szCs w:val="21"/>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22"/>
                <w:szCs w:val="22"/>
                <w:color w:val="auto"/>
              </w:rPr>
            </w:pP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Amounts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Operations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200,216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828"/>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197,302</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84,768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114,356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112,534</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8,282</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10,606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8,784</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7,912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6,533</w:t>
            </w:r>
          </w:p>
        </w:tc>
      </w:tr>
      <w:tr>
        <w:trPr>
          <w:trHeight w:val="507"/>
        </w:trPr>
        <w:tc>
          <w:tcPr>
            <w:tcW w:w="4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b w:val="1"/>
                <w:bCs w:val="1"/>
                <w:color w:val="auto"/>
                <w:w w:val="92"/>
              </w:rPr>
              <w:t>Twenty-Six Weeks Ended</w:t>
            </w:r>
          </w:p>
        </w:tc>
        <w:tc>
          <w:tcPr>
            <w:tcW w:w="1300" w:type="dxa"/>
            <w:vAlign w:val="bottom"/>
            <w:tcBorders>
              <w:bottom w:val="single" w:sz="8" w:color="auto"/>
            </w:tcBorders>
          </w:tcPr>
          <w:p>
            <w:pPr>
              <w:spacing w:after="0"/>
              <w:rPr>
                <w:sz w:val="24"/>
                <w:szCs w:val="24"/>
                <w:color w:val="auto"/>
              </w:rPr>
            </w:pPr>
          </w:p>
        </w:tc>
      </w:tr>
      <w:tr>
        <w:trPr>
          <w:trHeight w:val="250"/>
        </w:trPr>
        <w:tc>
          <w:tcPr>
            <w:tcW w:w="4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jc w:val="center"/>
              <w:ind w:right="368"/>
              <w:spacing w:after="0"/>
              <w:rPr>
                <w:sz w:val="20"/>
                <w:szCs w:val="20"/>
                <w:color w:val="auto"/>
              </w:rPr>
            </w:pPr>
            <w:r>
              <w:rPr>
                <w:rFonts w:ascii="Arial" w:cs="Arial" w:eastAsia="Arial" w:hAnsi="Arial"/>
                <w:sz w:val="14"/>
                <w:szCs w:val="14"/>
                <w:b w:val="1"/>
                <w:bCs w:val="1"/>
                <w:color w:val="auto"/>
                <w:w w:val="91"/>
              </w:rPr>
              <w:t>August 4, 2018</w:t>
            </w:r>
          </w:p>
        </w:tc>
        <w:tc>
          <w:tcPr>
            <w:tcW w:w="1300" w:type="dxa"/>
            <w:vAlign w:val="bottom"/>
            <w:tcBorders>
              <w:bottom w:val="single" w:sz="8" w:color="auto"/>
            </w:tcBorders>
          </w:tcPr>
          <w:p>
            <w:pPr>
              <w:spacing w:after="0"/>
              <w:rPr>
                <w:sz w:val="21"/>
                <w:szCs w:val="21"/>
                <w:color w:val="auto"/>
              </w:rPr>
            </w:pPr>
          </w:p>
        </w:tc>
      </w:tr>
      <w:tr>
        <w:trPr>
          <w:trHeight w:val="264"/>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22"/>
                <w:szCs w:val="22"/>
                <w:color w:val="auto"/>
              </w:rPr>
            </w:pPr>
          </w:p>
        </w:tc>
        <w:tc>
          <w:tcPr>
            <w:tcW w:w="2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Amounts Under Prior U.S. GAAP</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Condensed Consolidated Statement of Cash Flows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Adjustments to reconcile net income (loss) to net cash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provided by (used in) operating activities: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1,036</w:t>
            </w:r>
          </w:p>
        </w:tc>
      </w:tr>
    </w:tbl>
    <w:p>
      <w:pPr>
        <w:spacing w:after="0" w:line="200" w:lineRule="exact"/>
        <w:rPr>
          <w:sz w:val="20"/>
          <w:szCs w:val="20"/>
          <w:color w:val="auto"/>
        </w:rPr>
      </w:pPr>
    </w:p>
    <w:p>
      <w:pPr>
        <w:sectPr>
          <w:pgSz w:w="11900" w:h="16838" w:orient="portrait"/>
          <w:cols w:equalWidth="0" w:num="1">
            <w:col w:w="10640"/>
          </w:cols>
          <w:pgMar w:left="24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40"/>
          </w:cols>
          <w:pgMar w:left="240" w:top="121" w:right="10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presents our net revenues disaggregated by product category for the thirteen and twenty-six weeks ended August 4, 2018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Thirteen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August 4, 2018</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39,194</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12,315</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51,509</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23,123</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27,483</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20,261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4,415</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24,676</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6,144</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6,522</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2,299</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1,136</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3,435</w:t>
            </w:r>
          </w:p>
        </w:tc>
      </w:tr>
      <w:tr>
        <w:trPr>
          <w:trHeight w:val="27"/>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91,021</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113,625</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stationery, apparel/footwear, freight, and gift card breakage.</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680" w:right="1000" w:firstLine="3"/>
        <w:spacing w:after="0" w:line="277"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$21.8 million of net revenues related to product sales recognized at a point in time and $0.8 million of net revenues related to sales-based royalties recognized over time.</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7"/>
              </w:rPr>
              <w:t>Twenty-Six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August 4, 2018</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64,794</w:t>
            </w:r>
          </w:p>
        </w:tc>
        <w:tc>
          <w:tcPr>
            <w:tcW w:w="3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22,543</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87,337</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41,182</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50,232</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35,940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8,583</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44,523</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11,150</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4,323</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2,651</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6,974</w:t>
            </w:r>
          </w:p>
        </w:tc>
      </w:tr>
      <w:tr>
        <w:trPr>
          <w:trHeight w:val="27"/>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156,553</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200,216</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stationery, apparel/footwear, freight, and gift card breakage.</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680" w:right="1000" w:firstLine="3"/>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$41.9 million of net revenues related to product sales recognized at a point in time and $1.8 million of net revenues related to sales-based royalties recognized over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94"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Contract liabilities as of August 4, 2018, consisted of $1.2 million of unearned revenue related to unredeemed gift cards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August 4, 2018.</w:t>
      </w:r>
    </w:p>
    <w:p>
      <w:pPr>
        <w:spacing w:after="0" w:line="12"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balance for accounts receivable from contracts with customers, net of allowances, as of August 4, 2018 was $21.7 million, which is recognized within accounts receivable, net, on the Company’s Condensed Consolidated Balance Sheets. The provision for doubtful accounts was $0.1 million for the twenty-six weeks ended August 4,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9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performance obligations for the Direct and Indirect segments include the promise to transfer distinct goods (or a bundle of distinct goods). The Indirect segment also includes the right to access the Company’s intellectual property (“IP”).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August 4,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Judgments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Sales</w:t>
      </w:r>
    </w:p>
    <w:p>
      <w:pPr>
        <w:spacing w:after="0" w:line="90"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In the Company’s retail stores (recognized within the Direct segment), control is transferred and net revenue is recognized at the point of sale. Product shipments for the Company’s e-commerce channel (recognized within the Direct segment) and shipments to its Indirect retailers (recognized within the Indirect segment) are generally shipped Free on Board (“FOB”) shipping point typically from its distribution center in Roanoke, Indiana, and net revenue is recognized upon shipment consistent with when control is transferred to the customer. Upon shipment, the customer has the right to direct the use of, and obtain substantially all of the benefits from, the product.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Licensing Royalties</w:t>
      </w:r>
    </w:p>
    <w:p>
      <w:pPr>
        <w:spacing w:after="0" w:line="90"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The Company grants rights to access its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Indirect segment net revenues.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and Amounts Allocated to Performance Obligations.</w:t>
      </w:r>
    </w:p>
    <w:p>
      <w:pPr>
        <w:spacing w:after="0" w:line="90"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Costs</w:t>
      </w:r>
    </w:p>
    <w:p>
      <w:pPr>
        <w:spacing w:after="0" w:line="9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Practical Expedients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Remaining Performance Obligations</w:t>
      </w:r>
    </w:p>
    <w:p>
      <w:pPr>
        <w:spacing w:after="0" w:line="9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does not disclose the remaining performance obligations for contracts with an original expected duration of one year or less or for contracts which it has the right to invoice.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Financing Components</w:t>
      </w:r>
    </w:p>
    <w:p>
      <w:pPr>
        <w:spacing w:after="0" w:line="9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6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August 4,</w:t>
            </w:r>
          </w:p>
        </w:tc>
        <w:tc>
          <w:tcPr>
            <w:tcW w:w="220" w:type="dxa"/>
            <w:vAlign w:val="bottom"/>
          </w:tcPr>
          <w:p>
            <w:pPr>
              <w:spacing w:after="0"/>
              <w:rPr>
                <w:sz w:val="13"/>
                <w:szCs w:val="13"/>
                <w:color w:val="auto"/>
              </w:rPr>
            </w:pPr>
          </w:p>
        </w:tc>
        <w:tc>
          <w:tcPr>
            <w:tcW w:w="10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August 4,</w:t>
            </w:r>
          </w:p>
        </w:tc>
        <w:tc>
          <w:tcPr>
            <w:tcW w:w="240" w:type="dxa"/>
            <w:vAlign w:val="bottom"/>
          </w:tcPr>
          <w:p>
            <w:pPr>
              <w:spacing w:after="0"/>
              <w:rPr>
                <w:sz w:val="13"/>
                <w:szCs w:val="13"/>
                <w:color w:val="auto"/>
              </w:rPr>
            </w:pPr>
          </w:p>
        </w:tc>
        <w:tc>
          <w:tcPr>
            <w:tcW w:w="98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5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35,540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35,536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36,178</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35,735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36,158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35,733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36,178</w:t>
            </w:r>
          </w:p>
        </w:tc>
      </w:tr>
      <w:tr>
        <w:trPr>
          <w:trHeight w:val="67"/>
        </w:trPr>
        <w:tc>
          <w:tcPr>
            <w:tcW w:w="5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Net income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5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For the thirteen weeks ended August 4, 2018 and July 29, 2017, and the twenty-six weeks ended August 4, 2018, there were an immaterial number of additional shares issuable upon the vesting of restricted stock units that were excluded from the diluted share calculations because they were anti-dilutive.</w:t>
      </w:r>
    </w:p>
    <w:p>
      <w:pPr>
        <w:spacing w:after="0" w:line="12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twenty-six weeks ended July 29, 2017, all potential common shares were excluded from the diluted share calculation because they were anti-dilutive due to the net loss in the period.</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rFonts w:ascii="Arial" w:cs="Arial" w:eastAsia="Arial" w:hAnsi="Arial"/>
          <w:sz w:val="18"/>
          <w:szCs w:val="18"/>
          <w:b w:val="1"/>
          <w:bCs w:val="1"/>
          <w:color w:val="auto"/>
        </w:rPr>
      </w:pPr>
    </w:p>
    <w:p>
      <w:pPr>
        <w:ind w:left="6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August 4, 2018 and February 3, 2018,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1"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August 4, 2018 and February 3, 2018 (in thousands):</w:t>
      </w:r>
    </w:p>
    <w:p>
      <w:pPr>
        <w:spacing w:after="0" w:line="33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August 4,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February 3,</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August 4,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August 4, 2018</w:t>
            </w:r>
          </w:p>
        </w:tc>
        <w:tc>
          <w:tcPr>
            <w:tcW w:w="1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Cash equivalents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Certificate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U.S. corporate debt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80" w:right="960" w:firstLine="3"/>
        <w:spacing w:after="0" w:line="342" w:lineRule="auto"/>
        <w:tabs>
          <w:tab w:leader="none" w:pos="9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Cash equivalents include commercial paper, municipal securities, and a money market fund that have a maturity of three months or less at the date of purchase. Due to their short maturity, the Company believes the carrying value approximates fair value.</w:t>
      </w:r>
    </w:p>
    <w:p>
      <w:pPr>
        <w:spacing w:after="0" w:line="16" w:lineRule="exact"/>
        <w:rPr>
          <w:sz w:val="20"/>
          <w:szCs w:val="20"/>
          <w:color w:val="auto"/>
        </w:rPr>
      </w:pPr>
    </w:p>
    <w:p>
      <w:pPr>
        <w:ind w:left="660" w:right="540"/>
        <w:spacing w:after="0" w:line="342" w:lineRule="auto"/>
        <w:rPr>
          <w:sz w:val="20"/>
          <w:szCs w:val="20"/>
          <w:color w:val="auto"/>
        </w:rPr>
      </w:pPr>
      <w:r>
        <w:rPr>
          <w:rFonts w:ascii="Arial" w:cs="Arial" w:eastAsia="Arial" w:hAnsi="Arial"/>
          <w:sz w:val="16"/>
          <w:szCs w:val="16"/>
          <w:color w:val="auto"/>
        </w:rPr>
        <w:t>The Company has certain assets that are measured on a non-recurring basis under circumstances and events described in Note 12 herein. The categorization of the framework to price these assets are within Level 3 due to the subjective nature of unobservable inputs.</w:t>
      </w:r>
    </w:p>
    <w:p>
      <w:pPr>
        <w:spacing w:after="0" w:line="20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6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“Prior Credit Agreement”). The Prior Credit Agreement provided for certain credit facilities to VBD in an aggregate principal amount not to initially exceed $125.0 million, the proceeds of which could be used for general corporate purposes of VBD and its subsidiaries, including but not limited to Vera Bradley International, LLC and Vera Bradley Sales, LLC (collectively, the “Named Subsidiaries”). On October 20, 2017, VBD entered into Amendment No. 2 to the Prior Credit Agreement to modify certain financial and restrictive covenants.</w:t>
      </w:r>
    </w:p>
    <w:p>
      <w:pPr>
        <w:spacing w:after="0" w:line="32" w:lineRule="exact"/>
        <w:rPr>
          <w:rFonts w:ascii="Arial" w:cs="Arial" w:eastAsia="Arial" w:hAnsi="Arial"/>
          <w:sz w:val="18"/>
          <w:szCs w:val="18"/>
          <w:b w:val="1"/>
          <w:bCs w:val="1"/>
          <w:color w:val="auto"/>
        </w:rPr>
      </w:pPr>
    </w:p>
    <w:p>
      <w:pPr>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Prior Credit Agreement bore interest, at VBD's option, at a per annum rate equal to either (A) the Alternate Base Rate (“ABR”) plus the Applicable Margin, where the ABR was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meant LIBOR, as adjusted for statutory reserve requirements for eurocurrency liabilities, and Applicable Margin is a percentage ranging from 1.00% to 1.70% depending upon the Company's leverage ratio. Any loans made, or letters of credit issued, pursuant to the Prior Credit Agreement was to mature on July 15, 2020.</w:t>
      </w:r>
    </w:p>
    <w:p>
      <w:pPr>
        <w:spacing w:after="0" w:line="29"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Prior Credit Agreement were guaranteed by the Company and the Named Subsidiaries. The obligations of VBD under the Prior Credit Agreement were secured by first priority security interests in all of the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21"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respective assets of VBD, the Company, and the Named Subsidiaries and a pledge of the equity interests of VBD and the Named Subsidiaries.</w:t>
      </w:r>
    </w:p>
    <w:p>
      <w:pPr>
        <w:spacing w:after="0" w:line="113" w:lineRule="exact"/>
        <w:rPr>
          <w:sz w:val="20"/>
          <w:szCs w:val="20"/>
          <w:color w:val="auto"/>
        </w:rPr>
      </w:pPr>
    </w:p>
    <w:p>
      <w:pPr>
        <w:ind w:left="660" w:right="180"/>
        <w:spacing w:after="0" w:line="270" w:lineRule="auto"/>
        <w:rPr>
          <w:sz w:val="20"/>
          <w:szCs w:val="20"/>
          <w:color w:val="auto"/>
        </w:rPr>
      </w:pPr>
      <w:r>
        <w:rPr>
          <w:rFonts w:ascii="Arial" w:cs="Arial" w:eastAsia="Arial" w:hAnsi="Arial"/>
          <w:sz w:val="17"/>
          <w:szCs w:val="17"/>
          <w:color w:val="auto"/>
        </w:rPr>
        <w:t>The Prior Credit Agreement, as amended, contained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Prior Credit Agreement. The Company was also required to comply with certain financial and non-financial covenants, including maintaining a maximum leverage ratio, a minimum ratio of EBITDAR to the sum of interest expense plus rentals (as defined in the Prior Credit Agreement), and a limit on capital expenditures. Upon an event of default, which included certain customary events such as, among other things, a failure to make required payments when due, a failure to comply with covenants, certain bankruptcy and insolvency events, a material adverse change (as defined in the Prior Credit Agreement), defaults under other material indebtedness, and a change in control, the lenders could accelerate amounts outstanding, terminate the agreement and foreclose on all collateral.</w:t>
      </w:r>
    </w:p>
    <w:p>
      <w:pPr>
        <w:spacing w:after="0" w:line="47"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As of August 4, 2018 and February 3, 2018, the Company had no borrowings outstanding and availability of $125.0 million under its Prior Credit Agreement.</w:t>
      </w:r>
    </w:p>
    <w:p>
      <w:pPr>
        <w:spacing w:after="0" w:line="3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Subsequent to the end of the quarter, VBD entered into an asset based revolving credit agreement. Concurrently with entering into the new credit agreement, the Prior Credit Agreement detailed above was terminated. Refer to Note 14 herein for additional information regarding the new credit agreement.</w:t>
      </w:r>
    </w:p>
    <w:p>
      <w:pPr>
        <w:spacing w:after="0" w:line="17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66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rFonts w:ascii="Arial" w:cs="Arial" w:eastAsia="Arial" w:hAnsi="Arial"/>
          <w:sz w:val="18"/>
          <w:szCs w:val="18"/>
          <w:b w:val="1"/>
          <w:bCs w:val="1"/>
          <w:color w:val="auto"/>
        </w:rPr>
      </w:pPr>
    </w:p>
    <w:p>
      <w:pPr>
        <w:ind w:left="66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Tax Cuts and Jobs Act (the “Tax Act”) was signed into law. The Tax Act includes, among other things, a corporate tax rate decrease from 35% to 21% effective for tax years beginning after December 31, 2017, bonus depreciation that allows for full expensing of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w:t>
      </w:r>
    </w:p>
    <w:p>
      <w:pPr>
        <w:spacing w:after="0" w:line="19" w:lineRule="exact"/>
        <w:rPr>
          <w:rFonts w:ascii="Arial" w:cs="Arial" w:eastAsia="Arial" w:hAnsi="Arial"/>
          <w:sz w:val="18"/>
          <w:szCs w:val="18"/>
          <w:b w:val="1"/>
          <w:bCs w:val="1"/>
          <w:color w:val="auto"/>
        </w:rPr>
      </w:pPr>
    </w:p>
    <w:p>
      <w:pPr>
        <w:ind w:left="660" w:right="3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Consistent with this guidance, any resulting changes to the provisional estimates and amounts not yet estimated will be recognized as an adjustment to tax expense in the reporting period that the amounts are determined.</w:t>
      </w:r>
    </w:p>
    <w:p>
      <w:pPr>
        <w:spacing w:after="0" w:line="19" w:lineRule="exact"/>
        <w:rPr>
          <w:rFonts w:ascii="Arial" w:cs="Arial" w:eastAsia="Arial" w:hAnsi="Arial"/>
          <w:sz w:val="18"/>
          <w:szCs w:val="18"/>
          <w:b w:val="1"/>
          <w:bCs w:val="1"/>
          <w:color w:val="auto"/>
        </w:rPr>
      </w:pPr>
    </w:p>
    <w:p>
      <w:pPr>
        <w:ind w:left="66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provisional amounts recognized as a result of the Tax Act may differ due to, among other things, additional analysis, changes in interpretations and assumptions that the Company has made, additional regulatory guidance issued, and any additional actions the Company may take as a result of the Tax Act. The accounting for the Tax Act is expected to be complete when the fiscal 2018 federal income tax return is filed in fiscal 2019. The Company has not recognized any provisional income tax adjustments as a result of the Tax Act in the current-year period.</w:t>
      </w:r>
    </w:p>
    <w:p>
      <w:pPr>
        <w:spacing w:after="0" w:line="100" w:lineRule="exact"/>
        <w:rPr>
          <w:rFonts w:ascii="Arial" w:cs="Arial" w:eastAsia="Arial" w:hAnsi="Arial"/>
          <w:sz w:val="18"/>
          <w:szCs w:val="18"/>
          <w:b w:val="1"/>
          <w:bCs w:val="1"/>
          <w:color w:val="auto"/>
        </w:rPr>
      </w:pPr>
    </w:p>
    <w:p>
      <w:pPr>
        <w:jc w:val="both"/>
        <w:ind w:left="6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August 4, 2018, was 24.4%, compared to 42.4% for the thirteen weeks ended July 29, 2017. The year-over-year effective tax rate decrease was primarily due to a decreased annual effective tax rate as a result of the reduction in the U.S. corporate income tax rate.</w:t>
      </w:r>
    </w:p>
    <w:p>
      <w:pPr>
        <w:spacing w:after="0" w:line="46"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twenty-six weeks ended August 4, 2018, was 25.4%, compared to (93.3)% for the twenty-six weeks ended July 29, 2017. The year-over-year effective tax rate decrease was primarily due to the relative impact of discrete items in the current-year period compared to the prior-year period, primarily as a result of tax shortfalls from stock-based compensation, and a decreased annual effective tax rate as a result of the reduction in the U.S. corporate income tax rate.</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171"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During the thirteen weeks ended August 4, 2018, the Company granted 66,069 time-based and performance-based restricted stock units with an aggregate fair value of $0.9 million to certain employees under the 2010 Equity and Incentive Plan. The Company did not grant time-based or performance-based restricted stock units in the same period of the prior year.</w:t>
      </w:r>
    </w:p>
    <w:p>
      <w:pPr>
        <w:spacing w:after="0" w:line="127"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During the twenty-six weeks ended August 4, 2018, the Company granted 475,214 time-based and performance-based restricted stock units with an aggregate fair value of $5.2 million to certain employees and non-employee directors under the 2010 Equity and Incentive Plan compared to a total of 506,572 time-based and performance-based restricted stock units with an aggregate fair value of $4.7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twenty-six weeks ended August 4, 2018 (units in thousands):</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3, 2018</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August 4, 2018</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466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60"/>
        <w:spacing w:after="0" w:line="342" w:lineRule="auto"/>
        <w:rPr>
          <w:sz w:val="20"/>
          <w:szCs w:val="20"/>
          <w:color w:val="auto"/>
        </w:rPr>
      </w:pPr>
      <w:r>
        <w:rPr>
          <w:rFonts w:ascii="Arial" w:cs="Arial" w:eastAsia="Arial" w:hAnsi="Arial"/>
          <w:sz w:val="16"/>
          <w:szCs w:val="16"/>
          <w:color w:val="auto"/>
        </w:rPr>
        <w:t>As of August 4, 2018, there was $6.3 million of total unrecognized compensation cost, net of estimated forfeitures, related to nonvested restricted stock units. That cost is expected to be recognized over a weighted-average period of 1.8 years, subject to meeting performance conditions.</w:t>
      </w:r>
    </w:p>
    <w:p>
      <w:pPr>
        <w:spacing w:after="0" w:line="336" w:lineRule="exact"/>
        <w:rPr>
          <w:sz w:val="20"/>
          <w:szCs w:val="20"/>
          <w:color w:val="auto"/>
        </w:rPr>
      </w:pPr>
    </w:p>
    <w:p>
      <w:pPr>
        <w:ind w:left="660" w:right="8200" w:hanging="652"/>
        <w:spacing w:after="0" w:line="346"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Payment Card Incident </w:t>
      </w:r>
      <w:r>
        <w:rPr>
          <w:rFonts w:ascii="Arial" w:cs="Arial" w:eastAsia="Arial" w:hAnsi="Arial"/>
          <w:sz w:val="18"/>
          <w:szCs w:val="18"/>
          <w:i w:val="1"/>
          <w:iCs w:val="1"/>
          <w:color w:val="auto"/>
        </w:rPr>
        <w:t>Description of Event</w:t>
      </w: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September 15, 2016, the Company received information from law enforcement regarding a potential data security issue related to its retail store network. Findings from the investigation showed unauthorized access to the Company's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37"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The Company timely resolved this incident and continues to work with a computer security firm to further strengthen the security of its systems to help prevent events of this nature from happening in the future. The Company promptly notified the payment card networks so that the banks that issue payment cards could initiate heightened monitoring on the affected cards. Claims have been received from payment card networks for this incident and are all expected to be covered by the Company's insurance, as described below. The Company also received inquiries from the states of New Jersey and Indiana regarding the incident. The Company continues to be in discussions with Indiana regarding the incident.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During the thirteen and twenty-six weeks ended August 4, 2018 and July 29, 2017, the Company recorded an immaterial amount of expense relating to remediation activities as a result of the Payment Card Incident. There were no incremental expenses associated with the claims received in fiscal 2019 or fiscal 2018 as they were, or are expected to be, reimbursed under the Company's insurance coverage.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Company does not believe that the amounts to be paid with respect to any remaining matters will have a material adverse effect on its financial condition and operating results taken as a whole.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maintains $15.0 million of cyber security insurance coverage above a $0.1 million deductible.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Commitments and Contingencies</w:t>
      </w:r>
    </w:p>
    <w:p>
      <w:pPr>
        <w:spacing w:after="0" w:line="9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Company is also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w:t>
      </w:r>
    </w:p>
    <w:p>
      <w:pPr>
        <w:spacing w:after="0" w:line="51" w:lineRule="exact"/>
        <w:rPr>
          <w:rFonts w:ascii="Arial" w:cs="Arial" w:eastAsia="Arial" w:hAnsi="Arial"/>
          <w:sz w:val="18"/>
          <w:szCs w:val="18"/>
          <w:b w:val="1"/>
          <w:bCs w:val="1"/>
          <w:color w:val="auto"/>
        </w:rPr>
      </w:pPr>
    </w:p>
    <w:p>
      <w:pPr>
        <w:jc w:val="both"/>
        <w:ind w:left="66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purchased 252,201 shares at an average price of $14.24 per share, excluding commissions, for an aggregate amount of $3.6 million during the thirteen and twenty-six weeks ended August 4, 2018, under the 2015 Share Repurchase Program. As of August 4, 2018, there was $9.8 million remaining available to repurchase shares of the Company's common stock under the 2015 Share Repurchase Program.</w:t>
      </w:r>
    </w:p>
    <w:p>
      <w:pPr>
        <w:spacing w:after="0" w:line="92"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August 4, 2018, the Company held as treasury shares 5,894,686 shares of its common stock at an average price of $13.60 per share, excluding commissions, for an aggregate carrying amount of $80.2 million. The Company’s treasury shares may be issued under the 2010 Equity and Incentive Plan or for other corporate purposes.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right="7180" w:hanging="652"/>
        <w:spacing w:after="0" w:line="367"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Vision 20/20 Restructuring and Other Charges </w:t>
      </w:r>
      <w:r>
        <w:rPr>
          <w:rFonts w:ascii="Arial" w:cs="Arial" w:eastAsia="Arial" w:hAnsi="Arial"/>
          <w:sz w:val="17"/>
          <w:szCs w:val="17"/>
          <w:i w:val="1"/>
          <w:iCs w:val="1"/>
          <w:color w:val="auto"/>
        </w:rPr>
        <w:t>Vision 20/20 Initiatives and Charges</w:t>
      </w:r>
    </w:p>
    <w:p>
      <w:pPr>
        <w:ind w:left="660" w:right="6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During fiscal 2018, the Company launched its Vision 20/20 strategic plan, which involves a more aggressive approach to turn around its business over the period ending in fiscal 2021. The plan is primarily focused on product and pricing initiatives, as well as selling, general, and administrative (“SG&amp;A”) expense reduction initiatives. The product and pricing initiatives include restoring the Company's full-price business by significantly reducing the amount of clearance merchandise offered on verabradley.com and in its full-line stores, streamlining current product offerings by eliminating unproductive or incongruent categories and SKUs from its assortment, and introducing tighter guardrails around new product categories, patterns, and pricing.</w:t>
      </w:r>
    </w:p>
    <w:p>
      <w:pPr>
        <w:spacing w:after="0" w:line="58" w:lineRule="exact"/>
        <w:rPr>
          <w:rFonts w:ascii="Arial" w:cs="Arial" w:eastAsia="Arial" w:hAnsi="Arial"/>
          <w:sz w:val="17"/>
          <w:szCs w:val="17"/>
          <w:b w:val="1"/>
          <w:bCs w:val="1"/>
          <w:color w:val="auto"/>
        </w:rPr>
      </w:pPr>
    </w:p>
    <w:p>
      <w:pPr>
        <w:ind w:left="660" w:right="4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SG&amp;A expense reductions include right-sizing the Company’s corporate infrastructure to better align with the size of the business, lowering marketing spending by focusing on efficiencies, and taking a more aggressive stance on closing underperforming full-line stores. These SG&amp;A expense reductions began in the third quarter of fiscal 2018, largely aimed at right-sizing the corporate infrastructure. The majority of the product and pricing initiatives are being completed in the current fiscal year. There have been $16.7 million of pre-tax Vision 20/20-related charges ($10.6 million after the associated tax benefit) since inception, all of which were recognized during fiscal 2018. There were no Vision 20/20-related charges during the thirteen and twenty-six weeks ended August 4, 2018.</w:t>
      </w:r>
    </w:p>
    <w:p>
      <w:pPr>
        <w:spacing w:after="0" w:line="43" w:lineRule="exact"/>
        <w:rPr>
          <w:rFonts w:ascii="Arial" w:cs="Arial" w:eastAsia="Arial" w:hAnsi="Arial"/>
          <w:sz w:val="17"/>
          <w:szCs w:val="17"/>
          <w:b w:val="1"/>
          <w:bCs w:val="1"/>
          <w:color w:val="auto"/>
        </w:rPr>
      </w:pPr>
    </w:p>
    <w:p>
      <w:pPr>
        <w:ind w:left="660" w:right="4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There were $2.3 million ($1.5 million after the associated tax benefit) of Vision 20/20-related charges during the thirteen and twenty-six weeks ended July 29, 2017, for strategic consulting expenses recognized within corporate unallocated expenses.</w:t>
      </w:r>
    </w:p>
    <w:p>
      <w:pPr>
        <w:spacing w:after="0" w:line="35" w:lineRule="exact"/>
        <w:rPr>
          <w:rFonts w:ascii="Arial" w:cs="Arial" w:eastAsia="Arial" w:hAnsi="Arial"/>
          <w:sz w:val="17"/>
          <w:szCs w:val="17"/>
          <w:b w:val="1"/>
          <w:bCs w:val="1"/>
          <w:color w:val="auto"/>
        </w:rPr>
      </w:pPr>
    </w:p>
    <w:p>
      <w:pPr>
        <w:ind w:left="660" w:right="5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There were $1.6 million of cash payments made during fiscal 2019 for severance charges and no liabilities remaining for Vision 20/20-related charges as of August 4, 2018.</w:t>
      </w:r>
    </w:p>
    <w:p>
      <w:pPr>
        <w:spacing w:after="0" w:line="116"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Other Charges</w:t>
      </w:r>
    </w:p>
    <w:p>
      <w:pPr>
        <w:spacing w:after="0" w:line="90"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Thirteen Weeks Ended July 29, 2017</w:t>
      </w:r>
    </w:p>
    <w:p>
      <w:pPr>
        <w:spacing w:after="0" w:line="90" w:lineRule="exact"/>
        <w:rPr>
          <w:rFonts w:ascii="Arial" w:cs="Arial" w:eastAsia="Arial" w:hAnsi="Arial"/>
          <w:sz w:val="17"/>
          <w:szCs w:val="17"/>
          <w:b w:val="1"/>
          <w:bCs w:val="1"/>
          <w:color w:val="auto"/>
        </w:rPr>
      </w:pPr>
    </w:p>
    <w:p>
      <w:pPr>
        <w:ind w:left="6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Other charges recognized in SG&amp;A expenses during the thirteen weeks ended July 29, 2017 totaled $1.5 million ($0.9 million after the associated tax benefit). These pre-tax charges consisted of $1.2 million in severance charges (recognized within corporate unallocated expenses) and $0.3 million for a net lease termination charge (recognized within the Direct segment).</w:t>
      </w:r>
    </w:p>
    <w:p>
      <w:pPr>
        <w:spacing w:after="0" w:line="46"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Twenty-Six Weeks Ended July 29, 2017</w:t>
      </w:r>
    </w:p>
    <w:p>
      <w:pPr>
        <w:spacing w:after="0" w:line="90" w:lineRule="exact"/>
        <w:rPr>
          <w:rFonts w:ascii="Arial" w:cs="Arial" w:eastAsia="Arial" w:hAnsi="Arial"/>
          <w:sz w:val="17"/>
          <w:szCs w:val="17"/>
          <w:b w:val="1"/>
          <w:bCs w:val="1"/>
          <w:color w:val="auto"/>
        </w:rPr>
      </w:pPr>
    </w:p>
    <w:p>
      <w:pPr>
        <w:ind w:left="660" w:right="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Other charges recognized in SG&amp;A expenses during the twenty-six weeks ended July 29, 2017 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46"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These charges were recognized before the implementation of Vision 20/20.</w:t>
      </w:r>
    </w:p>
    <w:p>
      <w:pPr>
        <w:spacing w:after="0" w:line="302" w:lineRule="exact"/>
        <w:rPr>
          <w:rFonts w:ascii="Arial" w:cs="Arial" w:eastAsia="Arial" w:hAnsi="Arial"/>
          <w:sz w:val="17"/>
          <w:szCs w:val="17"/>
          <w:b w:val="1"/>
          <w:bCs w:val="1"/>
          <w:color w:val="auto"/>
        </w:rPr>
      </w:pPr>
    </w:p>
    <w:p>
      <w:pPr>
        <w:ind w:left="660" w:right="9500" w:hanging="652"/>
        <w:spacing w:after="0" w:line="390"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Cash Equivalents</w:t>
      </w:r>
    </w:p>
    <w:p>
      <w:pPr>
        <w:ind w:left="660" w:right="2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Investments classified as cash equivalents relate to highly-liquid investments with a maturity of three months or less at the date of purchase. As of August 4, 2018 and February 3, 2018, these investments in the Company's portfolio consisted of commercial paper, municipal securities, and a money market fund.</w:t>
      </w:r>
    </w:p>
    <w:p>
      <w:pPr>
        <w:spacing w:after="0" w:line="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Short-Term Investments</w:t>
      </w:r>
    </w:p>
    <w:p>
      <w:pPr>
        <w:spacing w:after="0" w:line="171" w:lineRule="exact"/>
        <w:rPr>
          <w:rFonts w:ascii="Arial" w:cs="Arial" w:eastAsia="Arial" w:hAnsi="Arial"/>
          <w:sz w:val="16"/>
          <w:szCs w:val="16"/>
          <w:b w:val="1"/>
          <w:bCs w:val="1"/>
          <w:color w:val="auto"/>
        </w:rPr>
      </w:pPr>
    </w:p>
    <w:p>
      <w:pPr>
        <w:ind w:left="660" w:right="8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As of August 4, 2018 and February 3, 2018, short-term investments consisted of a certificate of deposit, U.S. and non-U.S. corporate debt securities, municipal securities, and commercial paper with a maturity within one year of the balance sheet date. The balance as of August 4, 2018, also included U.S. treasury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The Company held $52.7 million and $54.2 million in short-term investments as of August 4, 2018 and February 3, 2018, respectively. The following table summarizes the Company's short-term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4, 2018</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February 3, 2018</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25,032</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6,451</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12,942</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998</w:t>
            </w: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54,150</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171"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As of August 4, 2018 and February 3, 2018, long-term investments consisted of U.S. and non-U.S. corporate debt securities and municipal securities with a maturity greater than one year from the balance sheet date. The balance as of February 3, 2018 also included U.S. treasury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held $11.0 million and $15.5 million in long-term investments as of August 4, 2018 and February 3, 2018, respectively. The following table summarizes the Company's long-term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4, 2018</w:t>
            </w:r>
          </w:p>
        </w:tc>
        <w:tc>
          <w:tcPr>
            <w:tcW w:w="22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February 3, 2018</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5,098</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4,543</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3,099</w:t>
            </w: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15,515</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material gross unrealized gains or losses on available-for-sale debt securities as of August 4, 2018 and February 3, 2018.</w:t>
      </w:r>
    </w:p>
    <w:p>
      <w:pPr>
        <w:spacing w:after="0" w:line="31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4" w:lineRule="exact"/>
        <w:rPr>
          <w:rFonts w:ascii="Arial" w:cs="Arial" w:eastAsia="Arial" w:hAnsi="Arial"/>
          <w:sz w:val="18"/>
          <w:szCs w:val="18"/>
          <w:b w:val="1"/>
          <w:bCs w:val="1"/>
          <w:color w:val="auto"/>
        </w:rPr>
      </w:pPr>
    </w:p>
    <w:p>
      <w:pPr>
        <w:ind w:left="660" w:right="2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typically determined by an estimated discounted cash flow analysis of the asset. There were no impairment charges recorded during the thirteen and twenty-six weeks ended August 4, 2018 and July 29, 2017.</w:t>
      </w:r>
    </w:p>
    <w:p>
      <w:pPr>
        <w:spacing w:after="0" w:line="235"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 segment includes the Company’s full-line and factory outlet stores; the Company’s website, verabradley.com; the Company’s online outlet site; direct-to-consumer eBay sales; and the annual outlet sale. Revenues generated from this segment are driven through the sale of Company-branded products from Vera Bradley to end consumers.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2,400 locations, substantially all of which are located in the United States; key accounts, which include department stores, national accounts, third-party e-commerce sites, and third-party inventory liquidators; and royalties recognized through licensing agreements.</w:t>
      </w:r>
    </w:p>
    <w:p>
      <w:pPr>
        <w:spacing w:after="0" w:line="12"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All intercompany-related activities are eliminated in consolidation and are excluded from the segment reporting.</w:t>
      </w:r>
    </w:p>
    <w:p>
      <w:pPr>
        <w:spacing w:after="0" w:line="30"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August 4, 2018 and July 29, 2017, respectively, consisted of the following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3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August 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29,</w:t>
            </w:r>
          </w:p>
        </w:tc>
        <w:tc>
          <w:tcPr>
            <w:tcW w:w="300" w:type="dxa"/>
            <w:vAlign w:val="bottom"/>
          </w:tcPr>
          <w:p>
            <w:pPr>
              <w:spacing w:after="0"/>
              <w:rPr>
                <w:sz w:val="13"/>
                <w:szCs w:val="13"/>
                <w:color w:val="auto"/>
              </w:rPr>
            </w:pPr>
          </w:p>
        </w:tc>
        <w:tc>
          <w:tcPr>
            <w:tcW w:w="14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3"/>
                <w:szCs w:val="13"/>
                <w:color w:val="auto"/>
              </w:rPr>
            </w:pPr>
          </w:p>
        </w:tc>
        <w:tc>
          <w:tcPr>
            <w:tcW w:w="1280" w:type="dxa"/>
            <w:vAlign w:val="bottom"/>
          </w:tcPr>
          <w:p>
            <w:pPr>
              <w:jc w:val="right"/>
              <w:ind w:right="493"/>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3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91,021</w:t>
            </w:r>
          </w:p>
        </w:tc>
        <w:tc>
          <w:tcPr>
            <w:tcW w:w="46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89,342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156,553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158,179</w:t>
            </w: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50,374</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113,625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112,418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200,216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208,553</w:t>
            </w:r>
          </w:p>
        </w:tc>
      </w:tr>
      <w:tr>
        <w:trPr>
          <w:trHeight w:val="67"/>
        </w:trPr>
        <w:tc>
          <w:tcPr>
            <w:tcW w:w="3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22,318</w:t>
            </w:r>
          </w:p>
        </w:tc>
        <w:tc>
          <w:tcPr>
            <w:tcW w:w="46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17,312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29,608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24,124</w:t>
            </w: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17,278</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31,145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46,719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41,402</w:t>
            </w:r>
          </w:p>
        </w:tc>
      </w:tr>
      <w:tr>
        <w:trPr>
          <w:trHeight w:val="67"/>
        </w:trPr>
        <w:tc>
          <w:tcPr>
            <w:tcW w:w="3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31,145</w:t>
            </w:r>
          </w:p>
        </w:tc>
        <w:tc>
          <w:tcPr>
            <w:tcW w:w="46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46,719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41,402</w:t>
            </w: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(42,497)</w:t>
            </w: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12,016</w:t>
            </w:r>
          </w:p>
        </w:tc>
        <w:tc>
          <w:tcPr>
            <w:tcW w:w="4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4"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7, 2018, VBD, a wholly-owned subsidiary of the Company, entered into an asset based revolving Credit Agreement (the “New Credit Agreement”) among VBD, JPMorgan Chase Bank, N.A., as administrative agent, and the lenders from time to time party thereto. The New Credit Agreement provides for certain credit facilities to VBD in an aggregate principal amount not to initially exceed the lesser of $75.0 million or the amount of borrowing availability determined in accordance with a borrowing base of certain assets. The proceeds of the credit facilities will be used to finance general corporate purposes of VBD and its subsidiaries, including but not limited to Vera Bradley International, LLC and Vera Bradley Sales, LLC (collectively, the “Named Subsidiaries”). The New Credit Agreement also contains an option for VBD to arrange with lenders to increase the aggregate principal amount by up to $25.0 million.</w:t>
      </w:r>
    </w:p>
    <w:p>
      <w:pPr>
        <w:spacing w:after="0" w:line="54" w:lineRule="exact"/>
        <w:rPr>
          <w:rFonts w:ascii="Arial" w:cs="Arial" w:eastAsia="Arial" w:hAnsi="Arial"/>
          <w:sz w:val="18"/>
          <w:szCs w:val="18"/>
          <w:b w:val="1"/>
          <w:bCs w:val="1"/>
          <w:color w:val="auto"/>
        </w:rPr>
      </w:pPr>
    </w:p>
    <w:p>
      <w:pPr>
        <w:ind w:left="660" w:right="1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New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New Credit Agreement also requires VBD to pay a commitment fee for the unused portion of the revolving facility of up to 0.20% per annum.</w:t>
      </w:r>
    </w:p>
    <w:p>
      <w:pPr>
        <w:spacing w:after="0" w:line="32"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New Credit Agreement are guaranteed by the Company and the Named Subsidiaries. The obligations of VBD under the New Credit Agreement are secured by substantially all of the respective assets of VBD, the Company, and the Named Subsidiaries and are further secured by the equity interests in VBD and the Named Subsidiaries.</w:t>
      </w:r>
    </w:p>
    <w:p>
      <w:pPr>
        <w:spacing w:after="0" w:line="46" w:lineRule="exact"/>
        <w:rPr>
          <w:rFonts w:ascii="Arial" w:cs="Arial" w:eastAsia="Arial" w:hAnsi="Arial"/>
          <w:sz w:val="18"/>
          <w:szCs w:val="18"/>
          <w:b w:val="1"/>
          <w:bCs w:val="1"/>
          <w:color w:val="auto"/>
        </w:rPr>
      </w:pPr>
    </w:p>
    <w:p>
      <w:pPr>
        <w:ind w:left="660" w:right="3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New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New Credit Agreement.</w:t>
      </w:r>
    </w:p>
    <w:p>
      <w:pPr>
        <w:spacing w:after="0" w:line="23"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New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New Credit Agreement.</w:t>
      </w:r>
    </w:p>
    <w:p>
      <w:pPr>
        <w:spacing w:after="0" w:line="51"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New Credit Agreement contains customary events of default, including, among other things: (i) the failure to pay any principal, interest, or other fees under the New Credit Agreement; (ii) the making of any materially incorrect representation or warranty; (iii) the failure to observe or perform any covenant, condition, or agreement in the New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New Credit Agreement).</w:t>
      </w:r>
    </w:p>
    <w:p>
      <w:pPr>
        <w:spacing w:after="0" w:line="58" w:lineRule="exact"/>
        <w:rPr>
          <w:rFonts w:ascii="Arial" w:cs="Arial" w:eastAsia="Arial" w:hAnsi="Arial"/>
          <w:sz w:val="18"/>
          <w:szCs w:val="18"/>
          <w:b w:val="1"/>
          <w:bCs w:val="1"/>
          <w:color w:val="auto"/>
        </w:rPr>
      </w:pPr>
    </w:p>
    <w:p>
      <w:pPr>
        <w:ind w:left="6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commitments made under the New Credit Agreement mature on September 7, 2023. There were no material fees or expenses associated with the New Credit Agreement.</w:t>
      </w:r>
    </w:p>
    <w:p>
      <w:pPr>
        <w:spacing w:after="0" w:line="35" w:lineRule="exact"/>
        <w:rPr>
          <w:rFonts w:ascii="Arial" w:cs="Arial" w:eastAsia="Arial" w:hAnsi="Arial"/>
          <w:sz w:val="18"/>
          <w:szCs w:val="18"/>
          <w:b w:val="1"/>
          <w:bCs w:val="1"/>
          <w:color w:val="auto"/>
        </w:rPr>
      </w:pPr>
    </w:p>
    <w:p>
      <w:pPr>
        <w:ind w:left="6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September 7, 2018, concurrently with entering into the New Credit Agreement, the Prior Credit Agreement dated as of July 15, 2015, among VBD, the lenders from time to time party thereto, JPMorgan Chase Bank, National Association, as administrative agent; Wells Fargo Bank, National Association, as syndication agent; and KeyBank National Association, as documentation agent was terminated. The Prior Credit Agreement provided for certain credit facilities to VBD in an aggregate principal amount not to initially exceed $125.0 million.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discussion summarizes the significant factors affecting the condensed consolidated operating results, financial condition, liquidity, and cash flows of the Company as of and for the thirteen and twenty-six weeks ended August 4, 2018 and July 29, 2017. The following discussion should be read in conjunction with our Annual Report on Form 10-K for the fiscal year ended February 3, 2018, and our unaudited condensed consolidated financial statements and the related notes included in Item 1 of this Quarterly Report. The results of operations for the thirteen and twenty-six weeks ended August 4, 2018, are not necessarily indicative of the results to be expected for the full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second quarter of fiscal 2019:</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right="56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reduced the clearance activity in our full-line stores and on verabradley.com (excluding our online outlet site) by approximately 70% compared to the prior-year period and hosted three flash sale events on our online outlet site during the quarter.</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increased comparable full-price selling in our full-line stores and on verabradey.com (excluding our online outlet site) by over 30%.</w:t>
      </w:r>
    </w:p>
    <w:p>
      <w:pPr>
        <w:spacing w:after="0" w:line="101"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continued to focus on increasing brand awareness through our “digital first” strategy by focusing our marketing on high-quality placements and targeted digital efforts, with an emphasis on full-price offerings.</w:t>
      </w:r>
    </w:p>
    <w:p>
      <w:pPr>
        <w:spacing w:after="0" w:line="3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continued to test our “customer journeys” program during the quarter, where our best customers receive special recognition throughout the year.</w:t>
      </w:r>
    </w:p>
    <w:p>
      <w:pPr>
        <w:spacing w:after="0" w:line="3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second quarter, we strengthened our store base by opening two factory outlet stores in Hershey, Pennsylvania and Tinton Falls, New Jersey and closing one underperforming full-line store.</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increased our cash and investment balance by over $40 million to $144.8 million compared to the second quarter of fiscal 2018.</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second quarter of fiscal 2018)</w:t>
      </w:r>
    </w:p>
    <w:p>
      <w:pPr>
        <w:spacing w:after="0" w:line="9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revenues increased 1.1% to $113.6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segment sales increased 1.9% to $91.0 million. Comparable sales decreased 4.9%.</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Indirect segment sales decreased 2.0% to $22.6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profit was $65.7 million, or 57.9%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was $12.0 million and net income was $9.3 million, or $0.26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$2.2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and investments were $144.8 million at August 4,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Net revenues reflect sales of our merchandise and revenue from distribution and shipping and handling fees, less returns and discounts. Revenues for the Direct segment reflect sales through our full-line and factory outlet stores; verabradley.com; our online outlet site; direct-to-consumer eBay sales; and our annual outlet sale in Fort Wayne, Indiana. Revenues for the Indirect segment reflect sales to specialty retail partners; department stores; national accounts; third-party e-commerce sites; third-party inventory liquidators; and royalties recognized through licensing agreements.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current-year period associated with the 53rd week in fiscal 2018.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(loss) is equal to gross profit less SG&amp;A expenses plus other income. Operating income (loss) excludes interest income, interest expense, and income taxes.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is equal to operating income (loss) plus net interest income less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4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3"/>
                <w:szCs w:val="13"/>
                <w:color w:val="auto"/>
              </w:rPr>
            </w:pP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29,</w:t>
            </w:r>
          </w:p>
        </w:tc>
        <w:tc>
          <w:tcPr>
            <w:tcW w:w="30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3"/>
                <w:szCs w:val="13"/>
                <w:color w:val="auto"/>
              </w:rPr>
            </w:pPr>
          </w:p>
        </w:tc>
        <w:tc>
          <w:tcPr>
            <w:tcW w:w="124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113,625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112,418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200,216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208,553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47,885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49,125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85,860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92,560</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63,293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114,356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115,993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53,770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59,747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104,475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117,518</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430</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12,016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10,104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(1,095)</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12,275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10,606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(960)</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896</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(1,856)</w:t>
            </w:r>
          </w:p>
        </w:tc>
      </w:tr>
      <w:tr>
        <w:trPr>
          <w:trHeight w:val="67"/>
        </w:trPr>
        <w:tc>
          <w:tcPr>
            <w:tcW w:w="48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44.4 %</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55.6 %</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4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29,</w:t>
            </w:r>
          </w:p>
        </w:tc>
        <w:tc>
          <w:tcPr>
            <w:tcW w:w="28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3"/>
                <w:szCs w:val="13"/>
                <w:color w:val="auto"/>
              </w:rPr>
            </w:pPr>
          </w:p>
        </w:tc>
        <w:tc>
          <w:tcPr>
            <w:tcW w:w="122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91,021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89,342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156,553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158,179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22,604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23,076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Arial" w:cs="Arial" w:eastAsia="Arial" w:hAnsi="Arial"/>
                <w:sz w:val="18"/>
                <w:szCs w:val="18"/>
                <w:color w:val="auto"/>
              </w:rPr>
              <w:t>43,663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50,374</w:t>
            </w:r>
          </w:p>
        </w:tc>
      </w:tr>
      <w:tr>
        <w:trPr>
          <w:trHeight w:val="27"/>
        </w:trPr>
        <w:tc>
          <w:tcPr>
            <w:tcW w:w="4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113,625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112,418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200,216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208,553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
        </w:trPr>
        <w:tc>
          <w:tcPr>
            <w:tcW w:w="49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15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4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3"/>
                <w:szCs w:val="13"/>
                <w:color w:val="auto"/>
              </w:rPr>
            </w:pP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29,</w:t>
            </w:r>
          </w:p>
        </w:tc>
        <w:tc>
          <w:tcPr>
            <w:tcW w:w="30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3"/>
                <w:szCs w:val="13"/>
                <w:color w:val="auto"/>
              </w:rPr>
            </w:pPr>
          </w:p>
        </w:tc>
        <w:tc>
          <w:tcPr>
            <w:tcW w:w="12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by Segment:</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22,318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17,312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29,608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24,124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Indirect</w:t>
            </w:r>
          </w:p>
        </w:tc>
        <w:tc>
          <w:tcPr>
            <w:tcW w:w="30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17,111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17,278</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(19,129)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(21,435)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(36,615)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(42,497)</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12,016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10,104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(1,095)</w:t>
            </w:r>
          </w:p>
        </w:tc>
      </w:tr>
      <w:tr>
        <w:trPr>
          <w:trHeight w:val="67"/>
        </w:trPr>
        <w:tc>
          <w:tcPr>
            <w:tcW w:w="48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178"/>
        </w:trPr>
        <w:tc>
          <w:tcPr>
            <w:tcW w:w="4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1"/>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Direct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15.3 %</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opened during period</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stores closed during period</w:t>
            </w:r>
          </w:p>
        </w:tc>
        <w:tc>
          <w:tcPr>
            <w:tcW w:w="3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161</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387,962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376,594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387,962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376,594</w:t>
            </w:r>
          </w:p>
        </w:tc>
      </w:tr>
      <w:tr>
        <w:trPr>
          <w:trHeight w:val="341"/>
        </w:trPr>
        <w:tc>
          <w:tcPr>
            <w:tcW w:w="48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293</w:t>
            </w:r>
          </w:p>
        </w:tc>
      </w:tr>
    </w:tbl>
    <w:p>
      <w:pPr>
        <w:spacing w:after="0" w:line="130"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ind w:left="540" w:right="180" w:hanging="532"/>
        <w:spacing w:after="0" w:line="28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current-year period associated with the 53rd week in fiscal 2018.</w:t>
      </w:r>
    </w:p>
    <w:p>
      <w:pPr>
        <w:spacing w:after="0" w:line="3" w:lineRule="exact"/>
        <w:rPr>
          <w:rFonts w:ascii="Arial" w:cs="Arial" w:eastAsia="Arial" w:hAnsi="Arial"/>
          <w:sz w:val="16"/>
          <w:szCs w:val="16"/>
          <w:color w:val="auto"/>
        </w:rPr>
      </w:pPr>
    </w:p>
    <w:p>
      <w:pPr>
        <w:ind w:left="540" w:right="40" w:hanging="532"/>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Card Incident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15, 2016, we received information from law enforcement regarding a potential data security issue related to our retail store network. Findings from the investigation showed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4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timely resolved this incident and continue to work with a computer security firm to further strengthen the security of our system to help prevent events of this nature from happening in the future. We promptly notified the payment card networks so that the banks that issue payment cards could initiate heightened monitoring on the affected cards. Claims have been received from payment card networks for this incident and are expected to be covered by our insurance, as described below. We also received inquiries from the states of New Jersey and Indiana regarding the incident. We continue to be in discussions with Indiana regarding the incident.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thirteen and twenty-six weeks ended August 4, 2018 and July 29, 2017, we recorded an immaterial amount of expense relating to remediation activities as a result of the Payment Card Incident. There were no incremental expenses associated with the claims received in fiscal 2019 or fiscal 2018 as they were, or are expected to be, reimbursed under our insurance coverage.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do not believe that the amounts to be paid with respect to any remaining matters will have a material adverse effect on our financial condition and operating results taken as a whole.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maintain $15.0 million of cyber security insurance coverage above a $0.1 million deductible.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During fiscal 2018, we launched our Vision 20/20 strategic plan, which involves a more aggressive approach to turn around our business over the period ending in fiscal 2021. This plan is primarily focused on product and pricing initiatives, as well as SG&amp;A expense reduction initiatives.</w:t>
      </w:r>
    </w:p>
    <w:p>
      <w:pPr>
        <w:spacing w:after="0" w:line="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product and pricing initiatives include restoring our full-price business by significantly reducing the amount of clearance merchandise offered on verabradley.com and in our full-line stores; streamlining current product offerings by eliminating unproductive or incongruent categories and SKUs from our assortment; and introducing tighter guardrails around new categories, patterns, and pricing. We expect fiscal 2019 revenues will be negatively impacted by these initiatives by $35.0 million to $45.0 million from fiscal 2018 levels.</w:t>
      </w:r>
    </w:p>
    <w:p>
      <w:pPr>
        <w:spacing w:after="0" w:line="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SG&amp;A expense reduction initiatives include right sizing our corporate infrastructure to better align with the size of the business, lowering our marketing spending by focusing on efficiencies while keeping our most loyal customer engaged, and taking a more aggressive stance on reducing store operating costs and closing underperforming full-line stores. We expect to reduce annual SG&amp;A expenses by up to $30.0 million (off of our fiscal 2017 base level and excluding severance, store impairment, and Vision 20/20 charges from all periods). We expect that $21.0 million to $25.0 million of the annualized SG&amp;A expense reductions will be made by the end of fiscal 2019. We are forecasting to close up to 45 full-line stores by the end of fiscal 2021, primarily as leases expire. We have closed 10 full-line stores since fiscal 2018.</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implementation of the plan began in the third quarter of fiscal 2018, with the majority of the product and pricing initiatives being completed in the current fiscal year. The SG&amp;A expense reductions began in the third quarter of fiscal 2018, largely aimed at right sizing our corporate infrastructure. There have been $16.7 million of pre-tax Vision 20/20-related charges ($10.6 million after the associated tax benefit) since inception, all of which were recognized during fiscal 2018. There were no Vision 20/20-related charges during the thirteen or twenty-six weeks ended August 4, 2018.</w:t>
      </w:r>
    </w:p>
    <w:p>
      <w:pPr>
        <w:spacing w:after="0" w:line="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$2.3 million ($1.5 million after the associated tax benefit) of Vision 20/20-related charges during the thirteen and twenty-six weeks ended July 29, 2017, for strategic consulting expenses recognized within corporate unallocated expenses.</w:t>
      </w:r>
    </w:p>
    <w:p>
      <w:pPr>
        <w:spacing w:after="0" w:line="193" w:lineRule="exact"/>
        <w:rPr>
          <w:sz w:val="20"/>
          <w:szCs w:val="20"/>
          <w:color w:val="auto"/>
        </w:rPr>
      </w:pPr>
    </w:p>
    <w:p>
      <w:pPr>
        <w:ind w:right="2200"/>
        <w:spacing w:after="0" w:line="346" w:lineRule="auto"/>
        <w:rPr>
          <w:sz w:val="20"/>
          <w:szCs w:val="20"/>
          <w:color w:val="auto"/>
        </w:rPr>
      </w:pPr>
      <w:r>
        <w:rPr>
          <w:rFonts w:ascii="Arial" w:cs="Arial" w:eastAsia="Arial" w:hAnsi="Arial"/>
          <w:sz w:val="18"/>
          <w:szCs w:val="18"/>
          <w:b w:val="1"/>
          <w:bCs w:val="1"/>
          <w:color w:val="auto"/>
        </w:rPr>
        <w:t xml:space="preserve">Other Charges Affecting Comparability of the Thirteen and Twenty-Six Weeks Ended August 4, 2018, and July 29, 2017 </w:t>
      </w:r>
      <w:r>
        <w:rPr>
          <w:rFonts w:ascii="Arial" w:cs="Arial" w:eastAsia="Arial" w:hAnsi="Arial"/>
          <w:sz w:val="18"/>
          <w:szCs w:val="18"/>
          <w:i w:val="1"/>
          <w:iCs w:val="1"/>
          <w:color w:val="auto"/>
        </w:rPr>
        <w:t>Thirteen Weeks Ended July 29, 2017</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charges recognized in SG&amp;A expenses during the thirteen weeks ended July 29, 2017, totaled $1.5 million (0.9 million after the associated tax benefit). These pre-tax charges consisted of $1.2 million in severance charges (recognized within corporate unallocated expenses) and $0.3 million for a net lease termination charge (recognized within the Direct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Twenty-Six Weeks Ended July 29, 2017</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charges recognized in SG&amp;A expenses during the twenty-six weeks ended July 29, 2017 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charges were recognized before the implementation of Vision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Act</w:t>
      </w:r>
    </w:p>
    <w:p>
      <w:pPr>
        <w:spacing w:after="0" w:line="9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December 22, 2017, the Tax Cuts and Jobs Act (the “Tax Act”) was signed into law. The Tax Act includes, among other things, a corporate tax rate decrease from 35% to 21% effective for tax years beginning after December 31, 2017, bonus depreciation that will allow for full expensing of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Any resulting changes to the provisional estimates and amounts not yet estimated will be recognized as an adjustment to tax expense in the reporting period that the amounts are determined. Refer to Note 6 to the Notes to the Condensed Consolidated Financial Statements herein for additional information regarding the Tax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adopted Accounting Standards Codification (“ASC”) Topic 606 beginning in the first quarter of fiscal 2019 using the modified retrospective adoption method. The adoption of this standard impacted fiscal 2019 beginning retained earnings by $0.5 million. As a result of the adoption of ASC Topic 606 using the modified retrospective method, the financial statements from the prior-year periods are not reported under ASC Topic 606 which affects the comparability of the Condensed Consolidated Financial Statements. The primary impacts from the adoption of the standard are that we are no longer reversing sales associated with shipments not yet received by customers, gift card breakage revenue recognition is accelerated, a change in the method of recognizing minimum guaranteed royalties in certain licensing agreements, and the re-classification of certain liabilities for estimated product returns to other accrued liabilities from a contra-asset within accounts receivable, net, in the current-year period. Refer to Note 2 to the Notes to the Condensed Consolidated Financial Statements herein for additional information, as well as what the reported financial results would have been under prior accounting principles generally accepted in the United States (“GAAP”).</w:t>
      </w:r>
    </w:p>
    <w:p>
      <w:pPr>
        <w:spacing w:after="0" w:line="220" w:lineRule="exact"/>
        <w:rPr>
          <w:sz w:val="20"/>
          <w:szCs w:val="20"/>
          <w:color w:val="auto"/>
        </w:rPr>
      </w:pPr>
    </w:p>
    <w:p>
      <w:pPr>
        <w:ind w:right="4520"/>
        <w:spacing w:after="0" w:line="346" w:lineRule="auto"/>
        <w:rPr>
          <w:sz w:val="20"/>
          <w:szCs w:val="20"/>
          <w:color w:val="auto"/>
        </w:rPr>
      </w:pPr>
      <w:r>
        <w:rPr>
          <w:rFonts w:ascii="Arial" w:cs="Arial" w:eastAsia="Arial" w:hAnsi="Arial"/>
          <w:sz w:val="18"/>
          <w:szCs w:val="18"/>
          <w:b w:val="1"/>
          <w:bCs w:val="1"/>
          <w:color w:val="auto"/>
        </w:rPr>
        <w:t xml:space="preserve">Thirteen Weeks Ended August 4, 2018, Compared to Thirteen Weeks Ended July 29, 2017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thirteen weeks ended August 4, 2018, net revenues increased $1.2 million, or 1.1%, to $113.6 million, from $112.4 million in the comparable prior-year period. The adoption of ASC 606 benefited the current-year period by $1.3 million.</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August 4, 2018, net revenues in the Direct segment increased $1.7 million, or 1.9%, to $91.0 million, from $89.3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The current-year Direct segment net revenues reflect a shift in certain promotional events from the third quarter in the prior-year to the second quarter in the current-year. This shift resulted in approximately $6.0 million in net revenues in the current-year period. Our non-comparable stores, which included six additional factory outlet stores opened in the current fiscal year, contributed $5.9 million of revenue, which was partially offset by a comparable sales decrease (including the promotional event shift) of $4.3 million, or 4.9%. The decrease in comparable sales includes a 23.1% decrease in e-commerce sales and a 1.7% increase in comparable store sales. Comparable sales (particularly for verabradley.com) were negatively impacted by the planned reduction in clearance activity.</w:t>
      </w:r>
    </w:p>
    <w:p>
      <w:pPr>
        <w:spacing w:after="0" w:line="13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adoption of ASC 606 benefited Direct segment net revenues in the current-year period by $0.5 million primarily due to the timing of shipments to customers.</w:t>
      </w:r>
    </w:p>
    <w:p>
      <w:pPr>
        <w:spacing w:after="0" w:line="11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thirteen weeks ended August 4, 2018, net revenues in the Indirect segment decreased $0.5 million, or 2.0%, to $22.6 million, from $23.1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This change was primarily due to a decline in orders from certain of the Company's key accounts.</w:t>
      </w:r>
    </w:p>
    <w:p>
      <w:pPr>
        <w:spacing w:after="0" w:line="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adoption of ASC 606 benefited Indirect segment net revenues in the current-year period by $0.8 million primarily due to the timing of shipments to customers as a result of changes in the frequency of product launches compared to the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the thirteen weeks ended August 4, 2018, gross profit increased $2.4 million, or 3.9%, to $65.7 million, from $63.3 million in the comparable prior-year period. As a percentage of net revenues, gross profit increased to 57.9% for the thirteen weeks ended August 4, 2018, from 56.3% in the comparable prior-year period. The increase as a percentage of net revenues was primarily due to reduced clearance activity and increased full-price selling on verabradley.com and in our full-line stores, freight and shipping savings, channel mix changes, and a reduction in product costs. The prior-year period included certain reserves taken against slow-moving inventory that did not recur in the current year.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gross profit by $0.8 million primarily due to the factors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thirteen weeks ended August 4, 2018, SG&amp;A expenses decreased $5.9 million, or 10.0%, to $53.8 million, from $59.7 million in the comparable prior-year period. As a percentage of net revenues, SG&amp;A expenses decreased to 47.3% for the thirteen weeks ended August 4, 2018, from 53.1% in the comparable prior-year period. The decrease in SG&amp;A expenses for the thirteen weeks ended August 4, 2018 was primarily due to expenses incurred in the prior-year period that did not recur in the current-year period, including $2.3 million in strategic consulting charges and $1.2 million in severance expenses. In addition, there were approximately $2.0 million in expense reductions due in part to expense management strategies associated with Vision 20/20, including a $0.7 million decrease in depreciation expense and a $0.5 million decrease in employee-related expenses. SG&amp;A expenses as a percentage of net revenues decreased primarily due to the aforementioned expense savings.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thirteen weeks ended August 4, 2018, other income decreased $0.1 million, or 71.8%, to $0.1 million, from $0.2 million in the comparable prior-year period,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thirteen weeks ended August 4, 2018, operating income increased $8.3 million, or 224.0%, to $12.0 million in the current-year period, from $3.7 million in the comparable prior-year period. As a percentage of net revenues, operating income was 10.6% and 3.3% for the thirteen weeks ended August 4, 2018 and July 29, 2017, respectively. Operating income increased due to the factors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operating income by $0.8 million due to the factors described above.</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August 4, 2018, operating income in the Direct segment increased $5.0 million, or 28.9%, to $22.3 million from $17.3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Direct segment net revenues, operating income in the Direct segment was 24.5% and 19.4% for the thirteen weeks ended August 4, 2018 and July 29, 2017, respectively. The increase in operating income as a percentage of Direct segment net revenues was primarily due to a reduction of $1.5 million in employee-related expenses, a reduction of $0.4 million in depreciation expense primarily as a result of prior-year store impairment charges, and other expense savings of approximately $1.0 million, due in part to expense management strategies associated with Vision 20/20. In addition, there was an increase in gross margin as a percentage of net revenues, as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ASC 606 benefited the current-year period Direct segment operating income by $0.3 million due to the factors described above.</w:t>
      </w:r>
    </w:p>
    <w:p>
      <w:pPr>
        <w:spacing w:after="0" w:line="18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August 4, 2018, operating income in the Indirect segment increased $1.0 million, or 12.7%, to $8.8 million from $7.8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Indirect segment net revenues, operating income in the Indirect segment was 39.1% and</w:t>
      </w:r>
    </w:p>
    <w:p>
      <w:pPr>
        <w:jc w:val="both"/>
        <w:ind w:right="60"/>
        <w:spacing w:after="0" w:line="347" w:lineRule="auto"/>
        <w:rPr>
          <w:sz w:val="20"/>
          <w:szCs w:val="20"/>
          <w:color w:val="auto"/>
        </w:rPr>
      </w:pPr>
      <w:r>
        <w:rPr>
          <w:rFonts w:ascii="Arial" w:cs="Arial" w:eastAsia="Arial" w:hAnsi="Arial"/>
          <w:sz w:val="15"/>
          <w:szCs w:val="15"/>
          <w:color w:val="auto"/>
        </w:rPr>
        <w:t>33.9% for the thirteen weeks ended August 4, 2018 and July 29, 2017, respectively. The increase in operating income as a percentage of Indirect segment net revenues was primarily due to an increase in gross margin as a percentage of net revenues and a reduction in employee-related expenses, as described above.</w:t>
      </w:r>
    </w:p>
    <w:p>
      <w:pPr>
        <w:spacing w:after="0"/>
        <w:rPr>
          <w:sz w:val="20"/>
          <w:szCs w:val="20"/>
          <w:color w:val="auto"/>
        </w:rPr>
      </w:pPr>
      <w:r>
        <w:rPr>
          <w:rFonts w:ascii="Arial" w:cs="Arial" w:eastAsia="Arial" w:hAnsi="Arial"/>
          <w:sz w:val="17"/>
          <w:szCs w:val="17"/>
          <w:color w:val="auto"/>
        </w:rPr>
        <w:t>The adoption of ASC 606 benefited the current-year period Indirect segment operating income by $0.5 million due to the factors described above.</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August 4, 2018, unallocated expenses decreased $2.3 million, or 10.8%, to $19.1 million from $21.4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due to expenses from the prior-year period that did not recur in the current-year period, including $2.3 million in strategic consulting charges and $1.2 million in severance charges, partially offset by a $1.6 million increase in incentive compensation expense primarily as a result of Company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effective tax rate for the thirteen weeks ended August 4, 2018, was 24.4%, compared to 42.4% for the thirteen weeks ended July 29, 2017. The year-over year effective tax rate decrease was primarily due to a decreased annual effective tax rate as a result of the reduction in the U.S. corporate income tax rate to 21% from 35%.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thirteen weeks ended August 4, 2018, net income increased $7.1 million, or 323.3%, to $9.3 million from $2.2 million in the comparable prior-year period. The prior-year period included strategic consulting charges of $2.3 million, severance charges of $1.2 million, and a net lease termination charge of $0.3 million ($2.4 million collectively after the associated tax benefit) that did not recur in the current-year period.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net income by $0.6 million due to the factors described above.</w:t>
      </w:r>
    </w:p>
    <w:p>
      <w:pPr>
        <w:spacing w:after="0" w:line="248" w:lineRule="exact"/>
        <w:rPr>
          <w:sz w:val="20"/>
          <w:szCs w:val="20"/>
          <w:color w:val="auto"/>
        </w:rPr>
      </w:pPr>
    </w:p>
    <w:p>
      <w:pPr>
        <w:ind w:right="4080"/>
        <w:spacing w:after="0" w:line="346" w:lineRule="auto"/>
        <w:rPr>
          <w:sz w:val="20"/>
          <w:szCs w:val="20"/>
          <w:color w:val="auto"/>
        </w:rPr>
      </w:pPr>
      <w:r>
        <w:rPr>
          <w:rFonts w:ascii="Arial" w:cs="Arial" w:eastAsia="Arial" w:hAnsi="Arial"/>
          <w:sz w:val="18"/>
          <w:szCs w:val="18"/>
          <w:b w:val="1"/>
          <w:bCs w:val="1"/>
          <w:color w:val="auto"/>
        </w:rPr>
        <w:t xml:space="preserve">Twenty-Six Weeks Ended August 4, 2018, Compared to Twenty-Six Weeks Ended July 29, 2017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twenty-six weeks ended August 4, 2018, net revenues decreased $8.4 million, or 4.0%, to $200.2 million, from $208.6 million in the comparable prior-year period. The adoption of ASC 606 benefited the current-year period by $2.9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August 4, 2018, net revenues in the Direct segment decreased $1.6 million, or 1.0%, to $156.6 million, from $158.2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current-year Direct segment net revenues reflect a shift in certain promotional events from the third quarter in the prior-year to the second quarter in the current-year. This shift resulted in approximately $6.0 million in net revenues in the current-year period. Our non-comparable stores contributed $7.7 million of revenue, which included six additional factory outlet stores opened in the current fiscal year, which was more than offset by a comparable sales decrease (including the promotional event shift) of $9.4 million, or 6.4%. The decrease in comparable sales includes a 22.2% decrease in e-commerce sales and a 0.5% decrease in comparable store sales. Comparable sales (particularly for verabradley.com) were negatively impacted by the planned reduction in clearance activity.</w:t>
      </w:r>
    </w:p>
    <w:p>
      <w:pPr>
        <w:spacing w:after="0" w:line="13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adoption of ASC 606 benefited Direct segment net revenues in the current-year period by $0.3 million primarily due to the timing of shipments to customers.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twenty-six weeks ended August 4, 2018, net revenues in the Indirect segment decreased $6.7 million, or 13.3%, to $43.7 million, from $50.4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a decline in orders from the Company's specialty retail accounts and certain key accounts.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adoption of ASC 606 benefited Indirect segment net revenues in the current-year period by $2.6 million primarily due to the timing of shipments to customers as a result of changes in the frequency of product launches compared to the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the twenty-six weeks ended August 4, 2018, gross profit decreased $1.6 million, or 1.4%, to $114.4 million, from $116.0 million in the comparable prior-year period. As a percentage of net revenues, gross profit increased to 57.1% for the twenty-six weeks ended August 4, 2018, from 55.6% in the comparable prior-year period. The increase as a percentage of net revenues was primarily due to reduced clearance activity and increased full-price selling on verabradley.com and in our full-line stores, freight and shipping savings, channel mix changes, and a reduction in product costs. The prior-year second quarter included certain reserves taken against slow-moving inventory that did not recur in the current year.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gross profit by $1.8 million primarily due to the factors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For the twenty-six weeks ended August 4, 2018, SG&amp;A expenses decreased $13.0 million, or 11.1%, to $104.5 million, from $117.5 million in the comparable prior-year period. As a percentage of net revenues, SG&amp;A expenses decreased to 52.2% for the twenty-six weeks ended August 4, 2018, from 56.3% in the comparable prior-year period. The decrease in SG&amp;A expenses for the twenty-six weeks ended August 4, 2018 was primarily due to approximately $7.9 million in expense reductions due in part to expense management strategies associated with Vision 20/20, including a $3.2 million decrease in employee-related expenses, a $1.3 million decrease in depreciation expenses, and a $1.2 million decrease in advertising expenses. In addition, expenses incurred in the prior-year period that did not recur in the current-year period provided savings of approximately $4.8 million, of which $2.5 million related to severance expenses and $2.3 million related to strategic consulting charges. SG&amp;A expenses as a percentage of net revenues decreased primarily due to the aforementioned expense savings, partially offset by SG&amp;A expense deleverage associated with lower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twenty-six weeks ended August 4, 2018, other income decreased $0.2 million, or 48.1%, to $0.2 million, from $0.4 million in the comparable prior-year period,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For the twenty-six weeks ended August 4, 2018, operating income (loss) increased $11.2 million, or 1,022.7%, to $10.1 million in the current-year period, from $(1.1) million in the comparable prior-year period. As a percentage of net revenues, operating income (loss) was 5.0% and (0.5)% for the twenty-six weeks ended August 4, 2018 and July 29, 2017, respectively. Operating income (loss) increased due to the factors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operating income by $1.8 million due to the factors described above.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August 4, 2018, operating income in the Direct segment increased $5.5 million, or 22.7%, to $29.6 million from $24.1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As a percentage of Direct segment net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revenues, operating income in the Direct segment was 18.9% and 15.3% for the twenty-six weeks ended August 4, 2018 and July 29, 2017, respectively. The increase in operating income as a percentage of Direct segment net revenues was due in part to expense management strategies associated with Vision 20/20, including a $2.5 million reduction in employee-related expenses and $2.7 million in other expense savings, which contained a reduction of $0.9 million in depreciation expense primarily as a result of prior-year store impairment charges. In addition, there was an increase in gross margin as a percentage of net revenues. These benefits were partially offset by deleverage of SG&amp;A expenses as a result of lower sales.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ASC 606 benefited the current-year period Direct segment operating income by $0.3 million due to the factors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twenty-six weeks ended August 4, 2018, operating income in the Indirect segment decreased $0.2 million, or 1.0%, to $17.1 million from</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$17.3 million in the comparable prior-year period. As a percentage of Indirect segment net revenues, operating income in the Indirect segment was 39.2% and 34.3% for the twenty-six weeks ended August 4, 2018 and July 29, 2017, respectively. The increase in operating income as a percentage of Indirect segment net revenues was primarily due to an increase in gross margin as a percentage of net revenues and a reduction in employee-related expenses, as described above, partially offset by deleverage of SG&amp;A expenses as a result of lower sales.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ASC 606 benefited the current-year period Indirect segment operating income by $1.5 million due to the factors described above.</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twenty-six weeks ended August 4, 2018, unallocated expenses decreased $5.9 million, or 13.8%, to $36.6 million from $42.5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due to expenses from the prior-year period that did not recur in the current-year period, including $2.5 million in severance charges and $2.3 million in strategic consulting charges. In addition, there were approximately $2.5 million in expense savings due in part to expense management strategies associated with Vision 20/20, including a $1.1 million reduction in advertising expenses. These savings were partially offset by an increase in incentive compensation expense of approximately $1.1 million primarily as a result of Company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effective tax rate for the twenty-six weeks ended August 4, 2018, was 25.4%, compared to (93.3)% for the twenty-six weeks ended July 29, 2017. The year-over year effective tax rate decrease was primarily due to the relative impact of discrete items in the current-year period compared to the prior-year period, primarily as a result of tax shortfalls from stock-based compensation, and a decreased annual effective tax rate as a result of the reduction in the U.S. corporate income tax rate to 21% from 35%.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For the twenty-six weeks ended August 4, 2018, net income (loss) increased $9.8 million, or 526.3%, to $7.9 million from $(1.9) million in the comparable prior-year period. The prior-year period included severance charges of $2.5 million, strategic consulting charges of $2.3 million, and a net lease termination charge of $0.3 million ($3.3 million collectively after the associated tax benefit) that did not recur in the current-year period.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current-year period net income by $1.4 million due to the factors described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primary sources of liquidity are cash on hand and cash equivalents, investments, and cash flow from operations. We also had access to additional liquidity, if needed, through borrowings under our $125.0 million second amended and restated credit agreement (the “Prior Credit Agreement”) through September 6, 2018. There were no borrowings under this agreement during the twenty-six weeks ended August 4, 2018, and there was no debt outstanding as of August 4, 2018. Subsequent to the end of the quarter, on September 7, 2018, the Company entered into a $75.0 million asset based revolving credit agreement (the “New Credit Agreement”) and at the same time terminated its Prior Credit Agreement. For additional information regarding the New Credit Agreement, refer to Note 14 to the Notes to the Condensed Consolidated Financial Statements herein.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New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Investments classified as cash equivalents relate to highly-liquid investments with a maturity of three months or less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As of August 4, 2018 and February 3, 2018, these investments in our portfolio consisted of commercial paper, municipal securities, and a money market fund.</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August 4, 2018 and February 3, 2018, short-term investments consisted of a certificate of deposit, U.S. and non-U.S.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municipal securities, and commercial paper with a maturity within one year of the balance sheet date. The balance as of August 4, 2018 also included U.S. treasury securities.</w:t>
      </w:r>
    </w:p>
    <w:p>
      <w:pPr>
        <w:spacing w:after="0" w:line="12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August 4, 2018 and February 3, 2018, long-term investments consisted of U.S. and non-U.S. corporate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securities with a maturity greater than one year from the balance sheet date. The balance as of February 3, 2018 also included U.S. treasury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 “Investments” within Item 1 “Financial Statements” of this Quarterly Report on Form 10-Q for additional detail regarding investments.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8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4,</w:t>
            </w:r>
          </w:p>
        </w:tc>
        <w:tc>
          <w:tcPr>
            <w:tcW w:w="300" w:type="dxa"/>
            <w:vAlign w:val="bottom"/>
          </w:tcPr>
          <w:p>
            <w:pPr>
              <w:spacing w:after="0"/>
              <w:rPr>
                <w:sz w:val="13"/>
                <w:szCs w:val="13"/>
                <w:color w:val="auto"/>
              </w:rPr>
            </w:pPr>
          </w:p>
        </w:tc>
        <w:tc>
          <w:tcPr>
            <w:tcW w:w="118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16,610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Net cash provided by (used in)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Net cash provided by operating activities for the twenty-six weeks ended August 4, 2018, was $16.6 million compared to net cash used in operating activities of $(4.1) million for the twenty-six weeks ended July 29, 2017. The increase in cash provided by operating activities was primarily a result of an increase in net income of $9.8 million, as well as the change in accounts payable, income taxes, and inventories, partially offset by the change in accounts receivable.</w:t>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accounts payable change resulted in a source of cash of $1.5 million in the current-year period as compared to a use of cash of $14.7 million in the comparable prior-year period. In addition, the change in inventories resulted in a source of cash of $1.3 million as compared to a use of cash of $1.8 million in the comparable prior-year period. The decrease in cash used for accounts payable and inventories was primarily due to a reduction in inventory purchases, as well as timing of inventory purchases. The change in income taxes resulted in a source of cash of $1.9 million as compared to a use of cash of $2.0 million in the comparable prior-year period, which was primarily due to the increase in income before income taxes in the current-year period and the timing of income tax payments. These increases in operating cash were partially offset by the change in accounts receivable which resulted in a use of cash of $9.5 million as compared to a source of cash of $3.6 million in the comparable prior-year period, primarily as a result of the timing of product launches and a lower amount of tenant-improvement allowances received from landlords under our store leases.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investing activities was $0.2 million and $12.0 million for the twenty-six weeks ended August 4, 2018 and July 29, 2017, respectively. The decrease in cash used in investing activities was primarily a result of net investment activity in the current-year period compared to the comparable prior-year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2019 are expected to be approximately $10.0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Net cash used in financing activities was $4.0 million and $3.9 million for the twenty-six weeks ended August 4, 2018 and July 29, 2017, respectively. The increase in cash used in financing activities was primarily due an increase in cash purchases of our common stock under the 2015 Share Repurchase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 and the New Credit Agreement</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“Prior Credit Agreement”). The Prior Credit Agreement provided for certain credit facilities to VBD in an aggregate principal amount not to initially exceed $125.0 million, the proceeds of which could be used for general corporate purposes of VBD and its subsidiaries, including but not limited to Vera Bradley International, LLC and Vera Bradley Sales, LLC (collectively, the “Named Subsidiaries”).</w:t>
      </w:r>
    </w:p>
    <w:p>
      <w:pPr>
        <w:spacing w:after="0" w:line="13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Amounts outstanding under the Prior Credit Agreement bore interest, at VBD's option, at a per annum rate equal to either (A) the Alternate Base Rate (“ABR”) plus the Applicable Margin, where the ABR was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meant LIBOR, as adjusted for statutory reserve requirements for eurocurrency liabilities, and Applicable Margin is a percentage ranging from 1.00% to 1.70% depending upon the Company's leverage ratio. Any loans made, or letters of credit issued, pursuant to the Prior Credit Agreement was to mature on July 15, 2020. As of August 4, 2018, the Company had no borrowings outstanding and availability of $125.0 million under the agreement.</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VBD's obligations under the Prior Credit Agreement were guaranteed by the Company and the Named Subsidiaries. The obligations of VBD under the Prior Credit Agreement were secured by first priority security interests in all of the respective assets of VBD, the Company, and the Named Subsidiaries and a pledge of the equity interests of VBD and the Named Subsidiaries.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Prior Credit Agreement, as amended, contained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Prior Credit Agreement. The Company was also required to comply with certain financial and non-financial covenants, including maintaining a maximum leverage ratio, a minimum ratio of EBITDAR to the sum of interest expense plus rentals (as defined in the Prior Credit Agreement), and a limit on capital expenditures. Upon an event of default, which included certain customary events such as, among other things, a failure to make required payments when due, a failure to comply with covenants, certain bankruptcy and insolvency events, a material adverse change (as defined in the Prior Credit Agreement), defaults under other material indebtedness, and a change in control, the lenders could accelerate amounts outstanding, terminate the agreement and foreclose on all collateral. On October 20, 2017, VBD entered into Amendment No. 2 (the “Amendment”) to the Prior Credit Agreement. The Amendment modified the ratio requirements of certain financial covenants in the Prior Credit Agreement including the maximum leverage ratio and the minimum ratio of EBITDAR to the sum of interest expense plus rentals (as defined in the Prior Credit Agreement). The Amendment also modified certain restrictive covenants including the acquisition of investments and the limit of investments in foreign subsidiaries. The Company was in compliance with these covenants as of August 4, 2018.</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7, 2018, VBD, a wholly-owned subsidiary of the Company, entered into an asset based revolving Credit Agreement (the “New Credit Agreement”) among VBD, JPMorgan Chase Bank, N.A., as administrative agent, and the lenders from time to time party thereto. The New Credit Agreement provides for certain credit facilities to VBD in an aggregate principal amount not to initially exceed the lesser of $75.0 million or the amount of borrowing availability determined in accordance with a borrowing base of certain assets. The proceeds of the credit facilities will be used to finance general corporate purposes of VBD and its subsidiaries, including but not limited to Vera Bradley International, LLC and Vera Bradley Sales, LLC (collectively, the “Named Subsidiaries”). The New Credit Agreement also contains an option for VBD to arrange with lenders to increase the aggregate principal amount by up to $25.0 million.</w:t>
      </w:r>
    </w:p>
    <w:p>
      <w:pPr>
        <w:spacing w:after="0" w:line="13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Amounts outstanding under the New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effect for such borrowing, plus the Applicable Rate, where the Applicable Rate is a percentage ranging from 1.00% to 1.30%. The applicable CB Floating Rate, Adjusted LIBO Rate, or LIBO Rate shall be determined by the administrative agent. The New Credit Agreement also requires VBD to pay a commitment fee for the unused portion of the revolving facility of up to 0.20% per annum.</w:t>
      </w:r>
    </w:p>
    <w:p>
      <w:pPr>
        <w:spacing w:after="0" w:line="1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VBD’s obligations under the New Credit Agreement are guaranteed by the Company and the Named Subsidiaries. The obligations of VBD under the New Credit Agreement are secured by substantially all of the respective assets of VBD, the Company, and the Named Subsidiaries and are further secured by the equity interests in VBD and the Named Subsidiaries.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New Credit Agreement.</w:t>
      </w:r>
    </w:p>
    <w:p>
      <w:pPr>
        <w:spacing w:after="0" w:line="13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New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New Credit Agreement.</w:t>
      </w:r>
    </w:p>
    <w:p>
      <w:pPr>
        <w:spacing w:after="0" w:line="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New Credit Agreement contains customary events of default, including, among other things: (i) the failure to pay any principal, interest, or other fees under the New Credit Agreement; (ii) the making of any materially incorrect representation or warranty; (iii) the failure to observe or perform any covenant, condition, or agreement in the New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New Credit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New Credit Agreement mature on September 7, 2023.</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September 7, 2018, concurrently with entering into the New Credit Agreement, the Prior Credit Agreement dated as of July 15, 2015, among VBD, the lenders from time to time party thereto, JPMorgan Chase Bank, National Association, as administrative agent; Wells Fargo Bank, National Association, as syndication agent; and KeyBank National Association, as documentation agent was terminated. The Prior Credit Agreement provided for certain credit facilities to VBD in an aggregate principal amount not to initially exceed $125.0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3, 2018. In addition to these policies, refer to Note 1 “Description of the Company and Basis of Presentation” and Note 2 “Revenue from Contracts with Customers” within Item 1 “Financial Statements” of this Quarterly Report on Form 10-Q for a discussion of the Company's revenue accounting policy under the recently adopted Accounting Standards Codification Topic 606.</w:t>
      </w:r>
    </w:p>
    <w:p>
      <w:pPr>
        <w:spacing w:after="0" w:line="13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3, 2018. With the exception of revenue recognition, there were no significant changes to any of the critical accounting policies and estimates described in the Annual Report as of August 4,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August 4, 2018, there was no material change in the market risks described in “Quantitative and Qualitative Disclosures About Market Risks” in the Company’s Annual Report on Form 10-K for the fiscal year ended February 3, 2018.</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August 4, 2018.</w:t>
      </w:r>
    </w:p>
    <w:p>
      <w:pPr>
        <w:spacing w:after="0" w:line="13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240" w:top="121"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February 3, 2018.</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w:t>
      </w:r>
    </w:p>
    <w:p>
      <w:pPr>
        <w:spacing w:after="0" w:line="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purchased 252,201 shares at an average price of $14.24 per share, excluding commissions, for an aggregate amount of $3.6 million during the thirteen and twenty-six weeks ended August 4, 2018, under the 2015 Share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August 4, 2018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8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Under the Plans or Program</w:t>
            </w: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May 6, 2018</w:t>
            </w: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June 2, 2018</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13,422,471</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w w:val="88"/>
              </w:rPr>
              <w:t>June 3, 2018</w:t>
            </w:r>
          </w:p>
        </w:tc>
        <w:tc>
          <w:tcPr>
            <w:tcW w:w="2800" w:type="dxa"/>
            <w:vAlign w:val="bottom"/>
          </w:tcPr>
          <w:p>
            <w:pPr>
              <w:ind w:left="20"/>
              <w:spacing w:after="0"/>
              <w:rPr>
                <w:sz w:val="20"/>
                <w:szCs w:val="20"/>
                <w:color w:val="auto"/>
              </w:rPr>
            </w:pPr>
            <w:r>
              <w:rPr>
                <w:rFonts w:ascii="Arial" w:cs="Arial" w:eastAsia="Arial" w:hAnsi="Arial"/>
                <w:sz w:val="18"/>
                <w:szCs w:val="18"/>
                <w:color w:val="auto"/>
              </w:rPr>
              <w:t>- July 7,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10,501,306</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8, 2018 - August 4, 2018</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49,701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49,701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9,830,549</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252,201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252,201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intended to satisfy the Company’s Form 8-K disclosure requirements under Items 1.01, 1.02, and 2.03 by making timely disclosure under Item 5(a) of this Form 10-Q.</w:t>
      </w:r>
    </w:p>
    <w:p>
      <w:pPr>
        <w:spacing w:after="0" w:line="3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September 7, 2018, Vera Bradley Designs, Inc. (“VBD”), a wholly-owned subsidiary of Vera Bradley, Inc. (the “Company”), entered into an asset based revolving Credit Agreement (the “New Credit Agreement”) among VBD, JPMorgan Chase Bank, N.A., as administrative agent, and the lenders from time to time party thereto. The New Credit Agreement provides for certain credit facilities to VBD in an aggregate principal amount not to initially exceed the lesser of $75.0 million or the amount of borrowing availability determined in accordance with a borrowing base of certain assets. The proceeds of the credit facilities will be used to finance general corporate purposes of VBD and its subsidiaries, including but not limited to Vera Bradley International, LLC and Vera Bradley Sales, LLC (collectively, the “Named Subsidiaries”). The New Credit Agreement also contains an option for VBD to arrange with lenders to increase the aggregate principal amount by up to $25.0 million.</w:t>
      </w:r>
    </w:p>
    <w:p>
      <w:pPr>
        <w:spacing w:after="0" w:line="4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Amounts outstanding under the New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New Credit Agreement also requires VBD to pay a commitment fee for the unused portion of the revolving facility of up to 0.20% per annum.</w:t>
      </w:r>
    </w:p>
    <w:p>
      <w:pPr>
        <w:spacing w:after="0" w:line="4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VBD’s obligations under the New Credit Agreement are guaranteed by the Company and the Named Subsidiaries. The obligations of VBD under the New Credit Agreement are secured by substantially all of the respective assets of VBD, the Company, and the Named Subsidiaries and are further secured by the equity interests in VBD and the Named Subsidiaries.</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New Credit Agreement.</w:t>
      </w:r>
    </w:p>
    <w:p>
      <w:pPr>
        <w:spacing w:after="0" w:line="5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New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New Credit Agreement.</w:t>
      </w:r>
    </w:p>
    <w:p>
      <w:pPr>
        <w:spacing w:after="0" w:line="1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New Credit Agreement contains customary events of default, including, among other things: (i) the failure to pay any principal, interest, or other fees under the New Credit Agreement; (ii) the making of any materially incorrect representation or warranty; (iii) the failure to observe or perform any covenant, condition, or agreement in the New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New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New Credit Agreement mature on September 7, 2023.</w:t>
      </w:r>
    </w:p>
    <w:p>
      <w:pPr>
        <w:spacing w:after="0" w:line="9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September 7, 2018, concurrently with entering into the New Credit Agreement, the Second Amended and Restated Credit Agreement (the “Prior Credit Agreement”) dated as of July 15, 2015, among VBD, the lenders from time to time party thereto, JPMorgan Chase Bank, National Association, as administrative agent; Wells Fargo Bank, National Association, as syndication agent; and KeyBank National Association, as documentation agent was terminated. The Prior Credit Agreement provided for certain credit facilities to VBD in an aggregate principal amount not to initially exceed $125.0 million.</w:t>
      </w:r>
    </w:p>
    <w:p>
      <w:pPr>
        <w:spacing w:after="0" w:line="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description of the New Credit Agreement is qualified in its entirety by the full text of the New Credit Agreement, a copy of which is filed as Exhibit 10.1 hereto and incorporated herein by reference.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101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No.</w:t>
            </w:r>
          </w:p>
        </w:tc>
        <w:tc>
          <w:tcPr>
            <w:tcW w:w="40" w:type="dxa"/>
            <w:vAlign w:val="bottom"/>
          </w:tcPr>
          <w:p>
            <w:pPr>
              <w:spacing w:after="0"/>
              <w:rPr>
                <w:sz w:val="16"/>
                <w:szCs w:val="16"/>
                <w:color w:val="auto"/>
              </w:rPr>
            </w:pPr>
          </w:p>
        </w:tc>
        <w:tc>
          <w:tcPr>
            <w:tcW w:w="101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jc w:val="right"/>
              <w:spacing w:after="0"/>
              <w:rPr>
                <w:rFonts w:ascii="Arial" w:cs="Arial" w:eastAsia="Arial" w:hAnsi="Arial"/>
                <w:sz w:val="18"/>
                <w:szCs w:val="18"/>
                <w:color w:val="0000FF"/>
                <w:w w:val="96"/>
              </w:rPr>
            </w:pPr>
            <w:hyperlink w:anchor="page4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7"/>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Credit Agreement dated as of September 7, 2018 among Vera Bradley Designs, Inc., JPMorgan Chase Bank, N.A., and the lenders party</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w:anchor="page42">
              <w:r>
                <w:rPr>
                  <w:rFonts w:ascii="Arial" w:cs="Arial" w:eastAsia="Arial" w:hAnsi="Arial"/>
                  <w:sz w:val="18"/>
                  <w:szCs w:val="18"/>
                  <w:color w:val="0000FF"/>
                  <w:w w:val="85"/>
                </w:rPr>
                <w:t>thereto</w:t>
              </w:r>
            </w:hyperlink>
          </w:p>
        </w:tc>
        <w:tc>
          <w:tcPr>
            <w:tcW w:w="9300" w:type="dxa"/>
            <w:vAlign w:val="bottom"/>
            <w:tcBorders>
              <w:top w:val="single" w:sz="8" w:color="0000FF"/>
            </w:tcBorders>
            <w:gridSpan w:val="5"/>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15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7"/>
          </w:tcPr>
          <w:p>
            <w:pPr>
              <w:spacing w:after="0"/>
              <w:rPr>
                <w:rFonts w:ascii="Arial" w:cs="Arial" w:eastAsia="Arial" w:hAnsi="Arial"/>
                <w:sz w:val="18"/>
                <w:szCs w:val="18"/>
                <w:color w:val="0000FF"/>
                <w:w w:val="96"/>
              </w:rPr>
            </w:pPr>
            <w:hyperlink w:anchor="page156">
              <w:r>
                <w:rPr>
                  <w:rFonts w:ascii="Arial" w:cs="Arial" w:eastAsia="Arial" w:hAnsi="Arial"/>
                  <w:sz w:val="18"/>
                  <w:szCs w:val="18"/>
                  <w:color w:val="0000FF"/>
                  <w:w w:val="96"/>
                </w:rPr>
                <w:t>Pledge and Security Agreement dated as of September 7, 2018 among Vera Bradley Designs, Inc., Vera Bradley, Inc., Vera Bradley</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w:anchor="page156">
              <w:r>
                <w:rPr>
                  <w:rFonts w:ascii="Arial" w:cs="Arial" w:eastAsia="Arial" w:hAnsi="Arial"/>
                  <w:sz w:val="18"/>
                  <w:szCs w:val="18"/>
                  <w:color w:val="0000FF"/>
                  <w:w w:val="91"/>
                </w:rPr>
                <w:t>International, LLC, Vera Bradley Sales, LLC, and JP Morgan Chase Bank, N.A.</w:t>
              </w:r>
            </w:hyperlink>
          </w:p>
        </w:tc>
        <w:tc>
          <w:tcPr>
            <w:tcW w:w="3680" w:type="dxa"/>
            <w:vAlign w:val="bottom"/>
            <w:tcBorders>
              <w:top w:val="single" w:sz="8" w:color="0000FF"/>
            </w:tcBorders>
          </w:tcPr>
          <w:p>
            <w:pPr>
              <w:spacing w:after="0"/>
              <w:rPr>
                <w:sz w:val="17"/>
                <w:szCs w:val="17"/>
                <w:color w:val="auto"/>
              </w:rPr>
            </w:pPr>
          </w:p>
        </w:tc>
        <w:tc>
          <w:tcPr>
            <w:tcW w:w="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18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7"/>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181">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7"/>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182">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7"/>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180" w:hanging="1265"/>
        <w:spacing w:after="0" w:line="273"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following materials from Vera Bradley, Inc.’s Quarterly Report on Form 10-Q for the quarter ended August 4, 2018 formatted in Extensible Business Reporting Language (XBRL): (i) Condensed Consolidated Statements of Operations for the Thirteen and Twenty-Six Weeks ended August 4, 2018 and July 29, 2017; (ii) Condensed Consolidated Statements of Comprehensive Income for the Thirteen and Twenty-Six Weeks ended August 4, 2018 and July 29, 2017; (iii) Condensed Consolidated Balance Sheets as of August 4, 2018 and February 3, 2018; (iv) Condensed Consolidated Statements of Cash Flows for the Twenty-Six Weeks ended August 4, 2018 and July 29, 2017, and (v) Notes to Condensed Consolidated Financial Statements. **</w:t>
      </w:r>
    </w:p>
    <w:p>
      <w:pPr>
        <w:spacing w:after="0" w:line="138" w:lineRule="exact"/>
        <w:rPr>
          <w:sz w:val="20"/>
          <w:szCs w:val="20"/>
          <w:color w:val="auto"/>
        </w:rPr>
      </w:pPr>
    </w:p>
    <w:p>
      <w:pPr>
        <w:ind w:left="740" w:hanging="705"/>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September 12, 2018</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121"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10.1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86360</wp:posOffset>
            </wp:positionV>
            <wp:extent cx="6560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103505</wp:posOffset>
            </wp:positionV>
            <wp:extent cx="6560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557530</wp:posOffset>
            </wp:positionV>
            <wp:extent cx="168973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97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CREDIT AGREEMENT</w:t>
      </w:r>
    </w:p>
    <w:p>
      <w:pPr>
        <w:spacing w:after="0" w:line="200" w:lineRule="exact"/>
        <w:rPr>
          <w:sz w:val="20"/>
          <w:szCs w:val="20"/>
          <w:color w:val="auto"/>
        </w:rPr>
      </w:pPr>
    </w:p>
    <w:p>
      <w:pPr>
        <w:spacing w:after="0" w:line="259"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dated as of</w:t>
      </w:r>
    </w:p>
    <w:p>
      <w:pPr>
        <w:spacing w:after="0" w:line="200" w:lineRule="exact"/>
        <w:rPr>
          <w:sz w:val="20"/>
          <w:szCs w:val="20"/>
          <w:color w:val="auto"/>
        </w:rPr>
      </w:pPr>
    </w:p>
    <w:p>
      <w:pPr>
        <w:spacing w:after="0" w:line="259"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September 7, 2018</w:t>
      </w:r>
    </w:p>
    <w:p>
      <w:pPr>
        <w:spacing w:after="0" w:line="200" w:lineRule="exact"/>
        <w:rPr>
          <w:sz w:val="20"/>
          <w:szCs w:val="20"/>
          <w:color w:val="auto"/>
        </w:rPr>
      </w:pPr>
    </w:p>
    <w:p>
      <w:pPr>
        <w:spacing w:after="0" w:line="259"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5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VERA BRADLEY DESIGNS, INC.,</w:t>
      </w:r>
    </w:p>
    <w:p>
      <w:pPr>
        <w:spacing w:after="0" w:line="200" w:lineRule="exact"/>
        <w:rPr>
          <w:sz w:val="20"/>
          <w:szCs w:val="20"/>
          <w:color w:val="auto"/>
        </w:rPr>
      </w:pPr>
    </w:p>
    <w:p>
      <w:pPr>
        <w:spacing w:after="0" w:line="25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259"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59" w:lineRule="exact"/>
        <w:rPr>
          <w:sz w:val="20"/>
          <w:szCs w:val="20"/>
          <w:color w:val="auto"/>
        </w:rPr>
      </w:pPr>
    </w:p>
    <w:p>
      <w:pPr>
        <w:jc w:val="center"/>
        <w:ind w:right="206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ind w:right="2060"/>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___________________________</w:t>
      </w:r>
    </w:p>
    <w:p>
      <w:pPr>
        <w:spacing w:after="0" w:line="229" w:lineRule="exact"/>
        <w:rPr>
          <w:sz w:val="20"/>
          <w:szCs w:val="20"/>
          <w:color w:val="auto"/>
        </w:rPr>
      </w:pPr>
    </w:p>
    <w:p>
      <w:pPr>
        <w:jc w:val="center"/>
        <w:ind w:right="206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ind w:right="2060"/>
        <w:spacing w:after="0"/>
        <w:rPr>
          <w:sz w:val="20"/>
          <w:szCs w:val="20"/>
          <w:color w:val="auto"/>
        </w:rPr>
      </w:pPr>
      <w:r>
        <w:rPr>
          <w:rFonts w:ascii="Arial" w:cs="Arial" w:eastAsia="Arial" w:hAnsi="Arial"/>
          <w:sz w:val="16"/>
          <w:szCs w:val="16"/>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483870</wp:posOffset>
            </wp:positionV>
            <wp:extent cx="65601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501015</wp:posOffset>
            </wp:positionV>
            <wp:extent cx="6560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Arial" w:cs="Arial" w:eastAsia="Arial" w:hAnsi="Arial"/>
          <w:sz w:val="20"/>
          <w:szCs w:val="20"/>
          <w:b w:val="1"/>
          <w:bCs w:val="1"/>
          <w:i w:val="1"/>
          <w:iCs w:val="1"/>
          <w:color w:val="auto"/>
        </w:rPr>
        <w:t>ASSET BASED LENDING</w:t>
      </w:r>
    </w:p>
    <w:p>
      <w:pPr>
        <w:sectPr>
          <w:pgSz w:w="11900" w:h="16838" w:orient="portrait"/>
          <w:cols w:equalWidth="0" w:num="1">
            <w:col w:w="10220"/>
          </w:cols>
          <w:pgMar w:left="1440" w:top="57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0"/>
        </w:trPr>
        <w:tc>
          <w:tcPr>
            <w:tcW w:w="9400" w:type="dxa"/>
            <w:vAlign w:val="bottom"/>
          </w:tcPr>
          <w:p>
            <w:pPr>
              <w:ind w:left="3660"/>
              <w:spacing w:after="0"/>
              <w:rPr>
                <w:sz w:val="20"/>
                <w:szCs w:val="20"/>
                <w:color w:val="auto"/>
              </w:rPr>
            </w:pPr>
            <w:r>
              <w:rPr>
                <w:rFonts w:ascii="Arial" w:cs="Arial" w:eastAsia="Arial" w:hAnsi="Arial"/>
                <w:sz w:val="20"/>
                <w:szCs w:val="20"/>
                <w:color w:val="auto"/>
              </w:rPr>
              <w:t>TABLE OF CONTENTS</w:t>
            </w:r>
          </w:p>
        </w:tc>
        <w:tc>
          <w:tcPr>
            <w:tcW w:w="400" w:type="dxa"/>
            <w:vAlign w:val="bottom"/>
          </w:tcPr>
          <w:p>
            <w:pPr>
              <w:spacing w:after="0"/>
              <w:rPr>
                <w:sz w:val="21"/>
                <w:szCs w:val="21"/>
                <w:color w:val="auto"/>
              </w:rPr>
            </w:pPr>
          </w:p>
        </w:tc>
      </w:tr>
      <w:tr>
        <w:trPr>
          <w:trHeight w:val="577"/>
        </w:trPr>
        <w:tc>
          <w:tcPr>
            <w:tcW w:w="940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1"/>
              </w:rPr>
              <w:t>Page</w:t>
            </w:r>
          </w:p>
        </w:tc>
      </w:tr>
      <w:tr>
        <w:trPr>
          <w:trHeight w:val="308"/>
        </w:trPr>
        <w:tc>
          <w:tcPr>
            <w:tcW w:w="9400" w:type="dxa"/>
            <w:vAlign w:val="bottom"/>
          </w:tcPr>
          <w:p>
            <w:pPr>
              <w:spacing w:after="0"/>
              <w:rPr>
                <w:sz w:val="20"/>
                <w:szCs w:val="20"/>
                <w:color w:val="auto"/>
              </w:rPr>
            </w:pPr>
            <w:r>
              <w:rPr>
                <w:rFonts w:ascii="Arial" w:cs="Arial" w:eastAsia="Arial" w:hAnsi="Arial"/>
                <w:sz w:val="20"/>
                <w:szCs w:val="20"/>
                <w:color w:val="auto"/>
              </w:rPr>
              <w:t>ARTICLE I - Definitions</w:t>
            </w:r>
          </w:p>
        </w:tc>
        <w:tc>
          <w:tcPr>
            <w:tcW w:w="400" w:type="dxa"/>
            <w:vAlign w:val="bottom"/>
          </w:tcPr>
          <w:p>
            <w:pPr>
              <w:spacing w:after="0"/>
              <w:rPr>
                <w:sz w:val="20"/>
                <w:szCs w:val="20"/>
                <w:color w:val="auto"/>
              </w:rPr>
            </w:pPr>
            <w:r>
              <w:rPr>
                <w:rFonts w:ascii="Arial" w:cs="Arial" w:eastAsia="Arial" w:hAnsi="Arial"/>
                <w:sz w:val="20"/>
                <w:szCs w:val="20"/>
                <w:color w:val="auto"/>
              </w:rPr>
              <w:t>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1.01. Defined Terms</w:t>
            </w:r>
          </w:p>
        </w:tc>
        <w:tc>
          <w:tcPr>
            <w:tcW w:w="400" w:type="dxa"/>
            <w:vAlign w:val="bottom"/>
          </w:tcPr>
          <w:p>
            <w:pPr>
              <w:spacing w:after="0"/>
              <w:rPr>
                <w:sz w:val="20"/>
                <w:szCs w:val="20"/>
                <w:color w:val="auto"/>
              </w:rPr>
            </w:pPr>
            <w:r>
              <w:rPr>
                <w:rFonts w:ascii="Arial" w:cs="Arial" w:eastAsia="Arial" w:hAnsi="Arial"/>
                <w:sz w:val="20"/>
                <w:szCs w:val="20"/>
                <w:color w:val="auto"/>
              </w:rPr>
              <w:t>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1.02. Classification of Loans and Borrowings.</w:t>
            </w:r>
          </w:p>
        </w:tc>
        <w:tc>
          <w:tcPr>
            <w:tcW w:w="400" w:type="dxa"/>
            <w:vAlign w:val="bottom"/>
          </w:tcPr>
          <w:p>
            <w:pPr>
              <w:spacing w:after="0"/>
              <w:rPr>
                <w:sz w:val="20"/>
                <w:szCs w:val="20"/>
                <w:color w:val="auto"/>
              </w:rPr>
            </w:pPr>
            <w:r>
              <w:rPr>
                <w:rFonts w:ascii="Arial" w:cs="Arial" w:eastAsia="Arial" w:hAnsi="Arial"/>
                <w:sz w:val="20"/>
                <w:szCs w:val="20"/>
                <w:color w:val="auto"/>
              </w:rPr>
              <w:t>35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1.03. Terms Generally.</w:t>
            </w:r>
          </w:p>
        </w:tc>
        <w:tc>
          <w:tcPr>
            <w:tcW w:w="400" w:type="dxa"/>
            <w:vAlign w:val="bottom"/>
          </w:tcPr>
          <w:p>
            <w:pPr>
              <w:spacing w:after="0"/>
              <w:rPr>
                <w:sz w:val="20"/>
                <w:szCs w:val="20"/>
                <w:color w:val="auto"/>
              </w:rPr>
            </w:pPr>
            <w:r>
              <w:rPr>
                <w:rFonts w:ascii="Arial" w:cs="Arial" w:eastAsia="Arial" w:hAnsi="Arial"/>
                <w:sz w:val="20"/>
                <w:szCs w:val="20"/>
                <w:color w:val="auto"/>
              </w:rPr>
              <w:t>36</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1.04. Accounting Terms; GAAP</w:t>
            </w:r>
          </w:p>
        </w:tc>
        <w:tc>
          <w:tcPr>
            <w:tcW w:w="400" w:type="dxa"/>
            <w:vAlign w:val="bottom"/>
          </w:tcPr>
          <w:p>
            <w:pPr>
              <w:spacing w:after="0"/>
              <w:rPr>
                <w:sz w:val="20"/>
                <w:szCs w:val="20"/>
                <w:color w:val="auto"/>
              </w:rPr>
            </w:pPr>
            <w:r>
              <w:rPr>
                <w:rFonts w:ascii="Arial" w:cs="Arial" w:eastAsia="Arial" w:hAnsi="Arial"/>
                <w:sz w:val="20"/>
                <w:szCs w:val="20"/>
                <w:color w:val="auto"/>
              </w:rPr>
              <w:t>36</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1.05. Pro Forma Adjustments for Acquisitions and Dispositions</w:t>
            </w:r>
          </w:p>
        </w:tc>
        <w:tc>
          <w:tcPr>
            <w:tcW w:w="400" w:type="dxa"/>
            <w:vAlign w:val="bottom"/>
          </w:tcPr>
          <w:p>
            <w:pPr>
              <w:spacing w:after="0"/>
              <w:rPr>
                <w:sz w:val="20"/>
                <w:szCs w:val="20"/>
                <w:color w:val="auto"/>
              </w:rPr>
            </w:pPr>
            <w:r>
              <w:rPr>
                <w:rFonts w:ascii="Arial" w:cs="Arial" w:eastAsia="Arial" w:hAnsi="Arial"/>
                <w:sz w:val="20"/>
                <w:szCs w:val="20"/>
                <w:color w:val="auto"/>
              </w:rPr>
              <w:t>37</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1.06. Status of Obligations</w:t>
            </w:r>
          </w:p>
        </w:tc>
        <w:tc>
          <w:tcPr>
            <w:tcW w:w="400" w:type="dxa"/>
            <w:vAlign w:val="bottom"/>
          </w:tcPr>
          <w:p>
            <w:pPr>
              <w:spacing w:after="0"/>
              <w:rPr>
                <w:sz w:val="20"/>
                <w:szCs w:val="20"/>
                <w:color w:val="auto"/>
              </w:rPr>
            </w:pPr>
            <w:r>
              <w:rPr>
                <w:rFonts w:ascii="Arial" w:cs="Arial" w:eastAsia="Arial" w:hAnsi="Arial"/>
                <w:sz w:val="20"/>
                <w:szCs w:val="20"/>
                <w:color w:val="auto"/>
              </w:rPr>
              <w:t>37</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ARTICLE II - The Credits</w:t>
            </w:r>
          </w:p>
        </w:tc>
        <w:tc>
          <w:tcPr>
            <w:tcW w:w="400" w:type="dxa"/>
            <w:vAlign w:val="bottom"/>
          </w:tcPr>
          <w:p>
            <w:pPr>
              <w:spacing w:after="0"/>
              <w:rPr>
                <w:sz w:val="20"/>
                <w:szCs w:val="20"/>
                <w:color w:val="auto"/>
              </w:rPr>
            </w:pPr>
            <w:r>
              <w:rPr>
                <w:rFonts w:ascii="Arial" w:cs="Arial" w:eastAsia="Arial" w:hAnsi="Arial"/>
                <w:sz w:val="20"/>
                <w:szCs w:val="20"/>
                <w:color w:val="auto"/>
              </w:rPr>
              <w:t>37</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2.01. Commitments</w:t>
            </w:r>
          </w:p>
        </w:tc>
        <w:tc>
          <w:tcPr>
            <w:tcW w:w="400" w:type="dxa"/>
            <w:vAlign w:val="bottom"/>
          </w:tcPr>
          <w:p>
            <w:pPr>
              <w:spacing w:after="0"/>
              <w:rPr>
                <w:sz w:val="20"/>
                <w:szCs w:val="20"/>
                <w:color w:val="auto"/>
              </w:rPr>
            </w:pPr>
            <w:r>
              <w:rPr>
                <w:rFonts w:ascii="Arial" w:cs="Arial" w:eastAsia="Arial" w:hAnsi="Arial"/>
                <w:sz w:val="20"/>
                <w:szCs w:val="20"/>
                <w:color w:val="auto"/>
              </w:rPr>
              <w:t>37</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2.02. Loans and Borrowings</w:t>
            </w:r>
          </w:p>
        </w:tc>
        <w:tc>
          <w:tcPr>
            <w:tcW w:w="400" w:type="dxa"/>
            <w:vAlign w:val="bottom"/>
          </w:tcPr>
          <w:p>
            <w:pPr>
              <w:spacing w:after="0"/>
              <w:rPr>
                <w:sz w:val="20"/>
                <w:szCs w:val="20"/>
                <w:color w:val="auto"/>
              </w:rPr>
            </w:pPr>
            <w:r>
              <w:rPr>
                <w:rFonts w:ascii="Arial" w:cs="Arial" w:eastAsia="Arial" w:hAnsi="Arial"/>
                <w:sz w:val="20"/>
                <w:szCs w:val="20"/>
                <w:color w:val="auto"/>
              </w:rPr>
              <w:t>37</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2.03. Requests for Revolving Borrowings</w:t>
            </w:r>
          </w:p>
        </w:tc>
        <w:tc>
          <w:tcPr>
            <w:tcW w:w="400" w:type="dxa"/>
            <w:vAlign w:val="bottom"/>
          </w:tcPr>
          <w:p>
            <w:pPr>
              <w:spacing w:after="0"/>
              <w:rPr>
                <w:sz w:val="20"/>
                <w:szCs w:val="20"/>
                <w:color w:val="auto"/>
              </w:rPr>
            </w:pPr>
            <w:r>
              <w:rPr>
                <w:rFonts w:ascii="Arial" w:cs="Arial" w:eastAsia="Arial" w:hAnsi="Arial"/>
                <w:sz w:val="20"/>
                <w:szCs w:val="20"/>
                <w:color w:val="auto"/>
              </w:rPr>
              <w:t>38</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2.04. Protective Advances.</w:t>
            </w:r>
          </w:p>
        </w:tc>
        <w:tc>
          <w:tcPr>
            <w:tcW w:w="400" w:type="dxa"/>
            <w:vAlign w:val="bottom"/>
          </w:tcPr>
          <w:p>
            <w:pPr>
              <w:spacing w:after="0"/>
              <w:rPr>
                <w:sz w:val="20"/>
                <w:szCs w:val="20"/>
                <w:color w:val="auto"/>
              </w:rPr>
            </w:pPr>
            <w:r>
              <w:rPr>
                <w:rFonts w:ascii="Arial" w:cs="Arial" w:eastAsia="Arial" w:hAnsi="Arial"/>
                <w:sz w:val="20"/>
                <w:szCs w:val="20"/>
                <w:color w:val="auto"/>
              </w:rPr>
              <w:t>39</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2.05. Swingline Loans and Overadvances.</w:t>
            </w:r>
          </w:p>
        </w:tc>
        <w:tc>
          <w:tcPr>
            <w:tcW w:w="400" w:type="dxa"/>
            <w:vAlign w:val="bottom"/>
          </w:tcPr>
          <w:p>
            <w:pPr>
              <w:spacing w:after="0"/>
              <w:rPr>
                <w:sz w:val="20"/>
                <w:szCs w:val="20"/>
                <w:color w:val="auto"/>
              </w:rPr>
            </w:pPr>
            <w:r>
              <w:rPr>
                <w:rFonts w:ascii="Arial" w:cs="Arial" w:eastAsia="Arial" w:hAnsi="Arial"/>
                <w:sz w:val="20"/>
                <w:szCs w:val="20"/>
                <w:color w:val="auto"/>
              </w:rPr>
              <w:t>39</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2.06. Letters of Credit</w:t>
            </w:r>
          </w:p>
        </w:tc>
        <w:tc>
          <w:tcPr>
            <w:tcW w:w="400" w:type="dxa"/>
            <w:vAlign w:val="bottom"/>
          </w:tcPr>
          <w:p>
            <w:pPr>
              <w:spacing w:after="0"/>
              <w:rPr>
                <w:sz w:val="20"/>
                <w:szCs w:val="20"/>
                <w:color w:val="auto"/>
              </w:rPr>
            </w:pPr>
            <w:r>
              <w:rPr>
                <w:rFonts w:ascii="Arial" w:cs="Arial" w:eastAsia="Arial" w:hAnsi="Arial"/>
                <w:sz w:val="20"/>
                <w:szCs w:val="20"/>
                <w:color w:val="auto"/>
              </w:rPr>
              <w:t>40</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2.07. Funding of Borrowings.</w:t>
            </w:r>
          </w:p>
        </w:tc>
        <w:tc>
          <w:tcPr>
            <w:tcW w:w="400" w:type="dxa"/>
            <w:vAlign w:val="bottom"/>
          </w:tcPr>
          <w:p>
            <w:pPr>
              <w:spacing w:after="0"/>
              <w:rPr>
                <w:sz w:val="20"/>
                <w:szCs w:val="20"/>
                <w:color w:val="auto"/>
              </w:rPr>
            </w:pPr>
            <w:r>
              <w:rPr>
                <w:rFonts w:ascii="Arial" w:cs="Arial" w:eastAsia="Arial" w:hAnsi="Arial"/>
                <w:sz w:val="20"/>
                <w:szCs w:val="20"/>
                <w:color w:val="auto"/>
              </w:rPr>
              <w:t>45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2.08. Interest Elections.</w:t>
            </w:r>
          </w:p>
        </w:tc>
        <w:tc>
          <w:tcPr>
            <w:tcW w:w="400" w:type="dxa"/>
            <w:vAlign w:val="bottom"/>
          </w:tcPr>
          <w:p>
            <w:pPr>
              <w:spacing w:after="0"/>
              <w:rPr>
                <w:sz w:val="20"/>
                <w:szCs w:val="20"/>
                <w:color w:val="auto"/>
              </w:rPr>
            </w:pPr>
            <w:r>
              <w:rPr>
                <w:rFonts w:ascii="Arial" w:cs="Arial" w:eastAsia="Arial" w:hAnsi="Arial"/>
                <w:sz w:val="20"/>
                <w:szCs w:val="20"/>
                <w:color w:val="auto"/>
              </w:rPr>
              <w:t>46</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2.09. Termination of Commitments; Increase in Revolving Commitments</w:t>
            </w:r>
          </w:p>
        </w:tc>
        <w:tc>
          <w:tcPr>
            <w:tcW w:w="400" w:type="dxa"/>
            <w:vAlign w:val="bottom"/>
          </w:tcPr>
          <w:p>
            <w:pPr>
              <w:spacing w:after="0"/>
              <w:rPr>
                <w:sz w:val="20"/>
                <w:szCs w:val="20"/>
                <w:color w:val="auto"/>
              </w:rPr>
            </w:pPr>
            <w:r>
              <w:rPr>
                <w:rFonts w:ascii="Arial" w:cs="Arial" w:eastAsia="Arial" w:hAnsi="Arial"/>
                <w:sz w:val="20"/>
                <w:szCs w:val="20"/>
                <w:color w:val="auto"/>
              </w:rPr>
              <w:t>47</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2.10. Repayment and Amortization of Loans; Evidence of Debt.</w:t>
            </w:r>
          </w:p>
        </w:tc>
        <w:tc>
          <w:tcPr>
            <w:tcW w:w="400" w:type="dxa"/>
            <w:vAlign w:val="bottom"/>
          </w:tcPr>
          <w:p>
            <w:pPr>
              <w:spacing w:after="0"/>
              <w:rPr>
                <w:sz w:val="20"/>
                <w:szCs w:val="20"/>
                <w:color w:val="auto"/>
              </w:rPr>
            </w:pPr>
            <w:r>
              <w:rPr>
                <w:rFonts w:ascii="Arial" w:cs="Arial" w:eastAsia="Arial" w:hAnsi="Arial"/>
                <w:sz w:val="20"/>
                <w:szCs w:val="20"/>
                <w:color w:val="auto"/>
              </w:rPr>
              <w:t>48</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2.11. Prepayment of Loans</w:t>
            </w:r>
          </w:p>
        </w:tc>
        <w:tc>
          <w:tcPr>
            <w:tcW w:w="400" w:type="dxa"/>
            <w:vAlign w:val="bottom"/>
          </w:tcPr>
          <w:p>
            <w:pPr>
              <w:spacing w:after="0"/>
              <w:rPr>
                <w:sz w:val="20"/>
                <w:szCs w:val="20"/>
                <w:color w:val="auto"/>
              </w:rPr>
            </w:pPr>
            <w:r>
              <w:rPr>
                <w:rFonts w:ascii="Arial" w:cs="Arial" w:eastAsia="Arial" w:hAnsi="Arial"/>
                <w:sz w:val="20"/>
                <w:szCs w:val="20"/>
                <w:color w:val="auto"/>
              </w:rPr>
              <w:t>49</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2.12. Fees.</w:t>
            </w:r>
          </w:p>
        </w:tc>
        <w:tc>
          <w:tcPr>
            <w:tcW w:w="400" w:type="dxa"/>
            <w:vAlign w:val="bottom"/>
          </w:tcPr>
          <w:p>
            <w:pPr>
              <w:spacing w:after="0"/>
              <w:rPr>
                <w:sz w:val="20"/>
                <w:szCs w:val="20"/>
                <w:color w:val="auto"/>
              </w:rPr>
            </w:pPr>
            <w:r>
              <w:rPr>
                <w:rFonts w:ascii="Arial" w:cs="Arial" w:eastAsia="Arial" w:hAnsi="Arial"/>
                <w:sz w:val="20"/>
                <w:szCs w:val="20"/>
                <w:color w:val="auto"/>
              </w:rPr>
              <w:t>50</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2.13. Interest</w:t>
            </w:r>
          </w:p>
        </w:tc>
        <w:tc>
          <w:tcPr>
            <w:tcW w:w="400" w:type="dxa"/>
            <w:vAlign w:val="bottom"/>
          </w:tcPr>
          <w:p>
            <w:pPr>
              <w:spacing w:after="0"/>
              <w:rPr>
                <w:sz w:val="20"/>
                <w:szCs w:val="20"/>
                <w:color w:val="auto"/>
              </w:rPr>
            </w:pPr>
            <w:r>
              <w:rPr>
                <w:rFonts w:ascii="Arial" w:cs="Arial" w:eastAsia="Arial" w:hAnsi="Arial"/>
                <w:sz w:val="20"/>
                <w:szCs w:val="20"/>
                <w:color w:val="auto"/>
              </w:rPr>
              <w:t>51</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2.14. Alternate Rate of Interest; Illegality.</w:t>
            </w:r>
          </w:p>
        </w:tc>
        <w:tc>
          <w:tcPr>
            <w:tcW w:w="400" w:type="dxa"/>
            <w:vAlign w:val="bottom"/>
          </w:tcPr>
          <w:p>
            <w:pPr>
              <w:spacing w:after="0"/>
              <w:rPr>
                <w:sz w:val="20"/>
                <w:szCs w:val="20"/>
                <w:color w:val="auto"/>
              </w:rPr>
            </w:pPr>
            <w:r>
              <w:rPr>
                <w:rFonts w:ascii="Arial" w:cs="Arial" w:eastAsia="Arial" w:hAnsi="Arial"/>
                <w:sz w:val="20"/>
                <w:szCs w:val="20"/>
                <w:color w:val="auto"/>
              </w:rPr>
              <w:t>52</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2.15. Increased Costs.</w:t>
            </w:r>
          </w:p>
        </w:tc>
        <w:tc>
          <w:tcPr>
            <w:tcW w:w="400" w:type="dxa"/>
            <w:vAlign w:val="bottom"/>
          </w:tcPr>
          <w:p>
            <w:pPr>
              <w:spacing w:after="0"/>
              <w:rPr>
                <w:sz w:val="20"/>
                <w:szCs w:val="20"/>
                <w:color w:val="auto"/>
              </w:rPr>
            </w:pPr>
            <w:r>
              <w:rPr>
                <w:rFonts w:ascii="Arial" w:cs="Arial" w:eastAsia="Arial" w:hAnsi="Arial"/>
                <w:sz w:val="20"/>
                <w:szCs w:val="20"/>
                <w:color w:val="auto"/>
              </w:rPr>
              <w:t>53</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2.16. Break Funding Payments.</w:t>
            </w:r>
          </w:p>
        </w:tc>
        <w:tc>
          <w:tcPr>
            <w:tcW w:w="400" w:type="dxa"/>
            <w:vAlign w:val="bottom"/>
          </w:tcPr>
          <w:p>
            <w:pPr>
              <w:spacing w:after="0"/>
              <w:rPr>
                <w:sz w:val="20"/>
                <w:szCs w:val="20"/>
                <w:color w:val="auto"/>
              </w:rPr>
            </w:pPr>
            <w:r>
              <w:rPr>
                <w:rFonts w:ascii="Arial" w:cs="Arial" w:eastAsia="Arial" w:hAnsi="Arial"/>
                <w:sz w:val="20"/>
                <w:szCs w:val="20"/>
                <w:color w:val="auto"/>
              </w:rPr>
              <w:t>54</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2.17. Withholding of Taxes; Gross-Up.</w:t>
            </w:r>
          </w:p>
        </w:tc>
        <w:tc>
          <w:tcPr>
            <w:tcW w:w="400" w:type="dxa"/>
            <w:vAlign w:val="bottom"/>
          </w:tcPr>
          <w:p>
            <w:pPr>
              <w:spacing w:after="0"/>
              <w:rPr>
                <w:sz w:val="20"/>
                <w:szCs w:val="20"/>
                <w:color w:val="auto"/>
              </w:rPr>
            </w:pPr>
            <w:r>
              <w:rPr>
                <w:rFonts w:ascii="Arial" w:cs="Arial" w:eastAsia="Arial" w:hAnsi="Arial"/>
                <w:sz w:val="20"/>
                <w:szCs w:val="20"/>
                <w:color w:val="auto"/>
              </w:rPr>
              <w:t>55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2.18. Payments Generally; Allocation of Proceeds; Sharing of Set-offs</w:t>
            </w:r>
          </w:p>
        </w:tc>
        <w:tc>
          <w:tcPr>
            <w:tcW w:w="400" w:type="dxa"/>
            <w:vAlign w:val="bottom"/>
          </w:tcPr>
          <w:p>
            <w:pPr>
              <w:spacing w:after="0"/>
              <w:rPr>
                <w:sz w:val="20"/>
                <w:szCs w:val="20"/>
                <w:color w:val="auto"/>
              </w:rPr>
            </w:pPr>
            <w:r>
              <w:rPr>
                <w:rFonts w:ascii="Arial" w:cs="Arial" w:eastAsia="Arial" w:hAnsi="Arial"/>
                <w:sz w:val="20"/>
                <w:szCs w:val="20"/>
                <w:color w:val="auto"/>
              </w:rPr>
              <w:t>58</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2.19. Mitigation Obligations; Replacement of Lenders.</w:t>
            </w:r>
          </w:p>
        </w:tc>
        <w:tc>
          <w:tcPr>
            <w:tcW w:w="400" w:type="dxa"/>
            <w:vAlign w:val="bottom"/>
          </w:tcPr>
          <w:p>
            <w:pPr>
              <w:spacing w:after="0"/>
              <w:rPr>
                <w:sz w:val="20"/>
                <w:szCs w:val="20"/>
                <w:color w:val="auto"/>
              </w:rPr>
            </w:pPr>
            <w:r>
              <w:rPr>
                <w:rFonts w:ascii="Arial" w:cs="Arial" w:eastAsia="Arial" w:hAnsi="Arial"/>
                <w:sz w:val="20"/>
                <w:szCs w:val="20"/>
                <w:color w:val="auto"/>
              </w:rPr>
              <w:t>60</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2.20. Defaulting Lenders.</w:t>
            </w:r>
          </w:p>
        </w:tc>
        <w:tc>
          <w:tcPr>
            <w:tcW w:w="400" w:type="dxa"/>
            <w:vAlign w:val="bottom"/>
          </w:tcPr>
          <w:p>
            <w:pPr>
              <w:spacing w:after="0"/>
              <w:rPr>
                <w:sz w:val="20"/>
                <w:szCs w:val="20"/>
                <w:color w:val="auto"/>
              </w:rPr>
            </w:pPr>
            <w:r>
              <w:rPr>
                <w:rFonts w:ascii="Arial" w:cs="Arial" w:eastAsia="Arial" w:hAnsi="Arial"/>
                <w:sz w:val="20"/>
                <w:szCs w:val="20"/>
                <w:color w:val="auto"/>
              </w:rPr>
              <w:t>61</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2.21. Returned Payments</w:t>
            </w:r>
          </w:p>
        </w:tc>
        <w:tc>
          <w:tcPr>
            <w:tcW w:w="400" w:type="dxa"/>
            <w:vAlign w:val="bottom"/>
          </w:tcPr>
          <w:p>
            <w:pPr>
              <w:spacing w:after="0"/>
              <w:rPr>
                <w:sz w:val="20"/>
                <w:szCs w:val="20"/>
                <w:color w:val="auto"/>
              </w:rPr>
            </w:pPr>
            <w:r>
              <w:rPr>
                <w:rFonts w:ascii="Arial" w:cs="Arial" w:eastAsia="Arial" w:hAnsi="Arial"/>
                <w:sz w:val="20"/>
                <w:szCs w:val="20"/>
                <w:color w:val="auto"/>
              </w:rPr>
              <w:t>63</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2.22. Banking Services and Swap Agreements</w:t>
            </w:r>
          </w:p>
        </w:tc>
        <w:tc>
          <w:tcPr>
            <w:tcW w:w="400" w:type="dxa"/>
            <w:vAlign w:val="bottom"/>
          </w:tcPr>
          <w:p>
            <w:pPr>
              <w:spacing w:after="0"/>
              <w:rPr>
                <w:sz w:val="20"/>
                <w:szCs w:val="20"/>
                <w:color w:val="auto"/>
              </w:rPr>
            </w:pPr>
            <w:r>
              <w:rPr>
                <w:rFonts w:ascii="Arial" w:cs="Arial" w:eastAsia="Arial" w:hAnsi="Arial"/>
                <w:sz w:val="20"/>
                <w:szCs w:val="20"/>
                <w:color w:val="auto"/>
              </w:rPr>
              <w:t>63</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ARTICLE III - Representations and Warranties</w:t>
            </w:r>
          </w:p>
        </w:tc>
        <w:tc>
          <w:tcPr>
            <w:tcW w:w="400" w:type="dxa"/>
            <w:vAlign w:val="bottom"/>
          </w:tcPr>
          <w:p>
            <w:pPr>
              <w:spacing w:after="0"/>
              <w:rPr>
                <w:sz w:val="20"/>
                <w:szCs w:val="20"/>
                <w:color w:val="auto"/>
              </w:rPr>
            </w:pPr>
            <w:r>
              <w:rPr>
                <w:rFonts w:ascii="Arial" w:cs="Arial" w:eastAsia="Arial" w:hAnsi="Arial"/>
                <w:sz w:val="20"/>
                <w:szCs w:val="20"/>
                <w:color w:val="auto"/>
              </w:rPr>
              <w:t>63</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3.01. Organization; Powers</w:t>
            </w:r>
          </w:p>
        </w:tc>
        <w:tc>
          <w:tcPr>
            <w:tcW w:w="400" w:type="dxa"/>
            <w:vAlign w:val="bottom"/>
          </w:tcPr>
          <w:p>
            <w:pPr>
              <w:spacing w:after="0"/>
              <w:rPr>
                <w:sz w:val="20"/>
                <w:szCs w:val="20"/>
                <w:color w:val="auto"/>
              </w:rPr>
            </w:pPr>
            <w:r>
              <w:rPr>
                <w:rFonts w:ascii="Arial" w:cs="Arial" w:eastAsia="Arial" w:hAnsi="Arial"/>
                <w:sz w:val="20"/>
                <w:szCs w:val="20"/>
                <w:color w:val="auto"/>
              </w:rPr>
              <w:t>63</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3.02. Authorization; Enforceability</w:t>
            </w:r>
          </w:p>
        </w:tc>
        <w:tc>
          <w:tcPr>
            <w:tcW w:w="400" w:type="dxa"/>
            <w:vAlign w:val="bottom"/>
          </w:tcPr>
          <w:p>
            <w:pPr>
              <w:spacing w:after="0"/>
              <w:rPr>
                <w:sz w:val="20"/>
                <w:szCs w:val="20"/>
                <w:color w:val="auto"/>
              </w:rPr>
            </w:pPr>
            <w:r>
              <w:rPr>
                <w:rFonts w:ascii="Arial" w:cs="Arial" w:eastAsia="Arial" w:hAnsi="Arial"/>
                <w:sz w:val="20"/>
                <w:szCs w:val="20"/>
                <w:color w:val="auto"/>
              </w:rPr>
              <w:t>63</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3.03. Governmental Approvals; No Conflicts.</w:t>
            </w:r>
          </w:p>
        </w:tc>
        <w:tc>
          <w:tcPr>
            <w:tcW w:w="400" w:type="dxa"/>
            <w:vAlign w:val="bottom"/>
          </w:tcPr>
          <w:p>
            <w:pPr>
              <w:spacing w:after="0"/>
              <w:rPr>
                <w:sz w:val="20"/>
                <w:szCs w:val="20"/>
                <w:color w:val="auto"/>
              </w:rPr>
            </w:pPr>
            <w:r>
              <w:rPr>
                <w:rFonts w:ascii="Arial" w:cs="Arial" w:eastAsia="Arial" w:hAnsi="Arial"/>
                <w:sz w:val="20"/>
                <w:szCs w:val="20"/>
                <w:color w:val="auto"/>
              </w:rPr>
              <w:t>64</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3.04. Financial Condition; No Material Adverse Change</w:t>
            </w:r>
          </w:p>
        </w:tc>
        <w:tc>
          <w:tcPr>
            <w:tcW w:w="400" w:type="dxa"/>
            <w:vAlign w:val="bottom"/>
          </w:tcPr>
          <w:p>
            <w:pPr>
              <w:spacing w:after="0"/>
              <w:rPr>
                <w:sz w:val="20"/>
                <w:szCs w:val="20"/>
                <w:color w:val="auto"/>
              </w:rPr>
            </w:pPr>
            <w:r>
              <w:rPr>
                <w:rFonts w:ascii="Arial" w:cs="Arial" w:eastAsia="Arial" w:hAnsi="Arial"/>
                <w:sz w:val="20"/>
                <w:szCs w:val="20"/>
                <w:color w:val="auto"/>
              </w:rPr>
              <w:t>64</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3.05. Properties</w:t>
            </w:r>
          </w:p>
        </w:tc>
        <w:tc>
          <w:tcPr>
            <w:tcW w:w="400" w:type="dxa"/>
            <w:vAlign w:val="bottom"/>
          </w:tcPr>
          <w:p>
            <w:pPr>
              <w:spacing w:after="0"/>
              <w:rPr>
                <w:sz w:val="20"/>
                <w:szCs w:val="20"/>
                <w:color w:val="auto"/>
              </w:rPr>
            </w:pPr>
            <w:r>
              <w:rPr>
                <w:rFonts w:ascii="Arial" w:cs="Arial" w:eastAsia="Arial" w:hAnsi="Arial"/>
                <w:sz w:val="20"/>
                <w:szCs w:val="20"/>
                <w:color w:val="auto"/>
              </w:rPr>
              <w:t>64</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3.06. Litigation and Environmental Matters.</w:t>
            </w:r>
          </w:p>
        </w:tc>
        <w:tc>
          <w:tcPr>
            <w:tcW w:w="400" w:type="dxa"/>
            <w:vAlign w:val="bottom"/>
          </w:tcPr>
          <w:p>
            <w:pPr>
              <w:spacing w:after="0"/>
              <w:rPr>
                <w:sz w:val="20"/>
                <w:szCs w:val="20"/>
                <w:color w:val="auto"/>
              </w:rPr>
            </w:pPr>
            <w:r>
              <w:rPr>
                <w:rFonts w:ascii="Arial" w:cs="Arial" w:eastAsia="Arial" w:hAnsi="Arial"/>
                <w:sz w:val="20"/>
                <w:szCs w:val="20"/>
                <w:color w:val="auto"/>
              </w:rPr>
              <w:t>64</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3.07. Compliance with Laws and Agreements; No Default.</w:t>
            </w:r>
          </w:p>
        </w:tc>
        <w:tc>
          <w:tcPr>
            <w:tcW w:w="400" w:type="dxa"/>
            <w:vAlign w:val="bottom"/>
          </w:tcPr>
          <w:p>
            <w:pPr>
              <w:spacing w:after="0"/>
              <w:rPr>
                <w:sz w:val="20"/>
                <w:szCs w:val="20"/>
                <w:color w:val="auto"/>
              </w:rPr>
            </w:pPr>
            <w:r>
              <w:rPr>
                <w:rFonts w:ascii="Arial" w:cs="Arial" w:eastAsia="Arial" w:hAnsi="Arial"/>
                <w:sz w:val="20"/>
                <w:szCs w:val="20"/>
                <w:color w:val="auto"/>
              </w:rPr>
              <w:t>65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3.08. Investment Company Status.</w:t>
            </w:r>
          </w:p>
        </w:tc>
        <w:tc>
          <w:tcPr>
            <w:tcW w:w="400" w:type="dxa"/>
            <w:vAlign w:val="bottom"/>
          </w:tcPr>
          <w:p>
            <w:pPr>
              <w:spacing w:after="0"/>
              <w:rPr>
                <w:sz w:val="20"/>
                <w:szCs w:val="20"/>
                <w:color w:val="auto"/>
              </w:rPr>
            </w:pPr>
            <w:r>
              <w:rPr>
                <w:rFonts w:ascii="Arial" w:cs="Arial" w:eastAsia="Arial" w:hAnsi="Arial"/>
                <w:sz w:val="20"/>
                <w:szCs w:val="20"/>
                <w:color w:val="auto"/>
              </w:rPr>
              <w:t>65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3.09. Taxes.</w:t>
            </w:r>
          </w:p>
        </w:tc>
        <w:tc>
          <w:tcPr>
            <w:tcW w:w="400" w:type="dxa"/>
            <w:vAlign w:val="bottom"/>
          </w:tcPr>
          <w:p>
            <w:pPr>
              <w:spacing w:after="0"/>
              <w:rPr>
                <w:sz w:val="20"/>
                <w:szCs w:val="20"/>
                <w:color w:val="auto"/>
              </w:rPr>
            </w:pPr>
            <w:r>
              <w:rPr>
                <w:rFonts w:ascii="Arial" w:cs="Arial" w:eastAsia="Arial" w:hAnsi="Arial"/>
                <w:sz w:val="20"/>
                <w:szCs w:val="20"/>
                <w:color w:val="auto"/>
              </w:rPr>
              <w:t>65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3.10. ERISA</w:t>
            </w:r>
          </w:p>
        </w:tc>
        <w:tc>
          <w:tcPr>
            <w:tcW w:w="400" w:type="dxa"/>
            <w:vAlign w:val="bottom"/>
          </w:tcPr>
          <w:p>
            <w:pPr>
              <w:spacing w:after="0"/>
              <w:rPr>
                <w:sz w:val="20"/>
                <w:szCs w:val="20"/>
                <w:color w:val="auto"/>
              </w:rPr>
            </w:pPr>
            <w:r>
              <w:rPr>
                <w:rFonts w:ascii="Arial" w:cs="Arial" w:eastAsia="Arial" w:hAnsi="Arial"/>
                <w:sz w:val="20"/>
                <w:szCs w:val="20"/>
                <w:color w:val="auto"/>
              </w:rPr>
              <w:t>65</w:t>
            </w:r>
          </w:p>
        </w:tc>
      </w:tr>
      <w:tr>
        <w:trPr>
          <w:trHeight w:val="284"/>
        </w:trPr>
        <w:tc>
          <w:tcPr>
            <w:tcW w:w="9400" w:type="dxa"/>
            <w:vAlign w:val="bottom"/>
          </w:tcPr>
          <w:p>
            <w:pPr>
              <w:spacing w:after="0"/>
              <w:rPr>
                <w:sz w:val="20"/>
                <w:szCs w:val="20"/>
                <w:color w:val="auto"/>
              </w:rPr>
            </w:pPr>
            <w:r>
              <w:rPr>
                <w:rFonts w:ascii="Arial" w:cs="Arial" w:eastAsia="Arial" w:hAnsi="Arial"/>
                <w:sz w:val="20"/>
                <w:szCs w:val="20"/>
                <w:color w:val="auto"/>
              </w:rPr>
              <w:t>SECTION 3.11. Disclosure.</w:t>
            </w:r>
          </w:p>
        </w:tc>
        <w:tc>
          <w:tcPr>
            <w:tcW w:w="400" w:type="dxa"/>
            <w:vAlign w:val="bottom"/>
          </w:tcPr>
          <w:p>
            <w:pPr>
              <w:spacing w:after="0"/>
              <w:rPr>
                <w:sz w:val="20"/>
                <w:szCs w:val="20"/>
                <w:color w:val="auto"/>
              </w:rPr>
            </w:pPr>
            <w:r>
              <w:rPr>
                <w:rFonts w:ascii="Arial" w:cs="Arial" w:eastAsia="Arial" w:hAnsi="Arial"/>
                <w:sz w:val="20"/>
                <w:szCs w:val="20"/>
                <w:color w:val="auto"/>
              </w:rPr>
              <w:t>65</w:t>
            </w:r>
          </w:p>
        </w:tc>
      </w:tr>
    </w:tbl>
    <w:p>
      <w:pPr>
        <w:sectPr>
          <w:pgSz w:w="11900" w:h="16838" w:orient="portrait"/>
          <w:cols w:equalWidth="0" w:num="1">
            <w:col w:w="9800"/>
          </w:cols>
          <w:pgMar w:left="1300" w:top="798" w:right="79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20" w:type="dxa"/>
            <w:vAlign w:val="bottom"/>
          </w:tcPr>
          <w:p>
            <w:pPr>
              <w:spacing w:after="0"/>
              <w:rPr>
                <w:sz w:val="20"/>
                <w:szCs w:val="20"/>
                <w:color w:val="auto"/>
              </w:rPr>
            </w:pPr>
            <w:r>
              <w:rPr>
                <w:rFonts w:ascii="Arial" w:cs="Arial" w:eastAsia="Arial" w:hAnsi="Arial"/>
                <w:sz w:val="20"/>
                <w:szCs w:val="20"/>
                <w:color w:val="auto"/>
              </w:rPr>
              <w:t>SECTION 3.12. Material Agreements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3.13. Solvency.</w:t>
            </w:r>
          </w:p>
        </w:tc>
        <w:tc>
          <w:tcPr>
            <w:tcW w:w="1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3.14. Insurance.</w:t>
            </w:r>
          </w:p>
        </w:tc>
        <w:tc>
          <w:tcPr>
            <w:tcW w:w="1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3.15. Capitalization and Subsidiaries.</w:t>
            </w:r>
          </w:p>
        </w:tc>
        <w:tc>
          <w:tcPr>
            <w:tcW w:w="1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3.16. Security Interest in Collateral</w:t>
            </w:r>
          </w:p>
        </w:tc>
        <w:tc>
          <w:tcPr>
            <w:tcW w:w="1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3.17. Employment Matters</w:t>
            </w:r>
          </w:p>
        </w:tc>
        <w:tc>
          <w:tcPr>
            <w:tcW w:w="17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3.18. Margin Regulations</w:t>
            </w:r>
          </w:p>
        </w:tc>
        <w:tc>
          <w:tcPr>
            <w:tcW w:w="17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3.19. Use of Proceeds</w:t>
            </w:r>
          </w:p>
        </w:tc>
        <w:tc>
          <w:tcPr>
            <w:tcW w:w="17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3.20. No Burdensome Restrictions</w:t>
            </w:r>
          </w:p>
        </w:tc>
        <w:tc>
          <w:tcPr>
            <w:tcW w:w="17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3.21. Anti-Corruption Laws and Sanctions</w:t>
            </w:r>
          </w:p>
        </w:tc>
        <w:tc>
          <w:tcPr>
            <w:tcW w:w="17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3.24. EEA Financial Institutions</w:t>
            </w:r>
          </w:p>
        </w:tc>
        <w:tc>
          <w:tcPr>
            <w:tcW w:w="17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ARTICLE IV - Conditions</w:t>
            </w:r>
          </w:p>
        </w:tc>
        <w:tc>
          <w:tcPr>
            <w:tcW w:w="17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4.01. Effective Date</w:t>
            </w:r>
          </w:p>
        </w:tc>
        <w:tc>
          <w:tcPr>
            <w:tcW w:w="17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4.02. Each Credit Event.</w:t>
            </w:r>
          </w:p>
        </w:tc>
        <w:tc>
          <w:tcPr>
            <w:tcW w:w="17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ARTICLE V - Affirmative Covenants</w:t>
            </w:r>
          </w:p>
        </w:tc>
        <w:tc>
          <w:tcPr>
            <w:tcW w:w="17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5.01. Financial Statements; Borrowing Base and Other Information</w:t>
            </w:r>
          </w:p>
        </w:tc>
        <w:tc>
          <w:tcPr>
            <w:tcW w:w="17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5.02. Notices of Material Events.</w:t>
            </w:r>
          </w:p>
        </w:tc>
        <w:tc>
          <w:tcPr>
            <w:tcW w:w="17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5.03. Existence; Conduct of Business</w:t>
            </w:r>
          </w:p>
        </w:tc>
        <w:tc>
          <w:tcPr>
            <w:tcW w:w="17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5.04. Payment of Obligations.</w:t>
            </w:r>
          </w:p>
        </w:tc>
        <w:tc>
          <w:tcPr>
            <w:tcW w:w="17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5.05. Maintenance of Properties</w:t>
            </w:r>
          </w:p>
        </w:tc>
        <w:tc>
          <w:tcPr>
            <w:tcW w:w="17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5.06. Books and Records; Inspection Rights</w:t>
            </w:r>
          </w:p>
        </w:tc>
        <w:tc>
          <w:tcPr>
            <w:tcW w:w="17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5.07. Compliance with Laws and Material Contractual Obligations.</w:t>
            </w:r>
          </w:p>
        </w:tc>
        <w:tc>
          <w:tcPr>
            <w:tcW w:w="17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5.08. Use of Proceeds.</w:t>
            </w:r>
          </w:p>
        </w:tc>
        <w:tc>
          <w:tcPr>
            <w:tcW w:w="17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5.09. Accuracy of Information.</w:t>
            </w:r>
          </w:p>
        </w:tc>
        <w:tc>
          <w:tcPr>
            <w:tcW w:w="17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5.10. Insurance.</w:t>
            </w:r>
          </w:p>
        </w:tc>
        <w:tc>
          <w:tcPr>
            <w:tcW w:w="17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5.11. Casualty and Condemnation</w:t>
            </w:r>
          </w:p>
        </w:tc>
        <w:tc>
          <w:tcPr>
            <w:tcW w:w="17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5.12. Appraisals</w:t>
            </w:r>
          </w:p>
        </w:tc>
        <w:tc>
          <w:tcPr>
            <w:tcW w:w="17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5.13. Depository Banks</w:t>
            </w:r>
          </w:p>
        </w:tc>
        <w:tc>
          <w:tcPr>
            <w:tcW w:w="17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5.14. Additional Collateral; Further Assurances</w:t>
            </w:r>
          </w:p>
        </w:tc>
        <w:tc>
          <w:tcPr>
            <w:tcW w:w="17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ARTICLE VI - Negative Covenants</w:t>
            </w:r>
          </w:p>
        </w:tc>
        <w:tc>
          <w:tcPr>
            <w:tcW w:w="17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6.01. Indebtedness.</w:t>
            </w:r>
          </w:p>
        </w:tc>
        <w:tc>
          <w:tcPr>
            <w:tcW w:w="17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6.02. Liens.</w:t>
            </w:r>
          </w:p>
        </w:tc>
        <w:tc>
          <w:tcPr>
            <w:tcW w:w="178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6.03. Fundamental Changes.</w:t>
            </w:r>
          </w:p>
        </w:tc>
        <w:tc>
          <w:tcPr>
            <w:tcW w:w="17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6.04. Investments, Loans, Advances, Guarantees and Acquisitions</w:t>
            </w:r>
          </w:p>
        </w:tc>
        <w:tc>
          <w:tcPr>
            <w:tcW w:w="178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6.05. Asset Sales</w:t>
            </w:r>
          </w:p>
        </w:tc>
        <w:tc>
          <w:tcPr>
            <w:tcW w:w="17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6.06. Sale and Leaseback Transactions</w:t>
            </w:r>
          </w:p>
        </w:tc>
        <w:tc>
          <w:tcPr>
            <w:tcW w:w="17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6.07. Swap Agreements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6.08. Restricted Payments; Certain Payments of Indebtedness.</w:t>
            </w:r>
          </w:p>
        </w:tc>
        <w:tc>
          <w:tcPr>
            <w:tcW w:w="17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6.09. Transactions with Affiliates.</w:t>
            </w:r>
          </w:p>
        </w:tc>
        <w:tc>
          <w:tcPr>
            <w:tcW w:w="17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6.10. Restrictive Agreements.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6.11. Amendment of Material Documents</w:t>
            </w:r>
          </w:p>
        </w:tc>
        <w:tc>
          <w:tcPr>
            <w:tcW w:w="17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6.13. Financial Covenants</w:t>
            </w:r>
          </w:p>
        </w:tc>
        <w:tc>
          <w:tcPr>
            <w:tcW w:w="17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ARTICLE VII - Events of Default</w:t>
            </w:r>
          </w:p>
        </w:tc>
        <w:tc>
          <w:tcPr>
            <w:tcW w:w="17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ARTICLE VIII - The Administrative Agent</w:t>
            </w:r>
          </w:p>
        </w:tc>
        <w:tc>
          <w:tcPr>
            <w:tcW w:w="178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8.01. Authorization and Action</w:t>
            </w:r>
          </w:p>
        </w:tc>
        <w:tc>
          <w:tcPr>
            <w:tcW w:w="178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84"/>
        </w:trPr>
        <w:tc>
          <w:tcPr>
            <w:tcW w:w="7820" w:type="dxa"/>
            <w:vAlign w:val="bottom"/>
          </w:tcPr>
          <w:p>
            <w:pPr>
              <w:spacing w:after="0"/>
              <w:rPr>
                <w:sz w:val="20"/>
                <w:szCs w:val="20"/>
                <w:color w:val="auto"/>
              </w:rPr>
            </w:pPr>
            <w:r>
              <w:rPr>
                <w:rFonts w:ascii="Arial" w:cs="Arial" w:eastAsia="Arial" w:hAnsi="Arial"/>
                <w:sz w:val="20"/>
                <w:szCs w:val="20"/>
                <w:color w:val="auto"/>
              </w:rPr>
              <w:t>SECTION 8.04. Reliance</w:t>
            </w:r>
          </w:p>
        </w:tc>
        <w:tc>
          <w:tcPr>
            <w:tcW w:w="1780" w:type="dxa"/>
            <w:vAlign w:val="bottom"/>
          </w:tcPr>
          <w:p>
            <w:pPr>
              <w:jc w:val="right"/>
              <w:spacing w:after="0"/>
              <w:rPr>
                <w:sz w:val="20"/>
                <w:szCs w:val="20"/>
                <w:color w:val="auto"/>
              </w:rPr>
            </w:pPr>
            <w:r>
              <w:rPr>
                <w:rFonts w:ascii="Arial" w:cs="Arial" w:eastAsia="Arial" w:hAnsi="Arial"/>
                <w:sz w:val="20"/>
                <w:szCs w:val="20"/>
                <w:color w:val="auto"/>
              </w:rPr>
              <w:t>93</w:t>
            </w:r>
          </w:p>
        </w:tc>
      </w:tr>
    </w:tbl>
    <w:p>
      <w:pPr>
        <w:sectPr>
          <w:pgSz w:w="11900" w:h="16838" w:orient="portrait"/>
          <w:cols w:equalWidth="0" w:num="1">
            <w:col w:w="9600"/>
          </w:cols>
          <w:pgMar w:left="1300" w:top="744" w:right="99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SECTION 8.05. Successor Administrative Agent</w:t>
            </w:r>
          </w:p>
        </w:tc>
        <w:tc>
          <w:tcPr>
            <w:tcW w:w="1460" w:type="dxa"/>
            <w:vAlign w:val="bottom"/>
          </w:tcPr>
          <w:p>
            <w:pPr>
              <w:ind w:left="1160"/>
              <w:spacing w:after="0"/>
              <w:rPr>
                <w:sz w:val="20"/>
                <w:szCs w:val="20"/>
                <w:color w:val="auto"/>
              </w:rPr>
            </w:pPr>
            <w:r>
              <w:rPr>
                <w:rFonts w:ascii="Arial" w:cs="Arial" w:eastAsia="Arial" w:hAnsi="Arial"/>
                <w:sz w:val="20"/>
                <w:szCs w:val="20"/>
                <w:color w:val="auto"/>
              </w:rPr>
              <w:t>93</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8.07. Acknowledgements of Lenders and Issuing Bank</w:t>
            </w:r>
          </w:p>
        </w:tc>
        <w:tc>
          <w:tcPr>
            <w:tcW w:w="1460" w:type="dxa"/>
            <w:vAlign w:val="bottom"/>
          </w:tcPr>
          <w:p>
            <w:pPr>
              <w:ind w:left="1160"/>
              <w:spacing w:after="0"/>
              <w:rPr>
                <w:sz w:val="20"/>
                <w:szCs w:val="20"/>
                <w:color w:val="auto"/>
              </w:rPr>
            </w:pPr>
            <w:r>
              <w:rPr>
                <w:rFonts w:ascii="Arial" w:cs="Arial" w:eastAsia="Arial" w:hAnsi="Arial"/>
                <w:sz w:val="20"/>
                <w:szCs w:val="20"/>
                <w:color w:val="auto"/>
              </w:rPr>
              <w:t>94</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8.08. Collateral Matters</w:t>
            </w:r>
          </w:p>
        </w:tc>
        <w:tc>
          <w:tcPr>
            <w:tcW w:w="1460" w:type="dxa"/>
            <w:vAlign w:val="bottom"/>
          </w:tcPr>
          <w:p>
            <w:pPr>
              <w:ind w:left="1160"/>
              <w:spacing w:after="0"/>
              <w:rPr>
                <w:sz w:val="20"/>
                <w:szCs w:val="20"/>
                <w:color w:val="auto"/>
              </w:rPr>
            </w:pPr>
            <w:r>
              <w:rPr>
                <w:rFonts w:ascii="Arial" w:cs="Arial" w:eastAsia="Arial" w:hAnsi="Arial"/>
                <w:sz w:val="20"/>
                <w:szCs w:val="20"/>
                <w:color w:val="auto"/>
              </w:rPr>
              <w:t>95</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8.09. Certain ERISA Matters</w:t>
            </w:r>
          </w:p>
        </w:tc>
        <w:tc>
          <w:tcPr>
            <w:tcW w:w="1460" w:type="dxa"/>
            <w:vAlign w:val="bottom"/>
          </w:tcPr>
          <w:p>
            <w:pPr>
              <w:ind w:left="1160"/>
              <w:spacing w:after="0"/>
              <w:rPr>
                <w:sz w:val="20"/>
                <w:szCs w:val="20"/>
                <w:color w:val="auto"/>
              </w:rPr>
            </w:pPr>
            <w:r>
              <w:rPr>
                <w:rFonts w:ascii="Arial" w:cs="Arial" w:eastAsia="Arial" w:hAnsi="Arial"/>
                <w:sz w:val="20"/>
                <w:szCs w:val="20"/>
                <w:color w:val="auto"/>
              </w:rPr>
              <w:t>97</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8.10. Flood Laws</w:t>
            </w:r>
          </w:p>
        </w:tc>
        <w:tc>
          <w:tcPr>
            <w:tcW w:w="1460" w:type="dxa"/>
            <w:vAlign w:val="bottom"/>
          </w:tcPr>
          <w:p>
            <w:pPr>
              <w:ind w:left="1160"/>
              <w:spacing w:after="0"/>
              <w:rPr>
                <w:sz w:val="20"/>
                <w:szCs w:val="20"/>
                <w:color w:val="auto"/>
              </w:rPr>
            </w:pPr>
            <w:r>
              <w:rPr>
                <w:rFonts w:ascii="Arial" w:cs="Arial" w:eastAsia="Arial" w:hAnsi="Arial"/>
                <w:sz w:val="20"/>
                <w:szCs w:val="20"/>
                <w:color w:val="auto"/>
              </w:rPr>
              <w:t>99</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ARTICLE IX - Miscellaneous</w:t>
            </w:r>
          </w:p>
        </w:tc>
        <w:tc>
          <w:tcPr>
            <w:tcW w:w="1460" w:type="dxa"/>
            <w:vAlign w:val="bottom"/>
          </w:tcPr>
          <w:p>
            <w:pPr>
              <w:ind w:left="1160"/>
              <w:spacing w:after="0"/>
              <w:rPr>
                <w:sz w:val="20"/>
                <w:szCs w:val="20"/>
                <w:color w:val="auto"/>
              </w:rPr>
            </w:pPr>
            <w:r>
              <w:rPr>
                <w:rFonts w:ascii="Arial" w:cs="Arial" w:eastAsia="Arial" w:hAnsi="Arial"/>
                <w:sz w:val="20"/>
                <w:szCs w:val="20"/>
                <w:color w:val="auto"/>
              </w:rPr>
              <w:t>99</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9.01. Notices</w:t>
            </w:r>
          </w:p>
        </w:tc>
        <w:tc>
          <w:tcPr>
            <w:tcW w:w="1460" w:type="dxa"/>
            <w:vAlign w:val="bottom"/>
          </w:tcPr>
          <w:p>
            <w:pPr>
              <w:ind w:left="1160"/>
              <w:spacing w:after="0"/>
              <w:rPr>
                <w:sz w:val="20"/>
                <w:szCs w:val="20"/>
                <w:color w:val="auto"/>
              </w:rPr>
            </w:pPr>
            <w:r>
              <w:rPr>
                <w:rFonts w:ascii="Arial" w:cs="Arial" w:eastAsia="Arial" w:hAnsi="Arial"/>
                <w:sz w:val="20"/>
                <w:szCs w:val="20"/>
                <w:color w:val="auto"/>
              </w:rPr>
              <w:t>99</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9.02. Waivers; Amendments.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100</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9.03. Expenses; Indemnity; Damage Waiver.</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102</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9.04. Successors and Assigns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104</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9.05. Survival</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107</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9.06. Counterparts; Integration; Effectiveness; Electronic Execution.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108</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9.07. Severability</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108</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9.08. Right of Setoff.</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108</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9.09. Governing Law; Jurisdiction; Consent to Service of Process.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109</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9.10. WAIVER OF JURY TRIAL.</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109</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9.11. Headings.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110</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9.12. Confidentiality.</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110</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9.13. Several Obligations; Nonreliance; Violation of Law</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111</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9.14. USA PATRIOT Act.</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111</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9.15. Disclosure</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111</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9.16. Appointment for Perfection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111</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9.17. Interest Rate Limitation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111</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9.18. Marketing Consent</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111</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9.19. Acknowledgement and Consent to Bail-In of EEA Financial Institutions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112</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9.20. No Fiduciary Duty, etc</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112</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ARTICLE X - Loan Guaranty</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113</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10.01. Guaranty.</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113</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10.02. Guaranty of Payment</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113</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10.03. No Discharge or Diminishment of Loan Guaranty</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113</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10.04. Defenses Waived.</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114</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10.05. Rights of Subrogation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114</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10.06. Reinstatement; Stay of Acceleration.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114</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10.07. Information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115</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10.08. Termination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115</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10.09. Taxes.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115</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10.10. Maximum Liability</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115</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10.11. Contribution</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115</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10.12. Liability Cumulative</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116</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10.13. Keepwell</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116</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ARTICLE XI - The Borrower Representative</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117</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11.01. Appointment; Nature of Relationship</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117</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11.02. Powers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117</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11.03. Employment of Agents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117</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11.04. Notices</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117</w:t>
            </w:r>
          </w:p>
        </w:tc>
      </w:tr>
      <w:tr>
        <w:trPr>
          <w:trHeight w:val="284"/>
        </w:trPr>
        <w:tc>
          <w:tcPr>
            <w:tcW w:w="8240" w:type="dxa"/>
            <w:vAlign w:val="bottom"/>
          </w:tcPr>
          <w:p>
            <w:pPr>
              <w:spacing w:after="0"/>
              <w:rPr>
                <w:sz w:val="20"/>
                <w:szCs w:val="20"/>
                <w:color w:val="auto"/>
              </w:rPr>
            </w:pPr>
            <w:r>
              <w:rPr>
                <w:rFonts w:ascii="Arial" w:cs="Arial" w:eastAsia="Arial" w:hAnsi="Arial"/>
                <w:sz w:val="20"/>
                <w:szCs w:val="20"/>
                <w:color w:val="auto"/>
              </w:rPr>
              <w:t>SECTION 11.05. Successor Borrower Representative</w:t>
            </w:r>
          </w:p>
        </w:tc>
        <w:tc>
          <w:tcPr>
            <w:tcW w:w="1460" w:type="dxa"/>
            <w:vAlign w:val="bottom"/>
          </w:tcPr>
          <w:p>
            <w:pPr>
              <w:ind w:left="1160"/>
              <w:spacing w:after="0"/>
              <w:rPr>
                <w:sz w:val="20"/>
                <w:szCs w:val="20"/>
                <w:color w:val="auto"/>
              </w:rPr>
            </w:pPr>
            <w:r>
              <w:rPr>
                <w:rFonts w:ascii="Arial" w:cs="Arial" w:eastAsia="Arial" w:hAnsi="Arial"/>
                <w:sz w:val="20"/>
                <w:szCs w:val="20"/>
                <w:color w:val="auto"/>
                <w:w w:val="83"/>
              </w:rPr>
              <w:t>117</w:t>
            </w:r>
          </w:p>
        </w:tc>
      </w:tr>
    </w:tbl>
    <w:p>
      <w:pPr>
        <w:sectPr>
          <w:pgSz w:w="11900" w:h="16838" w:orient="portrait"/>
          <w:cols w:equalWidth="0" w:num="1">
            <w:col w:w="9700"/>
          </w:cols>
          <w:pgMar w:left="1300" w:top="744" w:right="89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40" w:type="dxa"/>
            <w:vAlign w:val="bottom"/>
            <w:gridSpan w:val="4"/>
          </w:tcPr>
          <w:p>
            <w:pPr>
              <w:ind w:left="1060"/>
              <w:spacing w:after="0"/>
              <w:rPr>
                <w:sz w:val="20"/>
                <w:szCs w:val="20"/>
                <w:color w:val="auto"/>
              </w:rPr>
            </w:pPr>
            <w:r>
              <w:rPr>
                <w:rFonts w:ascii="Arial" w:cs="Arial" w:eastAsia="Arial" w:hAnsi="Arial"/>
                <w:sz w:val="20"/>
                <w:szCs w:val="20"/>
                <w:color w:val="auto"/>
              </w:rPr>
              <w:t>SECTION 11.06. Execution of Loan Documents; Borrowing Base Certificate</w:t>
            </w:r>
          </w:p>
        </w:tc>
        <w:tc>
          <w:tcPr>
            <w:tcW w:w="192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84"/>
        </w:trPr>
        <w:tc>
          <w:tcPr>
            <w:tcW w:w="8840" w:type="dxa"/>
            <w:vAlign w:val="bottom"/>
            <w:gridSpan w:val="4"/>
          </w:tcPr>
          <w:p>
            <w:pPr>
              <w:ind w:left="1060"/>
              <w:spacing w:after="0"/>
              <w:rPr>
                <w:sz w:val="20"/>
                <w:szCs w:val="20"/>
                <w:color w:val="auto"/>
              </w:rPr>
            </w:pPr>
            <w:r>
              <w:rPr>
                <w:rFonts w:ascii="Arial" w:cs="Arial" w:eastAsia="Arial" w:hAnsi="Arial"/>
                <w:sz w:val="20"/>
                <w:szCs w:val="20"/>
                <w:color w:val="auto"/>
              </w:rPr>
              <w:t>SECTION 11.07. Reporting</w:t>
            </w:r>
          </w:p>
        </w:tc>
        <w:tc>
          <w:tcPr>
            <w:tcW w:w="192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658"/>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20"/>
                <w:szCs w:val="20"/>
                <w:color w:val="auto"/>
              </w:rPr>
              <w:t>SCHEDULES:</w:t>
            </w:r>
          </w:p>
        </w:tc>
        <w:tc>
          <w:tcPr>
            <w:tcW w:w="1920" w:type="dxa"/>
            <w:vAlign w:val="bottom"/>
          </w:tcPr>
          <w:p>
            <w:pPr>
              <w:spacing w:after="0"/>
              <w:rPr>
                <w:sz w:val="24"/>
                <w:szCs w:val="24"/>
                <w:color w:val="auto"/>
              </w:rPr>
            </w:pPr>
          </w:p>
        </w:tc>
      </w:tr>
      <w:tr>
        <w:trPr>
          <w:trHeight w:val="233"/>
        </w:trPr>
        <w:tc>
          <w:tcPr>
            <w:tcW w:w="5120" w:type="dxa"/>
            <w:vAlign w:val="bottom"/>
            <w:gridSpan w:val="2"/>
          </w:tcPr>
          <w:p>
            <w:pPr>
              <w:spacing w:after="0"/>
              <w:rPr>
                <w:sz w:val="20"/>
                <w:szCs w:val="20"/>
                <w:color w:val="auto"/>
              </w:rPr>
            </w:pPr>
            <w:r>
              <w:rPr>
                <w:rFonts w:ascii="Arial" w:cs="Arial" w:eastAsia="Arial" w:hAnsi="Arial"/>
                <w:sz w:val="20"/>
                <w:szCs w:val="20"/>
                <w:color w:val="auto"/>
              </w:rPr>
              <w:t>Commitment Schedule</w:t>
            </w:r>
          </w:p>
        </w:tc>
        <w:tc>
          <w:tcPr>
            <w:tcW w:w="1140" w:type="dxa"/>
            <w:vAlign w:val="bottom"/>
            <w:tcBorders>
              <w:top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0"/>
        </w:trPr>
        <w:tc>
          <w:tcPr>
            <w:tcW w:w="8840" w:type="dxa"/>
            <w:vAlign w:val="bottom"/>
            <w:gridSpan w:val="4"/>
          </w:tcPr>
          <w:p>
            <w:pPr>
              <w:spacing w:after="0"/>
              <w:rPr>
                <w:sz w:val="20"/>
                <w:szCs w:val="20"/>
                <w:color w:val="auto"/>
              </w:rPr>
            </w:pPr>
            <w:r>
              <w:rPr>
                <w:rFonts w:ascii="Arial" w:cs="Arial" w:eastAsia="Arial" w:hAnsi="Arial"/>
                <w:sz w:val="20"/>
                <w:szCs w:val="20"/>
                <w:color w:val="auto"/>
              </w:rPr>
              <w:t>Schedule 3.05 -- Properties</w:t>
            </w:r>
          </w:p>
        </w:tc>
        <w:tc>
          <w:tcPr>
            <w:tcW w:w="1920" w:type="dxa"/>
            <w:vAlign w:val="bottom"/>
          </w:tcPr>
          <w:p>
            <w:pPr>
              <w:spacing w:after="0"/>
              <w:rPr>
                <w:sz w:val="19"/>
                <w:szCs w:val="19"/>
                <w:color w:val="auto"/>
              </w:rPr>
            </w:pPr>
          </w:p>
        </w:tc>
      </w:tr>
      <w:tr>
        <w:trPr>
          <w:trHeight w:val="230"/>
        </w:trPr>
        <w:tc>
          <w:tcPr>
            <w:tcW w:w="8840" w:type="dxa"/>
            <w:vAlign w:val="bottom"/>
            <w:gridSpan w:val="4"/>
          </w:tcPr>
          <w:p>
            <w:pPr>
              <w:spacing w:after="0"/>
              <w:rPr>
                <w:sz w:val="20"/>
                <w:szCs w:val="20"/>
                <w:color w:val="auto"/>
              </w:rPr>
            </w:pPr>
            <w:r>
              <w:rPr>
                <w:rFonts w:ascii="Arial" w:cs="Arial" w:eastAsia="Arial" w:hAnsi="Arial"/>
                <w:sz w:val="20"/>
                <w:szCs w:val="20"/>
                <w:color w:val="auto"/>
              </w:rPr>
              <w:t>Schedule 3.06 -- Disclosed Matters</w:t>
            </w:r>
          </w:p>
        </w:tc>
        <w:tc>
          <w:tcPr>
            <w:tcW w:w="1920" w:type="dxa"/>
            <w:vAlign w:val="bottom"/>
          </w:tcPr>
          <w:p>
            <w:pPr>
              <w:spacing w:after="0"/>
              <w:rPr>
                <w:sz w:val="19"/>
                <w:szCs w:val="19"/>
                <w:color w:val="auto"/>
              </w:rPr>
            </w:pPr>
          </w:p>
        </w:tc>
      </w:tr>
      <w:tr>
        <w:trPr>
          <w:trHeight w:val="230"/>
        </w:trPr>
        <w:tc>
          <w:tcPr>
            <w:tcW w:w="8840" w:type="dxa"/>
            <w:vAlign w:val="bottom"/>
            <w:gridSpan w:val="4"/>
          </w:tcPr>
          <w:p>
            <w:pPr>
              <w:spacing w:after="0"/>
              <w:rPr>
                <w:sz w:val="20"/>
                <w:szCs w:val="20"/>
                <w:color w:val="auto"/>
              </w:rPr>
            </w:pPr>
            <w:r>
              <w:rPr>
                <w:rFonts w:ascii="Arial" w:cs="Arial" w:eastAsia="Arial" w:hAnsi="Arial"/>
                <w:sz w:val="20"/>
                <w:szCs w:val="20"/>
                <w:color w:val="auto"/>
              </w:rPr>
              <w:t>Schedule 3.12 -- Material Agreements</w:t>
            </w:r>
          </w:p>
        </w:tc>
        <w:tc>
          <w:tcPr>
            <w:tcW w:w="1920" w:type="dxa"/>
            <w:vAlign w:val="bottom"/>
          </w:tcPr>
          <w:p>
            <w:pPr>
              <w:spacing w:after="0"/>
              <w:rPr>
                <w:sz w:val="19"/>
                <w:szCs w:val="19"/>
                <w:color w:val="auto"/>
              </w:rPr>
            </w:pPr>
          </w:p>
        </w:tc>
      </w:tr>
      <w:tr>
        <w:trPr>
          <w:trHeight w:val="230"/>
        </w:trPr>
        <w:tc>
          <w:tcPr>
            <w:tcW w:w="8840" w:type="dxa"/>
            <w:vAlign w:val="bottom"/>
            <w:gridSpan w:val="4"/>
          </w:tcPr>
          <w:p>
            <w:pPr>
              <w:spacing w:after="0"/>
              <w:rPr>
                <w:sz w:val="20"/>
                <w:szCs w:val="20"/>
                <w:color w:val="auto"/>
              </w:rPr>
            </w:pPr>
            <w:r>
              <w:rPr>
                <w:rFonts w:ascii="Arial" w:cs="Arial" w:eastAsia="Arial" w:hAnsi="Arial"/>
                <w:sz w:val="20"/>
                <w:szCs w:val="20"/>
                <w:color w:val="auto"/>
              </w:rPr>
              <w:t>Schedule 3.14 -- Insurance</w:t>
            </w:r>
          </w:p>
        </w:tc>
        <w:tc>
          <w:tcPr>
            <w:tcW w:w="1920" w:type="dxa"/>
            <w:vAlign w:val="bottom"/>
          </w:tcPr>
          <w:p>
            <w:pPr>
              <w:spacing w:after="0"/>
              <w:rPr>
                <w:sz w:val="19"/>
                <w:szCs w:val="19"/>
                <w:color w:val="auto"/>
              </w:rPr>
            </w:pPr>
          </w:p>
        </w:tc>
      </w:tr>
      <w:tr>
        <w:trPr>
          <w:trHeight w:val="230"/>
        </w:trPr>
        <w:tc>
          <w:tcPr>
            <w:tcW w:w="8840" w:type="dxa"/>
            <w:vAlign w:val="bottom"/>
            <w:gridSpan w:val="4"/>
          </w:tcPr>
          <w:p>
            <w:pPr>
              <w:spacing w:after="0"/>
              <w:rPr>
                <w:sz w:val="20"/>
                <w:szCs w:val="20"/>
                <w:color w:val="auto"/>
              </w:rPr>
            </w:pPr>
            <w:r>
              <w:rPr>
                <w:rFonts w:ascii="Arial" w:cs="Arial" w:eastAsia="Arial" w:hAnsi="Arial"/>
                <w:sz w:val="20"/>
                <w:szCs w:val="20"/>
                <w:color w:val="auto"/>
              </w:rPr>
              <w:t>Schedule 3.15 - Capitalization and Subsidiaries</w:t>
            </w:r>
          </w:p>
        </w:tc>
        <w:tc>
          <w:tcPr>
            <w:tcW w:w="19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w w:val="89"/>
              </w:rPr>
              <w:t>Schedule 3.22</w:t>
            </w:r>
          </w:p>
        </w:tc>
        <w:tc>
          <w:tcPr>
            <w:tcW w:w="7680" w:type="dxa"/>
            <w:vAlign w:val="bottom"/>
            <w:gridSpan w:val="3"/>
          </w:tcPr>
          <w:p>
            <w:pPr>
              <w:ind w:left="20"/>
              <w:spacing w:after="0"/>
              <w:rPr>
                <w:sz w:val="20"/>
                <w:szCs w:val="20"/>
                <w:color w:val="auto"/>
              </w:rPr>
            </w:pPr>
            <w:r>
              <w:rPr>
                <w:rFonts w:ascii="Arial" w:cs="Arial" w:eastAsia="Arial" w:hAnsi="Arial"/>
                <w:sz w:val="20"/>
                <w:szCs w:val="20"/>
                <w:color w:val="auto"/>
              </w:rPr>
              <w:t>- Affiliate Transactions</w:t>
            </w:r>
          </w:p>
        </w:tc>
        <w:tc>
          <w:tcPr>
            <w:tcW w:w="19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w w:val="89"/>
              </w:rPr>
              <w:t>Schedule 6.01</w:t>
            </w:r>
          </w:p>
        </w:tc>
        <w:tc>
          <w:tcPr>
            <w:tcW w:w="7680" w:type="dxa"/>
            <w:vAlign w:val="bottom"/>
            <w:gridSpan w:val="3"/>
          </w:tcPr>
          <w:p>
            <w:pPr>
              <w:ind w:left="20"/>
              <w:spacing w:after="0"/>
              <w:rPr>
                <w:sz w:val="20"/>
                <w:szCs w:val="20"/>
                <w:color w:val="auto"/>
              </w:rPr>
            </w:pPr>
            <w:r>
              <w:rPr>
                <w:rFonts w:ascii="Arial" w:cs="Arial" w:eastAsia="Arial" w:hAnsi="Arial"/>
                <w:sz w:val="20"/>
                <w:szCs w:val="20"/>
                <w:color w:val="auto"/>
              </w:rPr>
              <w:t>-- Existing Indebtedness</w:t>
            </w:r>
          </w:p>
        </w:tc>
        <w:tc>
          <w:tcPr>
            <w:tcW w:w="19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w w:val="89"/>
              </w:rPr>
              <w:t>Schedule 6.02</w:t>
            </w:r>
          </w:p>
        </w:tc>
        <w:tc>
          <w:tcPr>
            <w:tcW w:w="7680" w:type="dxa"/>
            <w:vAlign w:val="bottom"/>
            <w:gridSpan w:val="3"/>
          </w:tcPr>
          <w:p>
            <w:pPr>
              <w:ind w:left="20"/>
              <w:spacing w:after="0"/>
              <w:rPr>
                <w:sz w:val="20"/>
                <w:szCs w:val="20"/>
                <w:color w:val="auto"/>
              </w:rPr>
            </w:pPr>
            <w:r>
              <w:rPr>
                <w:rFonts w:ascii="Arial" w:cs="Arial" w:eastAsia="Arial" w:hAnsi="Arial"/>
                <w:sz w:val="20"/>
                <w:szCs w:val="20"/>
                <w:color w:val="auto"/>
              </w:rPr>
              <w:t>-- Existing Liens</w:t>
            </w:r>
          </w:p>
        </w:tc>
        <w:tc>
          <w:tcPr>
            <w:tcW w:w="1920" w:type="dxa"/>
            <w:vAlign w:val="bottom"/>
          </w:tcPr>
          <w:p>
            <w:pPr>
              <w:spacing w:after="0"/>
              <w:rPr>
                <w:sz w:val="19"/>
                <w:szCs w:val="19"/>
                <w:color w:val="auto"/>
              </w:rPr>
            </w:pPr>
          </w:p>
        </w:tc>
      </w:tr>
      <w:tr>
        <w:trPr>
          <w:trHeight w:val="230"/>
        </w:trPr>
        <w:tc>
          <w:tcPr>
            <w:tcW w:w="8840" w:type="dxa"/>
            <w:vAlign w:val="bottom"/>
            <w:gridSpan w:val="4"/>
          </w:tcPr>
          <w:p>
            <w:pPr>
              <w:spacing w:after="0"/>
              <w:rPr>
                <w:sz w:val="20"/>
                <w:szCs w:val="20"/>
                <w:color w:val="auto"/>
              </w:rPr>
            </w:pPr>
            <w:r>
              <w:rPr>
                <w:rFonts w:ascii="Arial" w:cs="Arial" w:eastAsia="Arial" w:hAnsi="Arial"/>
                <w:sz w:val="20"/>
                <w:szCs w:val="20"/>
                <w:color w:val="auto"/>
              </w:rPr>
              <w:t>Schedule 6.04(a) -- Permitted Investments</w:t>
            </w:r>
          </w:p>
        </w:tc>
        <w:tc>
          <w:tcPr>
            <w:tcW w:w="1920" w:type="dxa"/>
            <w:vAlign w:val="bottom"/>
          </w:tcPr>
          <w:p>
            <w:pPr>
              <w:spacing w:after="0"/>
              <w:rPr>
                <w:sz w:val="19"/>
                <w:szCs w:val="19"/>
                <w:color w:val="auto"/>
              </w:rPr>
            </w:pPr>
          </w:p>
        </w:tc>
      </w:tr>
      <w:tr>
        <w:trPr>
          <w:trHeight w:val="230"/>
        </w:trPr>
        <w:tc>
          <w:tcPr>
            <w:tcW w:w="8840" w:type="dxa"/>
            <w:vAlign w:val="bottom"/>
            <w:gridSpan w:val="4"/>
          </w:tcPr>
          <w:p>
            <w:pPr>
              <w:spacing w:after="0"/>
              <w:rPr>
                <w:sz w:val="20"/>
                <w:szCs w:val="20"/>
                <w:color w:val="auto"/>
              </w:rPr>
            </w:pPr>
            <w:r>
              <w:rPr>
                <w:rFonts w:ascii="Arial" w:cs="Arial" w:eastAsia="Arial" w:hAnsi="Arial"/>
                <w:sz w:val="20"/>
                <w:szCs w:val="20"/>
                <w:color w:val="auto"/>
              </w:rPr>
              <w:t>Schedule 6.04(b) -- Existing Investments</w:t>
            </w:r>
          </w:p>
        </w:tc>
        <w:tc>
          <w:tcPr>
            <w:tcW w:w="1920" w:type="dxa"/>
            <w:vAlign w:val="bottom"/>
          </w:tcPr>
          <w:p>
            <w:pPr>
              <w:spacing w:after="0"/>
              <w:rPr>
                <w:sz w:val="19"/>
                <w:szCs w:val="19"/>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w w:val="89"/>
              </w:rPr>
              <w:t>Schedule 6.10</w:t>
            </w:r>
          </w:p>
        </w:tc>
        <w:tc>
          <w:tcPr>
            <w:tcW w:w="7680" w:type="dxa"/>
            <w:vAlign w:val="bottom"/>
            <w:gridSpan w:val="3"/>
          </w:tcPr>
          <w:p>
            <w:pPr>
              <w:ind w:left="20"/>
              <w:spacing w:after="0"/>
              <w:rPr>
                <w:sz w:val="20"/>
                <w:szCs w:val="20"/>
                <w:color w:val="auto"/>
              </w:rPr>
            </w:pPr>
            <w:r>
              <w:rPr>
                <w:rFonts w:ascii="Arial" w:cs="Arial" w:eastAsia="Arial" w:hAnsi="Arial"/>
                <w:sz w:val="20"/>
                <w:szCs w:val="20"/>
                <w:color w:val="auto"/>
              </w:rPr>
              <w:t>-- Existing Restrictions</w:t>
            </w:r>
          </w:p>
        </w:tc>
        <w:tc>
          <w:tcPr>
            <w:tcW w:w="1920" w:type="dxa"/>
            <w:vAlign w:val="bottom"/>
          </w:tcPr>
          <w:p>
            <w:pPr>
              <w:spacing w:after="0"/>
              <w:rPr>
                <w:sz w:val="21"/>
                <w:szCs w:val="21"/>
                <w:color w:val="auto"/>
              </w:rPr>
            </w:pPr>
          </w:p>
        </w:tc>
      </w:tr>
    </w:tbl>
    <w:p>
      <w:pPr>
        <w:sectPr>
          <w:pgSz w:w="11900" w:h="16838" w:orient="portrait"/>
          <w:cols w:equalWidth="0" w:num="1">
            <w:col w:w="10760"/>
          </w:cols>
          <w:pgMar w:left="240" w:top="744" w:right="899" w:bottom="1440" w:gutter="0" w:footer="0" w:header="0"/>
        </w:sectPr>
      </w:pPr>
    </w:p>
    <w:bookmarkStart w:id="46" w:name="page47"/>
    <w:bookmarkEnd w:id="46"/>
    <w:p>
      <w:pPr>
        <w:ind w:left="5240"/>
        <w:spacing w:after="0"/>
        <w:rPr>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Exhibit A -- Form of Assignment and Assumption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Exhibit B -- Form of Opinion of Loan Parties’ Counsel</w:t>
      </w:r>
    </w:p>
    <w:p>
      <w:pPr>
        <w:spacing w:after="0"/>
        <w:rPr>
          <w:sz w:val="20"/>
          <w:szCs w:val="20"/>
          <w:color w:val="auto"/>
        </w:rPr>
      </w:pPr>
      <w:r>
        <w:rPr>
          <w:rFonts w:ascii="Arial" w:cs="Arial" w:eastAsia="Arial" w:hAnsi="Arial"/>
          <w:sz w:val="20"/>
          <w:szCs w:val="20"/>
          <w:color w:val="auto"/>
        </w:rPr>
        <w:t>Exhibit C -- Form of Borrowing Base Certificate</w:t>
      </w:r>
    </w:p>
    <w:p>
      <w:pPr>
        <w:spacing w:after="0"/>
        <w:rPr>
          <w:sz w:val="20"/>
          <w:szCs w:val="20"/>
          <w:color w:val="auto"/>
        </w:rPr>
      </w:pPr>
      <w:r>
        <w:rPr>
          <w:rFonts w:ascii="Arial" w:cs="Arial" w:eastAsia="Arial" w:hAnsi="Arial"/>
          <w:sz w:val="20"/>
          <w:szCs w:val="20"/>
          <w:color w:val="auto"/>
        </w:rPr>
        <w:t>Exhibit D -- Form of Compliance Certificate</w:t>
      </w:r>
    </w:p>
    <w:p>
      <w:pPr>
        <w:spacing w:after="0"/>
        <w:rPr>
          <w:sz w:val="20"/>
          <w:szCs w:val="20"/>
          <w:color w:val="auto"/>
        </w:rPr>
      </w:pPr>
      <w:r>
        <w:rPr>
          <w:rFonts w:ascii="Arial" w:cs="Arial" w:eastAsia="Arial" w:hAnsi="Arial"/>
          <w:sz w:val="20"/>
          <w:szCs w:val="20"/>
          <w:color w:val="auto"/>
        </w:rPr>
        <w:t>Exhibit E -- Joinder Agreement</w:t>
      </w:r>
    </w:p>
    <w:p>
      <w:pPr>
        <w:spacing w:after="0"/>
        <w:rPr>
          <w:sz w:val="20"/>
          <w:szCs w:val="20"/>
          <w:color w:val="auto"/>
        </w:rPr>
      </w:pPr>
      <w:r>
        <w:rPr>
          <w:rFonts w:ascii="Arial" w:cs="Arial" w:eastAsia="Arial" w:hAnsi="Arial"/>
          <w:sz w:val="18"/>
          <w:szCs w:val="18"/>
          <w:color w:val="auto"/>
        </w:rPr>
        <w:t xml:space="preserve">Exhibit F-1 -- U.S. Tax Certificate (For Foreign Lenders that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Partnerships for U.S. Federal Income Tax Purposes)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F-2 -- U.S. Tax Certificate (For Foreign Participants that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Partnerships for U.S. Federal Income Tax Purposes)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F-3 -- U.S. Tax Certificate (For Foreign Participants that </w:t>
      </w:r>
      <w:r>
        <w:rPr>
          <w:rFonts w:ascii="Arial" w:cs="Arial" w:eastAsia="Arial" w:hAnsi="Arial"/>
          <w:sz w:val="18"/>
          <w:szCs w:val="18"/>
          <w:u w:val="single" w:color="auto"/>
          <w:color w:val="auto"/>
        </w:rPr>
        <w:t>are</w:t>
      </w:r>
      <w:r>
        <w:rPr>
          <w:rFonts w:ascii="Arial" w:cs="Arial" w:eastAsia="Arial" w:hAnsi="Arial"/>
          <w:sz w:val="18"/>
          <w:szCs w:val="18"/>
          <w:color w:val="auto"/>
        </w:rPr>
        <w:t xml:space="preserve"> Partnerships for U.S. Federal Income Tax Purposes)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Exhibit F-4 -- U.S. Tax Certificate (For Foreign that </w:t>
      </w:r>
      <w:r>
        <w:rPr>
          <w:rFonts w:ascii="Arial" w:cs="Arial" w:eastAsia="Arial" w:hAnsi="Arial"/>
          <w:sz w:val="20"/>
          <w:szCs w:val="20"/>
          <w:u w:val="single" w:color="auto"/>
          <w:color w:val="auto"/>
        </w:rPr>
        <w:t>are</w:t>
      </w:r>
      <w:r>
        <w:rPr>
          <w:rFonts w:ascii="Arial" w:cs="Arial" w:eastAsia="Arial" w:hAnsi="Arial"/>
          <w:sz w:val="20"/>
          <w:szCs w:val="20"/>
          <w:color w:val="auto"/>
        </w:rPr>
        <w:t xml:space="preserve"> Partnerships for U.S. Federal Income Tax Purposes)</w:t>
      </w:r>
    </w:p>
    <w:p>
      <w:pPr>
        <w:sectPr>
          <w:pgSz w:w="11900" w:h="16838" w:orient="portrait"/>
          <w:cols w:equalWidth="0" w:num="1">
            <w:col w:w="10219"/>
          </w:cols>
          <w:pgMar w:left="240" w:top="582" w:right="1440" w:bottom="1440" w:gutter="0" w:footer="0" w:header="0"/>
        </w:sectPr>
      </w:pPr>
    </w:p>
    <w:bookmarkStart w:id="47" w:name="page48"/>
    <w:bookmarkEnd w:id="47"/>
    <w:p>
      <w:pPr>
        <w:jc w:val="both"/>
        <w:ind w:firstLine="648"/>
        <w:spacing w:after="0" w:line="250" w:lineRule="auto"/>
        <w:rPr>
          <w:sz w:val="20"/>
          <w:szCs w:val="20"/>
          <w:color w:val="auto"/>
        </w:rPr>
      </w:pPr>
      <w:r>
        <w:rPr>
          <w:rFonts w:ascii="Arial" w:cs="Arial" w:eastAsia="Arial" w:hAnsi="Arial"/>
          <w:sz w:val="20"/>
          <w:szCs w:val="20"/>
          <w:color w:val="auto"/>
        </w:rPr>
        <w:t>CREDIT AGREEMENT dated as of September 7, 2018 (as it may be amended or modified from time to time, this “</w:t>
      </w:r>
      <w:r>
        <w:rPr>
          <w:rFonts w:ascii="Arial" w:cs="Arial" w:eastAsia="Arial" w:hAnsi="Arial"/>
          <w:sz w:val="20"/>
          <w:szCs w:val="20"/>
          <w:u w:val="single" w:color="auto"/>
          <w:color w:val="auto"/>
        </w:rPr>
        <w:t>Agreement</w:t>
      </w:r>
      <w:r>
        <w:rPr>
          <w:rFonts w:ascii="Arial" w:cs="Arial" w:eastAsia="Arial" w:hAnsi="Arial"/>
          <w:sz w:val="20"/>
          <w:szCs w:val="20"/>
          <w:color w:val="auto"/>
        </w:rPr>
        <w:t>”) among VERA BRADLEY DESIGNS, INC., and any other Borrower party hereto from time to time, as Borrowers, the other Loan Parties party hereto, the Lenders party hereto, and JPMORGAN CHASE BANK, N.A., as Administrative Agent.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As used in this Agreement, the following terms have the meanings specified below:</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has the meaning assigned to such term in the Security Agreement, provided that Accounts shall not include Credit Card Accounts.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Debtor</w:t>
      </w:r>
      <w:r>
        <w:rPr>
          <w:rFonts w:ascii="Arial" w:cs="Arial" w:eastAsia="Arial" w:hAnsi="Arial"/>
          <w:sz w:val="20"/>
          <w:szCs w:val="20"/>
          <w:color w:val="auto"/>
        </w:rPr>
        <w:t>” means any Person obligated on an Account or Credit Card Account.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any series of related transactions, consummated on or after the Effective Date, by which any Loan Party (a) acquires any going business or all or substantially all of the assets of any Person or assets constituting a business unit, line of business or division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Reporting Period</w:t>
      </w:r>
      <w:r>
        <w:rPr>
          <w:rFonts w:ascii="Arial" w:cs="Arial" w:eastAsia="Arial" w:hAnsi="Arial"/>
          <w:sz w:val="18"/>
          <w:szCs w:val="18"/>
          <w:color w:val="auto"/>
        </w:rPr>
        <w:t>” means the period beginning on the date that Availability is less than the greater of (i) $10,000,000, and</w:t>
      </w:r>
    </w:p>
    <w:p>
      <w:pPr>
        <w:spacing w:after="0" w:line="39"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12.5% of the Aggregate Revolving Commitment, and ending on the date that Availability has been greater than the foregoing threshold for</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60 consecutive days.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means, with respect to any Eurodollar Borrowing for any Interest Period or for any CBFR Borrowing, an interest rate per annum (rounded upwards, if necessary, to the next 1/16 of 1%) equal to (a) the LIBO Rate for such Interest Period multiplied by (b) the Statutory Reserve Rate.</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One Month LIBOR Rate</w:t>
      </w:r>
      <w:r>
        <w:rPr>
          <w:rFonts w:ascii="Arial" w:cs="Arial" w:eastAsia="Arial" w:hAnsi="Arial"/>
          <w:sz w:val="20"/>
          <w:szCs w:val="20"/>
          <w:color w:val="auto"/>
        </w:rPr>
        <w:t xml:space="preserve">” means, for any day, an interest rate per annum equal to the sum of (i) 2.50% plus (ii) the Adjusted LIBO Rate for a one month interest period on such day (or if such day is not a Business Day,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Adjusted LIBO Rate for any day shall be based on the LIBO Screen Rate at approximately 11:00 a.m. London time on such day; provided further, that, if the LIBO Screen Rate at such time shall be less than zero, such rate shall be deemed to be zero for purposes of this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JPMorgan Chase Bank, N.A., in its capacity as administrative agent for the Lenders hereunder.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specified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Commitment</w:t>
      </w:r>
      <w:r>
        <w:rPr>
          <w:rFonts w:ascii="Arial" w:cs="Arial" w:eastAsia="Arial" w:hAnsi="Arial"/>
          <w:sz w:val="20"/>
          <w:szCs w:val="20"/>
          <w:color w:val="auto"/>
        </w:rPr>
        <w:t>” means, at any time, the aggregate of the Revolving Commitments of all</w:t>
      </w:r>
    </w:p>
    <w:p>
      <w:pPr>
        <w:sectPr>
          <w:pgSz w:w="11900" w:h="16838" w:orient="portrait"/>
          <w:cols w:equalWidth="0" w:num="1">
            <w:col w:w="11420"/>
          </w:cols>
          <w:pgMar w:left="240" w:top="798" w:right="23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20"/>
          <w:szCs w:val="20"/>
          <w:color w:val="auto"/>
        </w:rPr>
        <w:t>of the Lenders, as increased or reduced from time to time pursuant to the terms and conditions hereof. As of the Effective Date, the Aggregate Revolving Commitment is $75,000,000.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Exposure</w:t>
      </w:r>
      <w:r>
        <w:rPr>
          <w:rFonts w:ascii="Arial" w:cs="Arial" w:eastAsia="Arial" w:hAnsi="Arial"/>
          <w:sz w:val="20"/>
          <w:szCs w:val="20"/>
          <w:color w:val="auto"/>
        </w:rPr>
        <w:t>” means, at any time, the aggregate Revolving Exposure of all the Lenders at such time.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the Foreign Corrupt Practices Act of 1977, as amended, and the rules and regulations thereunder, the U.K. Bribery Act of 2010, as amended and all other laws, rules, and regulations of any jurisdiction applicable to any Loan Party or any of its Subsidiaries from time to time concerning or relating to bribery or corruption in any jurisdiction in which any Loan Party or its Subsidiaries or Affiliates is located or is doing business, and any Anti-Money Laundering Laws.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Anti-Money Laundering Laws</w:t>
      </w:r>
      <w:r>
        <w:rPr>
          <w:rFonts w:ascii="Arial" w:cs="Arial" w:eastAsia="Arial" w:hAnsi="Arial"/>
          <w:sz w:val="20"/>
          <w:szCs w:val="20"/>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Parties</w:t>
      </w:r>
      <w:r>
        <w:rPr>
          <w:rFonts w:ascii="Arial" w:cs="Arial" w:eastAsia="Arial" w:hAnsi="Arial"/>
          <w:sz w:val="20"/>
          <w:szCs w:val="20"/>
          <w:color w:val="auto"/>
        </w:rPr>
        <w:t>” has the meaning assigned to it in Section 8.03(c).</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(a) with respect to Revolving Loans, LC Exposure, Overadvances, or Swingline Loans, a percentage equal to a fraction the numerator of which is such Lender's Revolving Commitment and the denominator of which is the Aggregate Revolving Commitment provided that, if the Revolving Commitments have terminated or expired, the Applicable Percentages shall be determined based upon such Lender’s share of the Aggregate Revolving Exposure at the time of such termination or expiration, (b) [Reserved] and (c) with respect to Protective Advances or with respect to the Aggregate Revolving Exposure, a percentage based upon its share of the Aggregate Revolving Exposure and the unused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accordance with Section 2.20, so long as any Lender shall be a Defaulting Lender, such Defaulting Lender’s Commitment shall be disregarded in the calculations under clauses (a) and (c) above.</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means, for any day, with respect to any Loan, or with respect to the commitment fees payable hereunder, as the case may be, the applicable rate per annum set forth below under the caption “Revolver CBFR Spread”, “Revolver Eurodollar Spread”, or “Commitment Fee Rate”, as the case may be, based upon the Average Quarterly Availability during the most recently ended calendar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Rate” shall be the applicable rates per annum set forth below in Category 1 during the period from the Effective Date to, and including, the last day of the calendar quarter ending on December 31, 2018:</w:t>
      </w:r>
    </w:p>
    <w:p>
      <w:pPr>
        <w:sectPr>
          <w:pgSz w:w="11900" w:h="16838" w:orient="portrait"/>
          <w:cols w:equalWidth="0" w:num="1">
            <w:col w:w="11420"/>
          </w:cols>
          <w:pgMar w:left="240" w:top="582" w:right="239" w:bottom="1440" w:gutter="0" w:footer="0" w:header="0"/>
        </w:sectPr>
      </w:pPr>
    </w:p>
    <w:bookmarkStart w:id="49" w:name="page50"/>
    <w:bookmarkEnd w:id="49"/>
    <w:tbl>
      <w:tblPr>
        <w:tblLayout w:type="fixed"/>
        <w:tblInd w:w="2260" w:type="dxa"/>
        <w:tblCellMar>
          <w:top w:w="0" w:type="dxa"/>
          <w:left w:w="0" w:type="dxa"/>
          <w:bottom w:w="0" w:type="dxa"/>
          <w:right w:w="0" w:type="dxa"/>
        </w:tblCellMar>
      </w:tblPr>
      <w:tr>
        <w:trPr>
          <w:trHeight w:val="257"/>
        </w:trPr>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tcBorders>
            <w:shd w:val="clear" w:color="auto" w:fill="B3B3B3"/>
          </w:tcPr>
          <w:p>
            <w:pPr>
              <w:spacing w:after="0"/>
              <w:rPr>
                <w:sz w:val="22"/>
                <w:szCs w:val="22"/>
                <w:color w:val="auto"/>
              </w:rPr>
            </w:pPr>
          </w:p>
        </w:tc>
        <w:tc>
          <w:tcPr>
            <w:tcW w:w="260" w:type="dxa"/>
            <w:vAlign w:val="bottom"/>
            <w:tcBorders>
              <w:top w:val="single" w:sz="8" w:color="auto"/>
            </w:tcBorders>
            <w:shd w:val="clear" w:color="auto" w:fill="B3B3B3"/>
          </w:tcPr>
          <w:p>
            <w:pPr>
              <w:spacing w:after="0"/>
              <w:rPr>
                <w:sz w:val="22"/>
                <w:szCs w:val="22"/>
                <w:color w:val="auto"/>
              </w:rPr>
            </w:pPr>
          </w:p>
        </w:tc>
        <w:tc>
          <w:tcPr>
            <w:tcW w:w="20" w:type="dxa"/>
            <w:vAlign w:val="bottom"/>
            <w:tcBorders>
              <w:top w:val="single" w:sz="8" w:color="auto"/>
            </w:tcBorders>
            <w:shd w:val="clear" w:color="auto" w:fill="B3B3B3"/>
          </w:tcPr>
          <w:p>
            <w:pPr>
              <w:spacing w:after="0"/>
              <w:rPr>
                <w:sz w:val="22"/>
                <w:szCs w:val="22"/>
                <w:color w:val="auto"/>
              </w:rPr>
            </w:pPr>
          </w:p>
        </w:tc>
        <w:tc>
          <w:tcPr>
            <w:tcW w:w="880" w:type="dxa"/>
            <w:vAlign w:val="bottom"/>
            <w:tcBorders>
              <w:top w:val="single" w:sz="8" w:color="auto"/>
            </w:tcBorders>
            <w:shd w:val="clear" w:color="auto" w:fill="B3B3B3"/>
          </w:tcPr>
          <w:p>
            <w:pPr>
              <w:spacing w:after="0"/>
              <w:rPr>
                <w:sz w:val="22"/>
                <w:szCs w:val="22"/>
                <w:color w:val="auto"/>
              </w:rPr>
            </w:pPr>
          </w:p>
        </w:tc>
        <w:tc>
          <w:tcPr>
            <w:tcW w:w="20" w:type="dxa"/>
            <w:vAlign w:val="bottom"/>
            <w:tcBorders>
              <w:top w:val="single" w:sz="8" w:color="auto"/>
            </w:tcBorders>
            <w:shd w:val="clear" w:color="auto" w:fill="B3B3B3"/>
          </w:tcPr>
          <w:p>
            <w:pPr>
              <w:spacing w:after="0"/>
              <w:rPr>
                <w:sz w:val="22"/>
                <w:szCs w:val="22"/>
                <w:color w:val="auto"/>
              </w:rPr>
            </w:pPr>
          </w:p>
        </w:tc>
        <w:tc>
          <w:tcPr>
            <w:tcW w:w="280" w:type="dxa"/>
            <w:vAlign w:val="bottom"/>
            <w:tcBorders>
              <w:top w:val="single" w:sz="8" w:color="auto"/>
            </w:tcBorders>
            <w:shd w:val="clear" w:color="auto" w:fill="B3B3B3"/>
          </w:tcPr>
          <w:p>
            <w:pPr>
              <w:spacing w:after="0"/>
              <w:rPr>
                <w:sz w:val="22"/>
                <w:szCs w:val="22"/>
                <w:color w:val="auto"/>
              </w:rPr>
            </w:pPr>
          </w:p>
        </w:tc>
        <w:tc>
          <w:tcPr>
            <w:tcW w:w="200" w:type="dxa"/>
            <w:vAlign w:val="bottom"/>
            <w:tcBorders>
              <w:top w:val="single" w:sz="8" w:color="auto"/>
              <w:right w:val="single" w:sz="8" w:color="auto"/>
            </w:tcBorders>
            <w:shd w:val="clear" w:color="auto" w:fill="B3B3B3"/>
          </w:tcPr>
          <w:p>
            <w:pPr>
              <w:spacing w:after="0"/>
              <w:rPr>
                <w:sz w:val="22"/>
                <w:szCs w:val="22"/>
                <w:color w:val="auto"/>
              </w:rPr>
            </w:pPr>
          </w:p>
        </w:tc>
        <w:tc>
          <w:tcPr>
            <w:tcW w:w="440" w:type="dxa"/>
            <w:vAlign w:val="bottom"/>
            <w:tcBorders>
              <w:top w:val="single" w:sz="8" w:color="auto"/>
              <w:right w:val="single" w:sz="8" w:color="B3B3B3"/>
            </w:tcBorders>
            <w:shd w:val="clear" w:color="auto" w:fill="B3B3B3"/>
          </w:tcPr>
          <w:p>
            <w:pPr>
              <w:spacing w:after="0"/>
              <w:rPr>
                <w:sz w:val="22"/>
                <w:szCs w:val="22"/>
                <w:color w:val="auto"/>
              </w:rPr>
            </w:pPr>
          </w:p>
        </w:tc>
        <w:tc>
          <w:tcPr>
            <w:tcW w:w="1080" w:type="dxa"/>
            <w:vAlign w:val="bottom"/>
            <w:tcBorders>
              <w:top w:val="single" w:sz="8" w:color="auto"/>
              <w:right w:val="single" w:sz="8" w:color="auto"/>
            </w:tcBorders>
            <w:gridSpan w:val="2"/>
            <w:shd w:val="clear" w:color="auto" w:fill="B3B3B3"/>
          </w:tcPr>
          <w:p>
            <w:pPr>
              <w:jc w:val="center"/>
              <w:ind w:right="420"/>
              <w:spacing w:after="0"/>
              <w:rPr>
                <w:sz w:val="20"/>
                <w:szCs w:val="20"/>
                <w:color w:val="auto"/>
              </w:rPr>
            </w:pPr>
            <w:r>
              <w:rPr>
                <w:rFonts w:ascii="Arial" w:cs="Arial" w:eastAsia="Arial" w:hAnsi="Arial"/>
                <w:sz w:val="20"/>
                <w:szCs w:val="20"/>
                <w:color w:val="auto"/>
                <w:w w:val="83"/>
              </w:rPr>
              <w:t>Revolver</w:t>
            </w:r>
          </w:p>
        </w:tc>
        <w:tc>
          <w:tcPr>
            <w:tcW w:w="220" w:type="dxa"/>
            <w:vAlign w:val="bottom"/>
            <w:tcBorders>
              <w:top w:val="single" w:sz="8" w:color="auto"/>
            </w:tcBorders>
            <w:shd w:val="clear" w:color="auto" w:fill="B3B3B3"/>
          </w:tcPr>
          <w:p>
            <w:pPr>
              <w:spacing w:after="0"/>
              <w:rPr>
                <w:sz w:val="22"/>
                <w:szCs w:val="22"/>
                <w:color w:val="auto"/>
              </w:rPr>
            </w:pPr>
          </w:p>
        </w:tc>
        <w:tc>
          <w:tcPr>
            <w:tcW w:w="180" w:type="dxa"/>
            <w:vAlign w:val="bottom"/>
            <w:tcBorders>
              <w:top w:val="single" w:sz="8" w:color="auto"/>
            </w:tcBorders>
            <w:shd w:val="clear" w:color="auto" w:fill="B3B3B3"/>
          </w:tcPr>
          <w:p>
            <w:pPr>
              <w:spacing w:after="0"/>
              <w:rPr>
                <w:sz w:val="22"/>
                <w:szCs w:val="22"/>
                <w:color w:val="auto"/>
              </w:rPr>
            </w:pPr>
          </w:p>
        </w:tc>
        <w:tc>
          <w:tcPr>
            <w:tcW w:w="740" w:type="dxa"/>
            <w:vAlign w:val="bottom"/>
            <w:tcBorders>
              <w:top w:val="single" w:sz="8" w:color="auto"/>
            </w:tcBorders>
            <w:shd w:val="clear" w:color="auto" w:fill="B3B3B3"/>
          </w:tcPr>
          <w:p>
            <w:pPr>
              <w:spacing w:after="0"/>
              <w:rPr>
                <w:sz w:val="22"/>
                <w:szCs w:val="22"/>
                <w:color w:val="auto"/>
              </w:rPr>
            </w:pPr>
          </w:p>
        </w:tc>
        <w:tc>
          <w:tcPr>
            <w:tcW w:w="180" w:type="dxa"/>
            <w:vAlign w:val="bottom"/>
            <w:tcBorders>
              <w:top w:val="single" w:sz="8" w:color="auto"/>
            </w:tcBorders>
            <w:shd w:val="clear" w:color="auto" w:fill="B3B3B3"/>
          </w:tcPr>
          <w:p>
            <w:pPr>
              <w:spacing w:after="0"/>
              <w:rPr>
                <w:sz w:val="22"/>
                <w:szCs w:val="22"/>
                <w:color w:val="auto"/>
              </w:rPr>
            </w:pPr>
          </w:p>
        </w:tc>
        <w:tc>
          <w:tcPr>
            <w:tcW w:w="260" w:type="dxa"/>
            <w:vAlign w:val="bottom"/>
            <w:tcBorders>
              <w:top w:val="single" w:sz="8" w:color="auto"/>
              <w:right w:val="single" w:sz="8" w:color="auto"/>
            </w:tcBorders>
            <w:shd w:val="clear" w:color="auto" w:fill="B3B3B3"/>
          </w:tcPr>
          <w:p>
            <w:pPr>
              <w:spacing w:after="0"/>
              <w:rPr>
                <w:sz w:val="22"/>
                <w:szCs w:val="22"/>
                <w:color w:val="auto"/>
              </w:rPr>
            </w:pPr>
          </w:p>
        </w:tc>
        <w:tc>
          <w:tcPr>
            <w:tcW w:w="40" w:type="dxa"/>
            <w:vAlign w:val="bottom"/>
            <w:tcBorders>
              <w:top w:val="single" w:sz="8" w:color="auto"/>
            </w:tcBorders>
            <w:shd w:val="clear" w:color="auto" w:fill="B3B3B3"/>
          </w:tcPr>
          <w:p>
            <w:pPr>
              <w:spacing w:after="0"/>
              <w:rPr>
                <w:sz w:val="22"/>
                <w:szCs w:val="22"/>
                <w:color w:val="auto"/>
              </w:rPr>
            </w:pPr>
          </w:p>
        </w:tc>
        <w:tc>
          <w:tcPr>
            <w:tcW w:w="1880" w:type="dxa"/>
            <w:vAlign w:val="bottom"/>
            <w:tcBorders>
              <w:top w:val="single" w:sz="8" w:color="auto"/>
              <w:right w:val="single" w:sz="8" w:color="auto"/>
            </w:tcBorders>
            <w:shd w:val="clear" w:color="auto" w:fill="B3B3B3"/>
          </w:tcPr>
          <w:p>
            <w:pPr>
              <w:spacing w:after="0"/>
              <w:rPr>
                <w:sz w:val="22"/>
                <w:szCs w:val="22"/>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B3B3B3"/>
          </w:tcPr>
          <w:p>
            <w:pPr>
              <w:spacing w:after="0" w:line="20" w:lineRule="exact"/>
              <w:rPr>
                <w:sz w:val="1"/>
                <w:szCs w:val="1"/>
                <w:color w:val="auto"/>
              </w:rPr>
            </w:pPr>
          </w:p>
        </w:tc>
        <w:tc>
          <w:tcPr>
            <w:tcW w:w="880" w:type="dxa"/>
            <w:vAlign w:val="bottom"/>
            <w:shd w:val="clear" w:color="auto" w:fill="B3B3B3"/>
          </w:tcPr>
          <w:p>
            <w:pPr>
              <w:spacing w:after="0" w:line="20" w:lineRule="exact"/>
              <w:rPr>
                <w:sz w:val="1"/>
                <w:szCs w:val="1"/>
                <w:color w:val="auto"/>
              </w:rPr>
            </w:pPr>
          </w:p>
        </w:tc>
        <w:tc>
          <w:tcPr>
            <w:tcW w:w="500" w:type="dxa"/>
            <w:vAlign w:val="bottom"/>
            <w:tcBorders>
              <w:right w:val="single" w:sz="8" w:color="auto"/>
            </w:tcBorders>
            <w:gridSpan w:val="3"/>
            <w:shd w:val="clear" w:color="auto" w:fill="B3B3B3"/>
          </w:tcPr>
          <w:p>
            <w:pPr>
              <w:spacing w:after="0" w:line="20" w:lineRule="exact"/>
              <w:rPr>
                <w:sz w:val="1"/>
                <w:szCs w:val="1"/>
                <w:color w:val="auto"/>
              </w:rPr>
            </w:pPr>
          </w:p>
        </w:tc>
        <w:tc>
          <w:tcPr>
            <w:tcW w:w="440" w:type="dxa"/>
            <w:vAlign w:val="bottom"/>
            <w:tcBorders>
              <w:right w:val="single" w:sz="8" w:color="auto"/>
            </w:tcBorders>
            <w:shd w:val="clear" w:color="auto" w:fill="B3B3B3"/>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B3B3B3"/>
          </w:tcPr>
          <w:p>
            <w:pPr>
              <w:spacing w:after="0" w:line="20" w:lineRule="exact"/>
              <w:rPr>
                <w:sz w:val="1"/>
                <w:szCs w:val="1"/>
                <w:color w:val="auto"/>
              </w:rPr>
            </w:pPr>
          </w:p>
        </w:tc>
        <w:tc>
          <w:tcPr>
            <w:tcW w:w="220" w:type="dxa"/>
            <w:vAlign w:val="bottom"/>
            <w:shd w:val="clear" w:color="auto" w:fill="B3B3B3"/>
          </w:tcPr>
          <w:p>
            <w:pPr>
              <w:spacing w:after="0" w:line="20" w:lineRule="exact"/>
              <w:rPr>
                <w:sz w:val="1"/>
                <w:szCs w:val="1"/>
                <w:color w:val="auto"/>
              </w:rPr>
            </w:pPr>
          </w:p>
        </w:tc>
        <w:tc>
          <w:tcPr>
            <w:tcW w:w="180" w:type="dxa"/>
            <w:vAlign w:val="bottom"/>
            <w:shd w:val="clear" w:color="auto" w:fill="B3B3B3"/>
          </w:tcPr>
          <w:p>
            <w:pPr>
              <w:spacing w:after="0" w:line="20" w:lineRule="exact"/>
              <w:rPr>
                <w:sz w:val="1"/>
                <w:szCs w:val="1"/>
                <w:color w:val="auto"/>
              </w:rPr>
            </w:pPr>
          </w:p>
        </w:tc>
        <w:tc>
          <w:tcPr>
            <w:tcW w:w="740" w:type="dxa"/>
            <w:vAlign w:val="bottom"/>
            <w:shd w:val="clear" w:color="auto" w:fill="B3B3B3"/>
          </w:tcPr>
          <w:p>
            <w:pPr>
              <w:spacing w:after="0" w:line="20" w:lineRule="exact"/>
              <w:rPr>
                <w:sz w:val="1"/>
                <w:szCs w:val="1"/>
                <w:color w:val="auto"/>
              </w:rPr>
            </w:pPr>
          </w:p>
        </w:tc>
        <w:tc>
          <w:tcPr>
            <w:tcW w:w="180" w:type="dxa"/>
            <w:vAlign w:val="bottom"/>
            <w:shd w:val="clear" w:color="auto" w:fill="B3B3B3"/>
          </w:tcPr>
          <w:p>
            <w:pPr>
              <w:spacing w:after="0" w:line="20" w:lineRule="exact"/>
              <w:rPr>
                <w:sz w:val="1"/>
                <w:szCs w:val="1"/>
                <w:color w:val="auto"/>
              </w:rPr>
            </w:pPr>
          </w:p>
        </w:tc>
        <w:tc>
          <w:tcPr>
            <w:tcW w:w="260" w:type="dxa"/>
            <w:vAlign w:val="bottom"/>
            <w:tcBorders>
              <w:right w:val="single" w:sz="8" w:color="auto"/>
            </w:tcBorders>
            <w:shd w:val="clear" w:color="auto" w:fill="B3B3B3"/>
          </w:tcPr>
          <w:p>
            <w:pPr>
              <w:spacing w:after="0" w:line="20" w:lineRule="exact"/>
              <w:rPr>
                <w:sz w:val="1"/>
                <w:szCs w:val="1"/>
                <w:color w:val="auto"/>
              </w:rPr>
            </w:pPr>
          </w:p>
        </w:tc>
        <w:tc>
          <w:tcPr>
            <w:tcW w:w="40" w:type="dxa"/>
            <w:vAlign w:val="bottom"/>
            <w:shd w:val="clear" w:color="auto" w:fill="B3B3B3"/>
          </w:tcPr>
          <w:p>
            <w:pPr>
              <w:spacing w:after="0" w:line="20" w:lineRule="exact"/>
              <w:rPr>
                <w:sz w:val="1"/>
                <w:szCs w:val="1"/>
                <w:color w:val="auto"/>
              </w:rPr>
            </w:pPr>
          </w:p>
        </w:tc>
        <w:tc>
          <w:tcPr>
            <w:tcW w:w="1880" w:type="dxa"/>
            <w:vAlign w:val="bottom"/>
            <w:tcBorders>
              <w:right w:val="single" w:sz="8" w:color="auto"/>
            </w:tcBorders>
            <w:shd w:val="clear" w:color="auto" w:fill="B3B3B3"/>
          </w:tcPr>
          <w:p>
            <w:pPr>
              <w:spacing w:after="0" w:line="20" w:lineRule="exact"/>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860" w:type="dxa"/>
            <w:vAlign w:val="bottom"/>
            <w:tcBorders>
              <w:right w:val="single" w:sz="8" w:color="auto"/>
            </w:tcBorders>
            <w:gridSpan w:val="7"/>
            <w:shd w:val="clear" w:color="auto" w:fill="B3B3B3"/>
          </w:tcPr>
          <w:p>
            <w:pPr>
              <w:jc w:val="center"/>
              <w:spacing w:after="0" w:line="209" w:lineRule="exact"/>
              <w:rPr>
                <w:sz w:val="20"/>
                <w:szCs w:val="20"/>
                <w:color w:val="auto"/>
              </w:rPr>
            </w:pPr>
            <w:r>
              <w:rPr>
                <w:rFonts w:ascii="Arial" w:cs="Arial" w:eastAsia="Arial" w:hAnsi="Arial"/>
                <w:sz w:val="20"/>
                <w:szCs w:val="20"/>
                <w:color w:val="auto"/>
                <w:w w:val="89"/>
              </w:rPr>
              <w:t>Average Quarterly</w:t>
            </w:r>
          </w:p>
        </w:tc>
        <w:tc>
          <w:tcPr>
            <w:tcW w:w="440" w:type="dxa"/>
            <w:vAlign w:val="bottom"/>
            <w:tcBorders>
              <w:right w:val="single" w:sz="8" w:color="B3B3B3"/>
            </w:tcBorders>
            <w:shd w:val="clear" w:color="auto" w:fill="B3B3B3"/>
          </w:tcPr>
          <w:p>
            <w:pPr>
              <w:spacing w:after="0"/>
              <w:rPr>
                <w:sz w:val="18"/>
                <w:szCs w:val="18"/>
                <w:color w:val="auto"/>
              </w:rPr>
            </w:pPr>
          </w:p>
        </w:tc>
        <w:tc>
          <w:tcPr>
            <w:tcW w:w="1080" w:type="dxa"/>
            <w:vAlign w:val="bottom"/>
            <w:tcBorders>
              <w:right w:val="single" w:sz="8" w:color="auto"/>
            </w:tcBorders>
            <w:gridSpan w:val="2"/>
            <w:shd w:val="clear" w:color="auto" w:fill="B3B3B3"/>
          </w:tcPr>
          <w:p>
            <w:pPr>
              <w:jc w:val="center"/>
              <w:ind w:right="360"/>
              <w:spacing w:after="0" w:line="209" w:lineRule="exact"/>
              <w:rPr>
                <w:sz w:val="20"/>
                <w:szCs w:val="20"/>
                <w:color w:val="auto"/>
              </w:rPr>
            </w:pPr>
            <w:r>
              <w:rPr>
                <w:rFonts w:ascii="Arial" w:cs="Arial" w:eastAsia="Arial" w:hAnsi="Arial"/>
                <w:sz w:val="20"/>
                <w:szCs w:val="20"/>
                <w:color w:val="auto"/>
                <w:w w:val="78"/>
              </w:rPr>
              <w:t>Eurodollar</w:t>
            </w:r>
          </w:p>
        </w:tc>
        <w:tc>
          <w:tcPr>
            <w:tcW w:w="220" w:type="dxa"/>
            <w:vAlign w:val="bottom"/>
            <w:shd w:val="clear" w:color="auto" w:fill="B3B3B3"/>
          </w:tcPr>
          <w:p>
            <w:pPr>
              <w:spacing w:after="0"/>
              <w:rPr>
                <w:sz w:val="18"/>
                <w:szCs w:val="18"/>
                <w:color w:val="auto"/>
              </w:rPr>
            </w:pPr>
          </w:p>
        </w:tc>
        <w:tc>
          <w:tcPr>
            <w:tcW w:w="1360" w:type="dxa"/>
            <w:vAlign w:val="bottom"/>
            <w:tcBorders>
              <w:right w:val="single" w:sz="8" w:color="auto"/>
            </w:tcBorders>
            <w:gridSpan w:val="4"/>
            <w:shd w:val="clear" w:color="auto" w:fill="B3B3B3"/>
          </w:tcPr>
          <w:p>
            <w:pPr>
              <w:jc w:val="center"/>
              <w:ind w:right="260"/>
              <w:spacing w:after="0" w:line="209" w:lineRule="exact"/>
              <w:rPr>
                <w:sz w:val="20"/>
                <w:szCs w:val="20"/>
                <w:color w:val="auto"/>
              </w:rPr>
            </w:pPr>
            <w:r>
              <w:rPr>
                <w:rFonts w:ascii="Arial" w:cs="Arial" w:eastAsia="Arial" w:hAnsi="Arial"/>
                <w:sz w:val="20"/>
                <w:szCs w:val="20"/>
                <w:color w:val="auto"/>
                <w:w w:val="93"/>
              </w:rPr>
              <w:t>Revolver</w:t>
            </w:r>
          </w:p>
        </w:tc>
        <w:tc>
          <w:tcPr>
            <w:tcW w:w="40" w:type="dxa"/>
            <w:vAlign w:val="bottom"/>
            <w:shd w:val="clear" w:color="auto" w:fill="B3B3B3"/>
          </w:tcPr>
          <w:p>
            <w:pPr>
              <w:spacing w:after="0"/>
              <w:rPr>
                <w:sz w:val="18"/>
                <w:szCs w:val="18"/>
                <w:color w:val="auto"/>
              </w:rPr>
            </w:pPr>
          </w:p>
        </w:tc>
        <w:tc>
          <w:tcPr>
            <w:tcW w:w="1880" w:type="dxa"/>
            <w:vAlign w:val="bottom"/>
            <w:tcBorders>
              <w:right w:val="single" w:sz="8" w:color="auto"/>
            </w:tcBorders>
            <w:shd w:val="clear" w:color="auto" w:fill="B3B3B3"/>
          </w:tcPr>
          <w:p>
            <w:pPr>
              <w:spacing w:after="0"/>
              <w:rPr>
                <w:sz w:val="18"/>
                <w:szCs w:val="18"/>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B3B3B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B3B3B3"/>
          </w:tcPr>
          <w:p>
            <w:pPr>
              <w:spacing w:after="0" w:line="20" w:lineRule="exact"/>
              <w:rPr>
                <w:sz w:val="1"/>
                <w:szCs w:val="1"/>
                <w:color w:val="auto"/>
              </w:rPr>
            </w:pPr>
          </w:p>
        </w:tc>
        <w:tc>
          <w:tcPr>
            <w:tcW w:w="440" w:type="dxa"/>
            <w:vAlign w:val="bottom"/>
            <w:tcBorders>
              <w:right w:val="single" w:sz="8" w:color="auto"/>
            </w:tcBorders>
            <w:shd w:val="clear" w:color="auto" w:fill="B3B3B3"/>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B3B3B3"/>
          </w:tcPr>
          <w:p>
            <w:pPr>
              <w:spacing w:after="0" w:line="20" w:lineRule="exact"/>
              <w:rPr>
                <w:sz w:val="1"/>
                <w:szCs w:val="1"/>
                <w:color w:val="auto"/>
              </w:rPr>
            </w:pPr>
          </w:p>
        </w:tc>
        <w:tc>
          <w:tcPr>
            <w:tcW w:w="220" w:type="dxa"/>
            <w:vAlign w:val="bottom"/>
            <w:shd w:val="clear" w:color="auto" w:fill="B3B3B3"/>
          </w:tcPr>
          <w:p>
            <w:pPr>
              <w:spacing w:after="0" w:line="20" w:lineRule="exact"/>
              <w:rPr>
                <w:sz w:val="1"/>
                <w:szCs w:val="1"/>
                <w:color w:val="auto"/>
              </w:rPr>
            </w:pPr>
          </w:p>
        </w:tc>
        <w:tc>
          <w:tcPr>
            <w:tcW w:w="180" w:type="dxa"/>
            <w:vAlign w:val="bottom"/>
            <w:shd w:val="clear" w:color="auto" w:fill="B3B3B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B3B3B3"/>
          </w:tcPr>
          <w:p>
            <w:pPr>
              <w:spacing w:after="0" w:line="20" w:lineRule="exact"/>
              <w:rPr>
                <w:sz w:val="1"/>
                <w:szCs w:val="1"/>
                <w:color w:val="auto"/>
              </w:rPr>
            </w:pPr>
          </w:p>
        </w:tc>
        <w:tc>
          <w:tcPr>
            <w:tcW w:w="260" w:type="dxa"/>
            <w:vAlign w:val="bottom"/>
            <w:tcBorders>
              <w:right w:val="single" w:sz="8" w:color="auto"/>
            </w:tcBorders>
            <w:shd w:val="clear" w:color="auto" w:fill="B3B3B3"/>
          </w:tcPr>
          <w:p>
            <w:pPr>
              <w:spacing w:after="0" w:line="20" w:lineRule="exact"/>
              <w:rPr>
                <w:sz w:val="1"/>
                <w:szCs w:val="1"/>
                <w:color w:val="auto"/>
              </w:rPr>
            </w:pPr>
          </w:p>
        </w:tc>
        <w:tc>
          <w:tcPr>
            <w:tcW w:w="40" w:type="dxa"/>
            <w:vAlign w:val="bottom"/>
            <w:shd w:val="clear" w:color="auto" w:fill="B3B3B3"/>
          </w:tcPr>
          <w:p>
            <w:pPr>
              <w:spacing w:after="0" w:line="20" w:lineRule="exact"/>
              <w:rPr>
                <w:sz w:val="1"/>
                <w:szCs w:val="1"/>
                <w:color w:val="auto"/>
              </w:rPr>
            </w:pPr>
          </w:p>
        </w:tc>
        <w:tc>
          <w:tcPr>
            <w:tcW w:w="1880" w:type="dxa"/>
            <w:vAlign w:val="bottom"/>
            <w:tcBorders>
              <w:right w:val="single" w:sz="8" w:color="auto"/>
            </w:tcBorders>
            <w:shd w:val="clear" w:color="auto" w:fill="B3B3B3"/>
          </w:tcPr>
          <w:p>
            <w:pPr>
              <w:spacing w:after="0" w:line="20" w:lineRule="exact"/>
              <w:rPr>
                <w:sz w:val="1"/>
                <w:szCs w:val="1"/>
                <w:color w:val="auto"/>
              </w:rPr>
            </w:pPr>
          </w:p>
        </w:tc>
      </w:tr>
      <w:tr>
        <w:trPr>
          <w:trHeight w:val="277"/>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00" w:type="dxa"/>
            <w:vAlign w:val="bottom"/>
            <w:tcBorders>
              <w:bottom w:val="single" w:sz="8" w:color="auto"/>
            </w:tcBorders>
            <w:shd w:val="clear" w:color="auto" w:fill="B3B3B3"/>
          </w:tcPr>
          <w:p>
            <w:pPr>
              <w:spacing w:after="0"/>
              <w:rPr>
                <w:sz w:val="24"/>
                <w:szCs w:val="24"/>
                <w:color w:val="auto"/>
              </w:rPr>
            </w:pPr>
          </w:p>
        </w:tc>
        <w:tc>
          <w:tcPr>
            <w:tcW w:w="260" w:type="dxa"/>
            <w:vAlign w:val="bottom"/>
            <w:tcBorders>
              <w:bottom w:val="single" w:sz="8" w:color="auto"/>
            </w:tcBorders>
            <w:shd w:val="clear" w:color="auto" w:fill="B3B3B3"/>
          </w:tcPr>
          <w:p>
            <w:pPr>
              <w:spacing w:after="0"/>
              <w:rPr>
                <w:sz w:val="24"/>
                <w:szCs w:val="24"/>
                <w:color w:val="auto"/>
              </w:rPr>
            </w:pPr>
          </w:p>
        </w:tc>
        <w:tc>
          <w:tcPr>
            <w:tcW w:w="1200" w:type="dxa"/>
            <w:vAlign w:val="bottom"/>
            <w:tcBorders>
              <w:bottom w:val="single" w:sz="8" w:color="auto"/>
            </w:tcBorders>
            <w:gridSpan w:val="4"/>
            <w:shd w:val="clear" w:color="auto" w:fill="B3B3B3"/>
          </w:tcPr>
          <w:p>
            <w:pPr>
              <w:jc w:val="center"/>
              <w:ind w:right="280"/>
              <w:spacing w:after="0" w:line="209" w:lineRule="exact"/>
              <w:rPr>
                <w:sz w:val="20"/>
                <w:szCs w:val="20"/>
                <w:color w:val="auto"/>
              </w:rPr>
            </w:pPr>
            <w:r>
              <w:rPr>
                <w:rFonts w:ascii="Arial" w:cs="Arial" w:eastAsia="Arial" w:hAnsi="Arial"/>
                <w:sz w:val="20"/>
                <w:szCs w:val="20"/>
                <w:color w:val="auto"/>
                <w:w w:val="97"/>
              </w:rPr>
              <w:t>Availability</w:t>
            </w:r>
          </w:p>
        </w:tc>
        <w:tc>
          <w:tcPr>
            <w:tcW w:w="200" w:type="dxa"/>
            <w:vAlign w:val="bottom"/>
            <w:tcBorders>
              <w:bottom w:val="single" w:sz="8" w:color="auto"/>
              <w:right w:val="single" w:sz="8" w:color="auto"/>
            </w:tcBorders>
            <w:shd w:val="clear" w:color="auto" w:fill="B3B3B3"/>
          </w:tcPr>
          <w:p>
            <w:pPr>
              <w:spacing w:after="0"/>
              <w:rPr>
                <w:sz w:val="24"/>
                <w:szCs w:val="24"/>
                <w:color w:val="auto"/>
              </w:rPr>
            </w:pPr>
          </w:p>
        </w:tc>
        <w:tc>
          <w:tcPr>
            <w:tcW w:w="440" w:type="dxa"/>
            <w:vAlign w:val="bottom"/>
            <w:tcBorders>
              <w:bottom w:val="single" w:sz="8" w:color="auto"/>
              <w:right w:val="single" w:sz="8" w:color="B3B3B3"/>
            </w:tcBorders>
            <w:shd w:val="clear" w:color="auto" w:fill="B3B3B3"/>
          </w:tcPr>
          <w:p>
            <w:pPr>
              <w:spacing w:after="0"/>
              <w:rPr>
                <w:sz w:val="24"/>
                <w:szCs w:val="24"/>
                <w:color w:val="auto"/>
              </w:rPr>
            </w:pPr>
          </w:p>
        </w:tc>
        <w:tc>
          <w:tcPr>
            <w:tcW w:w="720" w:type="dxa"/>
            <w:vAlign w:val="bottom"/>
            <w:tcBorders>
              <w:bottom w:val="single" w:sz="8" w:color="auto"/>
              <w:right w:val="single" w:sz="8" w:color="B3B3B3"/>
            </w:tcBorders>
            <w:shd w:val="clear" w:color="auto" w:fill="B3B3B3"/>
          </w:tcPr>
          <w:p>
            <w:pPr>
              <w:jc w:val="center"/>
              <w:spacing w:after="0" w:line="209" w:lineRule="exact"/>
              <w:rPr>
                <w:sz w:val="20"/>
                <w:szCs w:val="20"/>
                <w:color w:val="auto"/>
              </w:rPr>
            </w:pPr>
            <w:r>
              <w:rPr>
                <w:rFonts w:ascii="Arial" w:cs="Arial" w:eastAsia="Arial" w:hAnsi="Arial"/>
                <w:sz w:val="20"/>
                <w:szCs w:val="20"/>
                <w:color w:val="auto"/>
                <w:w w:val="83"/>
              </w:rPr>
              <w:t>Spread</w:t>
            </w:r>
          </w:p>
        </w:tc>
        <w:tc>
          <w:tcPr>
            <w:tcW w:w="360" w:type="dxa"/>
            <w:vAlign w:val="bottom"/>
            <w:tcBorders>
              <w:bottom w:val="single" w:sz="8" w:color="auto"/>
              <w:right w:val="single" w:sz="8" w:color="auto"/>
            </w:tcBorders>
            <w:shd w:val="clear" w:color="auto" w:fill="B3B3B3"/>
          </w:tcPr>
          <w:p>
            <w:pPr>
              <w:spacing w:after="0"/>
              <w:rPr>
                <w:sz w:val="24"/>
                <w:szCs w:val="24"/>
                <w:color w:val="auto"/>
              </w:rPr>
            </w:pPr>
          </w:p>
        </w:tc>
        <w:tc>
          <w:tcPr>
            <w:tcW w:w="220" w:type="dxa"/>
            <w:vAlign w:val="bottom"/>
            <w:tcBorders>
              <w:bottom w:val="single" w:sz="8" w:color="auto"/>
            </w:tcBorders>
            <w:shd w:val="clear" w:color="auto" w:fill="B3B3B3"/>
          </w:tcPr>
          <w:p>
            <w:pPr>
              <w:spacing w:after="0"/>
              <w:rPr>
                <w:sz w:val="24"/>
                <w:szCs w:val="24"/>
                <w:color w:val="auto"/>
              </w:rPr>
            </w:pPr>
          </w:p>
        </w:tc>
        <w:tc>
          <w:tcPr>
            <w:tcW w:w="1360" w:type="dxa"/>
            <w:vAlign w:val="bottom"/>
            <w:tcBorders>
              <w:bottom w:val="single" w:sz="8" w:color="auto"/>
              <w:right w:val="single" w:sz="8" w:color="auto"/>
            </w:tcBorders>
            <w:gridSpan w:val="4"/>
            <w:shd w:val="clear" w:color="auto" w:fill="B3B3B3"/>
          </w:tcPr>
          <w:p>
            <w:pPr>
              <w:jc w:val="center"/>
              <w:ind w:right="260"/>
              <w:spacing w:after="0" w:line="209" w:lineRule="exact"/>
              <w:rPr>
                <w:sz w:val="20"/>
                <w:szCs w:val="20"/>
                <w:color w:val="auto"/>
              </w:rPr>
            </w:pPr>
            <w:r>
              <w:rPr>
                <w:rFonts w:ascii="Arial" w:cs="Arial" w:eastAsia="Arial" w:hAnsi="Arial"/>
                <w:sz w:val="20"/>
                <w:szCs w:val="20"/>
                <w:color w:val="auto"/>
                <w:w w:val="88"/>
              </w:rPr>
              <w:t>CBFR Spread</w:t>
            </w:r>
          </w:p>
        </w:tc>
        <w:tc>
          <w:tcPr>
            <w:tcW w:w="1920" w:type="dxa"/>
            <w:vAlign w:val="bottom"/>
            <w:tcBorders>
              <w:bottom w:val="single" w:sz="8" w:color="auto"/>
              <w:right w:val="single" w:sz="8" w:color="auto"/>
            </w:tcBorders>
            <w:gridSpan w:val="2"/>
            <w:shd w:val="clear" w:color="auto" w:fill="B3B3B3"/>
          </w:tcPr>
          <w:p>
            <w:pPr>
              <w:ind w:left="40"/>
              <w:spacing w:after="0" w:line="209" w:lineRule="exact"/>
              <w:rPr>
                <w:sz w:val="20"/>
                <w:szCs w:val="20"/>
                <w:color w:val="auto"/>
              </w:rPr>
            </w:pPr>
            <w:r>
              <w:rPr>
                <w:rFonts w:ascii="Arial" w:cs="Arial" w:eastAsia="Arial" w:hAnsi="Arial"/>
                <w:sz w:val="20"/>
                <w:szCs w:val="20"/>
                <w:color w:val="auto"/>
                <w:w w:val="91"/>
              </w:rPr>
              <w:t>Commitment Fee Rate</w:t>
            </w: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Category 1</w:t>
            </w:r>
          </w:p>
        </w:tc>
        <w:tc>
          <w:tcPr>
            <w:tcW w:w="500" w:type="dxa"/>
            <w:vAlign w:val="bottom"/>
            <w:tcBorders>
              <w:right w:val="single" w:sz="8" w:color="auto"/>
            </w:tcBorders>
            <w:gridSpan w:val="3"/>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Borders>
              <w:right w:val="single" w:sz="8" w:color="auto"/>
            </w:tcBorders>
            <w:gridSpan w:val="4"/>
          </w:tcPr>
          <w:p>
            <w:pPr>
              <w:jc w:val="center"/>
              <w:ind w:right="440"/>
              <w:spacing w:after="0"/>
              <w:rPr>
                <w:sz w:val="20"/>
                <w:szCs w:val="20"/>
                <w:color w:val="auto"/>
              </w:rPr>
            </w:pPr>
            <w:r>
              <w:rPr>
                <w:rFonts w:ascii="Arial" w:cs="Arial" w:eastAsia="Arial" w:hAnsi="Arial"/>
                <w:sz w:val="20"/>
                <w:szCs w:val="20"/>
                <w:color w:val="auto"/>
                <w:w w:val="89"/>
              </w:rPr>
              <w:t>50% of the</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860" w:type="dxa"/>
            <w:vAlign w:val="bottom"/>
            <w:tcBorders>
              <w:right w:val="single" w:sz="8" w:color="auto"/>
            </w:tcBorders>
            <w:gridSpan w:val="7"/>
          </w:tcPr>
          <w:p>
            <w:pPr>
              <w:jc w:val="center"/>
              <w:spacing w:after="0"/>
              <w:rPr>
                <w:sz w:val="20"/>
                <w:szCs w:val="20"/>
                <w:color w:val="auto"/>
              </w:rPr>
            </w:pPr>
            <w:r>
              <w:rPr>
                <w:rFonts w:ascii="Arial" w:cs="Arial" w:eastAsia="Arial" w:hAnsi="Arial"/>
                <w:sz w:val="20"/>
                <w:szCs w:val="20"/>
                <w:color w:val="auto"/>
                <w:w w:val="91"/>
              </w:rPr>
              <w:t>Aggregate Revolving</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20"/>
                <w:szCs w:val="20"/>
                <w:color w:val="auto"/>
                <w:w w:val="91"/>
              </w:rPr>
              <w:t>Commitment</w:t>
            </w:r>
          </w:p>
        </w:tc>
        <w:tc>
          <w:tcPr>
            <w:tcW w:w="1160" w:type="dxa"/>
            <w:vAlign w:val="bottom"/>
            <w:gridSpan w:val="2"/>
          </w:tcPr>
          <w:p>
            <w:pPr>
              <w:jc w:val="right"/>
              <w:ind w:right="521"/>
              <w:spacing w:after="0"/>
              <w:rPr>
                <w:sz w:val="20"/>
                <w:szCs w:val="20"/>
                <w:color w:val="auto"/>
              </w:rPr>
            </w:pPr>
            <w:r>
              <w:rPr>
                <w:rFonts w:ascii="Arial" w:cs="Arial" w:eastAsia="Arial" w:hAnsi="Arial"/>
                <w:sz w:val="20"/>
                <w:szCs w:val="20"/>
                <w:color w:val="auto"/>
                <w:w w:val="91"/>
              </w:rPr>
              <w:t>1.00%</w:t>
            </w:r>
          </w:p>
        </w:tc>
        <w:tc>
          <w:tcPr>
            <w:tcW w:w="360" w:type="dxa"/>
            <w:vAlign w:val="bottom"/>
            <w:tcBorders>
              <w:right w:val="single" w:sz="8" w:color="auto"/>
            </w:tcBorders>
          </w:tcPr>
          <w:p>
            <w:pPr>
              <w:spacing w:after="0"/>
              <w:rPr>
                <w:sz w:val="21"/>
                <w:szCs w:val="21"/>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20"/>
                <w:szCs w:val="20"/>
                <w:color w:val="auto"/>
                <w:w w:val="91"/>
              </w:rPr>
              <w:t>-1.50%</w:t>
            </w:r>
          </w:p>
        </w:tc>
        <w:tc>
          <w:tcPr>
            <w:tcW w:w="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0.10%</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Category 2</w:t>
            </w:r>
          </w:p>
        </w:tc>
        <w:tc>
          <w:tcPr>
            <w:tcW w:w="500" w:type="dxa"/>
            <w:vAlign w:val="bottom"/>
            <w:tcBorders>
              <w:right w:val="single" w:sz="8" w:color="auto"/>
            </w:tcBorders>
            <w:gridSpan w:val="3"/>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20"/>
                <w:szCs w:val="20"/>
                <w:color w:val="auto"/>
                <w:w w:val="92"/>
              </w:rPr>
              <w:t>≤ 50% of the</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860" w:type="dxa"/>
            <w:vAlign w:val="bottom"/>
            <w:tcBorders>
              <w:right w:val="single" w:sz="8" w:color="auto"/>
            </w:tcBorders>
            <w:gridSpan w:val="7"/>
          </w:tcPr>
          <w:p>
            <w:pPr>
              <w:jc w:val="center"/>
              <w:spacing w:after="0"/>
              <w:rPr>
                <w:sz w:val="20"/>
                <w:szCs w:val="20"/>
                <w:color w:val="auto"/>
              </w:rPr>
            </w:pPr>
            <w:r>
              <w:rPr>
                <w:rFonts w:ascii="Arial" w:cs="Arial" w:eastAsia="Arial" w:hAnsi="Arial"/>
                <w:sz w:val="20"/>
                <w:szCs w:val="20"/>
                <w:color w:val="auto"/>
                <w:w w:val="91"/>
              </w:rPr>
              <w:t>Aggregate Revolving</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20"/>
                <w:szCs w:val="20"/>
                <w:color w:val="auto"/>
                <w:w w:val="92"/>
              </w:rPr>
              <w:t>Commitment but</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right w:val="single" w:sz="8" w:color="auto"/>
            </w:tcBorders>
            <w:gridSpan w:val="4"/>
          </w:tcPr>
          <w:p>
            <w:pPr>
              <w:jc w:val="center"/>
              <w:ind w:right="440"/>
              <w:spacing w:after="0"/>
              <w:rPr>
                <w:sz w:val="20"/>
                <w:szCs w:val="20"/>
                <w:color w:val="auto"/>
              </w:rPr>
            </w:pPr>
            <w:r>
              <w:rPr>
                <w:rFonts w:ascii="Arial" w:cs="Arial" w:eastAsia="Arial" w:hAnsi="Arial"/>
                <w:sz w:val="20"/>
                <w:szCs w:val="20"/>
                <w:color w:val="auto"/>
                <w:w w:val="89"/>
              </w:rPr>
              <w:t>25% of the</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860" w:type="dxa"/>
            <w:vAlign w:val="bottom"/>
            <w:tcBorders>
              <w:right w:val="single" w:sz="8" w:color="auto"/>
            </w:tcBorders>
            <w:gridSpan w:val="7"/>
          </w:tcPr>
          <w:p>
            <w:pPr>
              <w:jc w:val="center"/>
              <w:spacing w:after="0"/>
              <w:rPr>
                <w:sz w:val="20"/>
                <w:szCs w:val="20"/>
                <w:color w:val="auto"/>
              </w:rPr>
            </w:pPr>
            <w:r>
              <w:rPr>
                <w:rFonts w:ascii="Arial" w:cs="Arial" w:eastAsia="Arial" w:hAnsi="Arial"/>
                <w:sz w:val="20"/>
                <w:szCs w:val="20"/>
                <w:color w:val="auto"/>
                <w:w w:val="91"/>
              </w:rPr>
              <w:t>Aggregate Revolving</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20"/>
                <w:szCs w:val="20"/>
                <w:color w:val="auto"/>
                <w:w w:val="91"/>
              </w:rPr>
              <w:t>Commitment</w:t>
            </w:r>
          </w:p>
        </w:tc>
        <w:tc>
          <w:tcPr>
            <w:tcW w:w="1160" w:type="dxa"/>
            <w:vAlign w:val="bottom"/>
            <w:gridSpan w:val="2"/>
          </w:tcPr>
          <w:p>
            <w:pPr>
              <w:jc w:val="right"/>
              <w:ind w:right="521"/>
              <w:spacing w:after="0"/>
              <w:rPr>
                <w:sz w:val="20"/>
                <w:szCs w:val="20"/>
                <w:color w:val="auto"/>
              </w:rPr>
            </w:pPr>
            <w:r>
              <w:rPr>
                <w:rFonts w:ascii="Arial" w:cs="Arial" w:eastAsia="Arial" w:hAnsi="Arial"/>
                <w:sz w:val="20"/>
                <w:szCs w:val="20"/>
                <w:color w:val="auto"/>
                <w:w w:val="91"/>
              </w:rPr>
              <w:t>1.15%</w:t>
            </w:r>
          </w:p>
        </w:tc>
        <w:tc>
          <w:tcPr>
            <w:tcW w:w="360" w:type="dxa"/>
            <w:vAlign w:val="bottom"/>
            <w:tcBorders>
              <w:right w:val="single" w:sz="8" w:color="auto"/>
            </w:tcBorders>
          </w:tcPr>
          <w:p>
            <w:pPr>
              <w:spacing w:after="0"/>
              <w:rPr>
                <w:sz w:val="21"/>
                <w:szCs w:val="21"/>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20"/>
                <w:szCs w:val="20"/>
                <w:color w:val="auto"/>
                <w:w w:val="91"/>
              </w:rPr>
              <w:t>-1.25%</w:t>
            </w:r>
          </w:p>
        </w:tc>
        <w:tc>
          <w:tcPr>
            <w:tcW w:w="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0.15%</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Category 3</w:t>
            </w:r>
          </w:p>
        </w:tc>
        <w:tc>
          <w:tcPr>
            <w:tcW w:w="500" w:type="dxa"/>
            <w:vAlign w:val="bottom"/>
            <w:tcBorders>
              <w:right w:val="single" w:sz="8" w:color="auto"/>
            </w:tcBorders>
            <w:gridSpan w:val="3"/>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20"/>
                <w:szCs w:val="20"/>
                <w:color w:val="auto"/>
                <w:w w:val="92"/>
              </w:rPr>
              <w:t>≤ 25% of the</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860" w:type="dxa"/>
            <w:vAlign w:val="bottom"/>
            <w:tcBorders>
              <w:right w:val="single" w:sz="8" w:color="auto"/>
            </w:tcBorders>
            <w:gridSpan w:val="7"/>
          </w:tcPr>
          <w:p>
            <w:pPr>
              <w:jc w:val="center"/>
              <w:spacing w:after="0"/>
              <w:rPr>
                <w:sz w:val="20"/>
                <w:szCs w:val="20"/>
                <w:color w:val="auto"/>
              </w:rPr>
            </w:pPr>
            <w:r>
              <w:rPr>
                <w:rFonts w:ascii="Arial" w:cs="Arial" w:eastAsia="Arial" w:hAnsi="Arial"/>
                <w:sz w:val="20"/>
                <w:szCs w:val="20"/>
                <w:color w:val="auto"/>
                <w:w w:val="91"/>
              </w:rPr>
              <w:t>Aggregate Revolving</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20"/>
                <w:szCs w:val="20"/>
                <w:color w:val="auto"/>
                <w:w w:val="91"/>
              </w:rPr>
              <w:t>Commitment</w:t>
            </w:r>
          </w:p>
        </w:tc>
        <w:tc>
          <w:tcPr>
            <w:tcW w:w="1160" w:type="dxa"/>
            <w:vAlign w:val="bottom"/>
            <w:gridSpan w:val="2"/>
          </w:tcPr>
          <w:p>
            <w:pPr>
              <w:jc w:val="right"/>
              <w:ind w:right="521"/>
              <w:spacing w:after="0"/>
              <w:rPr>
                <w:sz w:val="20"/>
                <w:szCs w:val="20"/>
                <w:color w:val="auto"/>
              </w:rPr>
            </w:pPr>
            <w:r>
              <w:rPr>
                <w:rFonts w:ascii="Arial" w:cs="Arial" w:eastAsia="Arial" w:hAnsi="Arial"/>
                <w:sz w:val="20"/>
                <w:szCs w:val="20"/>
                <w:color w:val="auto"/>
                <w:w w:val="91"/>
              </w:rPr>
              <w:t>1.30%</w:t>
            </w:r>
          </w:p>
        </w:tc>
        <w:tc>
          <w:tcPr>
            <w:tcW w:w="360" w:type="dxa"/>
            <w:vAlign w:val="bottom"/>
            <w:tcBorders>
              <w:right w:val="single" w:sz="8" w:color="auto"/>
            </w:tcBorders>
          </w:tcPr>
          <w:p>
            <w:pPr>
              <w:spacing w:after="0"/>
              <w:rPr>
                <w:sz w:val="21"/>
                <w:szCs w:val="21"/>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20"/>
                <w:szCs w:val="20"/>
                <w:color w:val="auto"/>
                <w:w w:val="91"/>
              </w:rPr>
              <w:t>-1.00%</w:t>
            </w:r>
          </w:p>
        </w:tc>
        <w:tc>
          <w:tcPr>
            <w:tcW w:w="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0.20%</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purposes of the foregoing, each change in the Applicable Rate resulting from a change in Average Quarterly Availability shall be effective during the period commencing on and including the first day of each calendar quarter and ending on the last day of such calendar quarter, it being understood and agreed that, for purposes of determining the Applicable Rate on the first day of any calendar quarter, the Average Quarterly Availability during the most recently ended calendar quarter shall be used. Notwithstanding the foregoing, the Average Quarterly Availability shall be deemed to be in Category 3 (A) at any time that an Event of Default has occurred and is continuing or (B) at the option of the Administrative Agent or at the request of the Required Lenders if the Borrowers fail to deliver any Borrowing Base Certificate or related information required to be delivered by them pursuant to Section 5.01, during the period from the expiration of the time for delivery thereof until five days after each such Borrowing Base Certificate and related information is so delivered.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has the meaning assigned to it in Section 8.03(a).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has the meaning assigned to such term in Section 9.04.</w:t>
      </w:r>
    </w:p>
    <w:p>
      <w:pPr>
        <w:spacing w:after="0" w:line="216" w:lineRule="exact"/>
        <w:rPr>
          <w:sz w:val="20"/>
          <w:szCs w:val="20"/>
          <w:color w:val="auto"/>
        </w:rPr>
      </w:pPr>
    </w:p>
    <w:p>
      <w:pPr>
        <w:ind w:right="32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JPMorgan Chase Bank, N.A. in its capacity as sole bookrunner and sole lead arranger hereunder.</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means, at any time, an amount equal to (a) the lesser of (i) the Aggregate Revolving Commitment and (ii) the Borrowing Base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(b) the Aggregate Revolving Exposure (calculated, with respect to any Defaulting Lender, as if such Defaulting Lender had funded its Applicable Percentage of all outstanding Borrowings).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the period from and including the Effective Date to but excluding the earlier of the Maturity Date and the date of termination of the Commitments.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Revolving Commitment</w:t>
      </w:r>
      <w:r>
        <w:rPr>
          <w:rFonts w:ascii="Arial" w:cs="Arial" w:eastAsia="Arial" w:hAnsi="Arial"/>
          <w:sz w:val="20"/>
          <w:szCs w:val="20"/>
          <w:color w:val="auto"/>
        </w:rPr>
        <w:t xml:space="preserve">” means, at any time, the Aggregate Revolving Commitment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the Aggregate Revolving Exposure (calculated, with respect to any Defaulting Lender, as if such Defaulting Lender had funded its Applicable Percentage of all outstanding Borrowings).</w:t>
      </w:r>
    </w:p>
    <w:p>
      <w:pPr>
        <w:sectPr>
          <w:pgSz w:w="11900" w:h="16838" w:orient="portrait"/>
          <w:cols w:equalWidth="0" w:num="1">
            <w:col w:w="11420"/>
          </w:cols>
          <w:pgMar w:left="240" w:top="714" w:right="239" w:bottom="1440" w:gutter="0" w:footer="0" w:header="0"/>
        </w:sectPr>
      </w:pPr>
    </w:p>
    <w:bookmarkStart w:id="50" w:name="page51"/>
    <w:bookmarkEnd w:id="50"/>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Quarterly Availability</w:t>
      </w:r>
      <w:r>
        <w:rPr>
          <w:rFonts w:ascii="Arial" w:cs="Arial" w:eastAsia="Arial" w:hAnsi="Arial"/>
          <w:sz w:val="19"/>
          <w:szCs w:val="19"/>
          <w:color w:val="auto"/>
        </w:rPr>
        <w:t xml:space="preserve">” means, for any calendar quarter, an amount equal to the average daily Availability during such calendar quarter, as determined by the Administrative Agent’s system of records; </w:t>
      </w:r>
      <w:r>
        <w:rPr>
          <w:rFonts w:ascii="Arial" w:cs="Arial" w:eastAsia="Arial" w:hAnsi="Arial"/>
          <w:sz w:val="19"/>
          <w:szCs w:val="19"/>
          <w:u w:val="single" w:color="auto"/>
          <w:color w:val="auto"/>
        </w:rPr>
        <w:t>provided</w:t>
      </w:r>
      <w:r>
        <w:rPr>
          <w:rFonts w:ascii="Arial" w:cs="Arial" w:eastAsia="Arial" w:hAnsi="Arial"/>
          <w:sz w:val="19"/>
          <w:szCs w:val="19"/>
          <w:color w:val="auto"/>
        </w:rPr>
        <w:t>, that in order to determine Availability on any day for purposes of this definition, Borrower’s Borrowing Base for such day shall be determined by reference to the most recent each Borrowing Base Certificate delivered to the Administrative Agent pursuant to Section 5.01 as of such day.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any Loan Party or its Subsidiaries by any Lender or any of its Affiliates: (a) credit cards for commercial customers (including, without limitation, “commercial credit cards” and purchasing cards),</w:t>
      </w:r>
    </w:p>
    <w:p>
      <w:pPr>
        <w:spacing w:after="0" w:line="1" w:lineRule="exact"/>
        <w:rPr>
          <w:sz w:val="20"/>
          <w:szCs w:val="20"/>
          <w:color w:val="auto"/>
        </w:rPr>
      </w:pPr>
    </w:p>
    <w:p>
      <w:pPr>
        <w:jc w:val="both"/>
        <w:ind w:firstLine="8"/>
        <w:spacing w:after="0" w:line="241" w:lineRule="auto"/>
        <w:tabs>
          <w:tab w:leader="none" w:pos="319" w:val="left"/>
        </w:tabs>
        <w:numPr>
          <w:ilvl w:val="0"/>
          <w:numId w:val="27"/>
        </w:numPr>
        <w:rPr>
          <w:rFonts w:ascii="Arial" w:cs="Arial" w:eastAsia="Arial" w:hAnsi="Arial"/>
          <w:sz w:val="20"/>
          <w:szCs w:val="20"/>
          <w:color w:val="auto"/>
        </w:rPr>
      </w:pPr>
      <w:r>
        <w:rPr>
          <w:rFonts w:ascii="Arial" w:cs="Arial" w:eastAsia="Arial" w:hAnsi="Arial"/>
          <w:sz w:val="20"/>
          <w:szCs w:val="20"/>
          <w:color w:val="auto"/>
        </w:rPr>
        <w:t>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Obligations</w:t>
      </w:r>
      <w:r>
        <w:rPr>
          <w:rFonts w:ascii="Arial" w:cs="Arial" w:eastAsia="Arial" w:hAnsi="Arial"/>
          <w:sz w:val="20"/>
          <w:szCs w:val="20"/>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Reserves</w:t>
      </w:r>
      <w:r>
        <w:rPr>
          <w:rFonts w:ascii="Arial" w:cs="Arial" w:eastAsia="Arial" w:hAnsi="Arial"/>
          <w:sz w:val="20"/>
          <w:szCs w:val="20"/>
          <w:color w:val="auto"/>
        </w:rPr>
        <w:t>” means all Reserves which the Administrative Agent from time to time establishes in its Permitted Discretion for Banking Services then provided or outstanding.</w:t>
      </w:r>
    </w:p>
    <w:p>
      <w:pPr>
        <w:spacing w:after="0" w:line="177" w:lineRule="exact"/>
        <w:rPr>
          <w:sz w:val="20"/>
          <w:szCs w:val="20"/>
          <w:color w:val="auto"/>
        </w:rPr>
      </w:pPr>
    </w:p>
    <w:p>
      <w:pPr>
        <w:ind w:right="3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entitled “Bankruptcy”, as now and hereafter in effect, or any successor statute.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w:t>
      </w:r>
    </w:p>
    <w:p>
      <w:pPr>
        <w:spacing w:after="0" w:line="39" w:lineRule="exact"/>
        <w:rPr>
          <w:sz w:val="20"/>
          <w:szCs w:val="20"/>
          <w:color w:val="auto"/>
        </w:rPr>
      </w:pPr>
    </w:p>
    <w:p>
      <w:pPr>
        <w:jc w:val="both"/>
        <w:ind w:firstLine="8"/>
        <w:spacing w:after="0" w:line="241" w:lineRule="auto"/>
        <w:tabs>
          <w:tab w:leader="none" w:pos="293"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or “</w:t>
      </w:r>
      <w:r>
        <w:rPr>
          <w:rFonts w:ascii="Arial" w:cs="Arial" w:eastAsia="Arial" w:hAnsi="Arial"/>
          <w:sz w:val="20"/>
          <w:szCs w:val="20"/>
          <w:u w:val="single" w:color="auto"/>
          <w:color w:val="auto"/>
        </w:rPr>
        <w:t>Borrowers</w:t>
      </w:r>
      <w:r>
        <w:rPr>
          <w:rFonts w:ascii="Arial" w:cs="Arial" w:eastAsia="Arial" w:hAnsi="Arial"/>
          <w:sz w:val="20"/>
          <w:szCs w:val="20"/>
          <w:color w:val="auto"/>
        </w:rPr>
        <w:t>” means, individually or collectively, the Company, the Company’s Domestic</w:t>
      </w:r>
    </w:p>
    <w:p>
      <w:pPr>
        <w:sectPr>
          <w:pgSz w:w="11900" w:h="16838" w:orient="portrait"/>
          <w:cols w:equalWidth="0" w:num="1">
            <w:col w:w="11420"/>
          </w:cols>
          <w:pgMar w:left="240" w:top="798" w:right="2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Subsidiaries, and any other Borrower party hereto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has the meaning assigned to such term in Section 11.01.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Loans of the same Type, made, converted or continued on the same date and, in the case of Eurodollar Loans, as to which a single Interest Period is in effect, (b) [Reserved], (c) a Swingline Loan, (d) a Protective Advance, and (e) an Overadvance.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w:t>
      </w:r>
      <w:r>
        <w:rPr>
          <w:rFonts w:ascii="Arial" w:cs="Arial" w:eastAsia="Arial" w:hAnsi="Arial"/>
          <w:sz w:val="19"/>
          <w:szCs w:val="19"/>
          <w:color w:val="auto"/>
        </w:rPr>
        <w:t xml:space="preserve">” means, at any time, the sum of (a) 85% of the Borrowers’ Eligible Accounts (other than Specified Eligible Accounts) at such time,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(b) 90% of the Borrowers’ Specified Eligible Accounts at such time,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(c) the product of the Designated Seasonal Percentage at such time,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Net Orderly Liquidation Value percentage identified in the most recent inventory appraisal ordered by the Administrative Agent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Borrowers’ Eligible Inventory, valued at the lower of cost or market value, determined on a first-in-first-out basis,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(c) Reserves. The Administrative Agent may, in its Permitted Discretion, reduce the advance rates set forth above, adjust Reserves or reduce one or more of the other elements used in computing the Borrowing Base.</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signed and certified as accurate and complete by a Financial Officer of the Borrower Representative,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another form which is acceptable to the Administrative Agent in its sole discretion.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 request by the Borrower Representative for a Borrowing in accordance with Section 2.03.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means any consensual encumbrance or restriction of the type described in clause (a) or (b) of Section 6.10.</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that is not a Saturday, Sunday or other day on which commercial banks in New York City are authorized or required by law to remain closed;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used in connection with a Eurodollar Loan, the term “</w:t>
      </w:r>
      <w:r>
        <w:rPr>
          <w:rFonts w:ascii="Arial" w:cs="Arial" w:eastAsia="Arial" w:hAnsi="Arial"/>
          <w:sz w:val="20"/>
          <w:szCs w:val="20"/>
          <w:u w:val="single" w:color="auto"/>
          <w:color w:val="auto"/>
        </w:rPr>
        <w:t>Business Day</w:t>
      </w:r>
      <w:r>
        <w:rPr>
          <w:rFonts w:ascii="Arial" w:cs="Arial" w:eastAsia="Arial" w:hAnsi="Arial"/>
          <w:sz w:val="20"/>
          <w:szCs w:val="20"/>
          <w:color w:val="auto"/>
        </w:rPr>
        <w:t>” shall also exclude any day on which banks are not open for general business in London.</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without duplication, any expenditure or commitment to expend money for any purchase or other acquisition of any asset which would be classified as a fixed or capital asset on a consolidated balance sheet of Holdings and its Subsidiaries prepared in accordance with GAAP, excluding (a) expenditures of insurance proceeds to rebuild or replace any asset after a casualty loss and (b) leasehold improvement expenditures for which the Borrower or a Subsidiary is reimbursed promptly by the lessor.</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CB Floating Rate</w:t>
      </w:r>
      <w:r>
        <w:rPr>
          <w:rFonts w:ascii="Arial" w:cs="Arial" w:eastAsia="Arial" w:hAnsi="Arial"/>
          <w:sz w:val="20"/>
          <w:szCs w:val="20"/>
          <w:color w:val="auto"/>
        </w:rPr>
        <w:t xml:space="preserve">” means the Prime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CB Floating Rate shall never be less than the Adjusted One Month LIBOR Rate on such day (or if such day is not a Business Day, the immediately preceding Business Day). Any change in the CB Floating Rate due to a change in the Prime Rate or the Adjusted One Month LIBOR Rate shall be effective from and including the effective date of such change in the Prime Rate or the Adjusted One Month LIBOR Rate, respectively.</w:t>
      </w:r>
    </w:p>
    <w:p>
      <w:pPr>
        <w:spacing w:after="0" w:line="19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CBFR</w:t>
      </w:r>
      <w:r>
        <w:rPr>
          <w:rFonts w:ascii="Arial" w:cs="Arial" w:eastAsia="Arial" w:hAnsi="Arial"/>
          <w:sz w:val="18"/>
          <w:szCs w:val="18"/>
          <w:color w:val="auto"/>
        </w:rPr>
        <w:t>”, when used in reference to: (a) a rate of interest, refers to the CB Floating Rate, and (b) any Loan or Borrowing, refers to whether such Loan, or the Loans comprising such Borrowing, bear interest at a rate determined by reference to the CB Floating Rate.</w:t>
      </w:r>
    </w:p>
    <w:p>
      <w:pPr>
        <w:sectPr>
          <w:pgSz w:w="11900" w:h="16838" w:orient="portrait"/>
          <w:cols w:equalWidth="0" w:num="1">
            <w:col w:w="11420"/>
          </w:cols>
          <w:pgMar w:left="240" w:top="582" w:right="239" w:bottom="1440" w:gutter="0" w:footer="0" w:header="0"/>
        </w:sectPr>
      </w:pPr>
    </w:p>
    <w:bookmarkStart w:id="52" w:name="page53"/>
    <w:bookmarkEnd w:id="52"/>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Holdings shall cease to own, free and clear of all Liens or other encumbrances, at least 100% of the outstanding voting Equity Interests of the Company on a fully diluted basis; (b) occupation at any time of a majority of the seats (other than vacant seats) on the board of directors of the Company by Persons who were not (i) directors of the Company on the date of this Agreement, nominated, appointed or approved for consideration by shareholders for election by the board of directors of the Company (ii) approved by the board of directors of the Company as director candidates prior to their election, nor (iii) appointed by directors so nominated, appointed or approved; (c) the acquisition of direct or indirect Control of the Company by any Person or group other than Holdings; (d) the Company shall cease to own, free and clear of all Liens or other encumbrances (other than Permitted Encumbrances), at least 100% of the outstanding voting Equity Interests of the other Borrowers on a fully diluted basis; (e) the acquisition of ownership, directly or indirectly, beneficially or of record, by any Person or group (within the meaning of the Securities Exchange Act of 1934 and the rules of the SEC thereunder as in effect on the date hereof) other than Barbara Baekgaard, Patricia Miller, Jill Nichols, Michael Ray and Kim Colby and their respective heirs and descendants and any trust established for the benefit of such, of Equity Interests representing more than 40% of the aggregate ordinary voting power represented by the issued and outstanding Equity Interests of Holdings; (f) occupation at any time of a majority of the seats (other than vacant seats) on the board of directors of Holdings by Persons who were not (i) directors of Holdings on the date of this Agreement, nominated, appointed or approved for consideration by shareholders for election by the board of directors of Holdings, (ii) approved by the board of directors of Holdings as director candidates prior to their election, nor (iii) appointed by directors so nominated, appointed or approved; or (g) the acquisition of direct or indirect Control of Holdings by any Person or group other than Barbara Baekgaard, Patricia Miller, Jill Nichols, Michael Ray and Kim Colby and their respective heirs and descendants and any trust established for the benefit of such.</w:t>
      </w:r>
    </w:p>
    <w:p>
      <w:pPr>
        <w:spacing w:after="0" w:line="175" w:lineRule="exact"/>
        <w:rPr>
          <w:sz w:val="20"/>
          <w:szCs w:val="20"/>
          <w:color w:val="auto"/>
        </w:rPr>
      </w:pPr>
    </w:p>
    <w:p>
      <w:pPr>
        <w:jc w:val="both"/>
        <w:ind w:firstLine="66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any Loan or Borrowing, refers to whether such Loan, or the Loans comprising such Borrowing, are Revolving Loans, Swingline Loans Protective Advances, or Overadvances.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Access Agreement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w:t>
      </w:r>
    </w:p>
    <w:p>
      <w:pPr>
        <w:sectPr>
          <w:pgSz w:w="11900" w:h="16838" w:orient="portrait"/>
          <w:cols w:equalWidth="0" w:num="1">
            <w:col w:w="11420"/>
          </w:cols>
          <w:pgMar w:left="240" w:top="582" w:right="239" w:bottom="1440" w:gutter="0" w:footer="0" w:header="0"/>
        </w:sectPr>
      </w:pPr>
    </w:p>
    <w:bookmarkStart w:id="53" w:name="page54"/>
    <w:bookmarkEnd w:id="53"/>
    <w:p>
      <w:pPr>
        <w:jc w:val="both"/>
        <w:ind w:right="20"/>
        <w:spacing w:after="0" w:line="260" w:lineRule="auto"/>
        <w:rPr>
          <w:sz w:val="20"/>
          <w:szCs w:val="20"/>
          <w:color w:val="auto"/>
        </w:rPr>
      </w:pPr>
      <w:r>
        <w:rPr>
          <w:rFonts w:ascii="Arial" w:cs="Arial" w:eastAsia="Arial" w:hAnsi="Arial"/>
          <w:sz w:val="20"/>
          <w:szCs w:val="20"/>
          <w:color w:val="auto"/>
        </w:rPr>
        <w:t>consents, assignments, contracts, fee letters, notices, leases, financing statements and all other written matter whether theretofore, now or hereafter executed by any Loan Party and delivered to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Collection Account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sum of such Lender’s Revolving Commitment, together with the commitment of such Lender to acquire participations in Protective Advances hereunder. The initial amount of each Lender's Commitment is set forth on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or in the Assignment and Assumption or other documentation or record (as such term is defined in Section 9-102(a)</w:t>
      </w:r>
    </w:p>
    <w:p>
      <w:pPr>
        <w:spacing w:after="0" w:line="1" w:lineRule="exact"/>
        <w:rPr>
          <w:sz w:val="20"/>
          <w:szCs w:val="20"/>
          <w:color w:val="auto"/>
        </w:rPr>
      </w:pPr>
    </w:p>
    <w:p>
      <w:pPr>
        <w:ind w:firstLine="8"/>
        <w:spacing w:after="0" w:line="244" w:lineRule="auto"/>
        <w:tabs>
          <w:tab w:leader="none" w:pos="385" w:val="left"/>
        </w:tabs>
        <w:numPr>
          <w:ilvl w:val="0"/>
          <w:numId w:val="29"/>
        </w:numPr>
        <w:rPr>
          <w:rFonts w:ascii="Arial" w:cs="Arial" w:eastAsia="Arial" w:hAnsi="Arial"/>
          <w:sz w:val="20"/>
          <w:szCs w:val="20"/>
          <w:color w:val="auto"/>
        </w:rPr>
      </w:pPr>
      <w:r>
        <w:rPr>
          <w:rFonts w:ascii="Arial" w:cs="Arial" w:eastAsia="Arial" w:hAnsi="Arial"/>
          <w:sz w:val="20"/>
          <w:szCs w:val="20"/>
          <w:color w:val="auto"/>
        </w:rPr>
        <w:t>of the New York Uniform Commercial Code) as provided in Section 9.04(b)(ii)(C), pursuant to which such Lender shall have assumed its Commitment, as applicable.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Schedule</w:t>
      </w:r>
      <w:r>
        <w:rPr>
          <w:rFonts w:ascii="Arial" w:cs="Arial" w:eastAsia="Arial" w:hAnsi="Arial"/>
          <w:sz w:val="20"/>
          <w:szCs w:val="20"/>
          <w:color w:val="auto"/>
        </w:rPr>
        <w:t>” means the Schedule attached hereto identified as such.</w:t>
      </w:r>
    </w:p>
    <w:p>
      <w:pPr>
        <w:spacing w:after="0" w:line="216"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has the meaning assigned to such term in Section 8.03(c).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Vera Bradley Designs, Inc., an Indiana corporation.</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Agreement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Card Accounts</w:t>
      </w:r>
      <w:r>
        <w:rPr>
          <w:rFonts w:ascii="Arial" w:cs="Arial" w:eastAsia="Arial" w:hAnsi="Arial"/>
          <w:sz w:val="20"/>
          <w:szCs w:val="20"/>
          <w:color w:val="auto"/>
        </w:rPr>
        <w:t>” means any “payment intangibles,” as defined in the UCC, receivables or other rights to payment of a monetary obligation due to any Loan Party from a credit card issuer or a credit card processor in connection with purchases of Inventory of such Loan Party in the ordinary course of business on (a) credit cards issued by Visa, MasterCard, American Express, Discover, each of their respective Affiliates, and any other credit card issuers that are reasonably acceptable to the Administrative Agent, (b) private label credit cards of any Loan Party that are reasonably acceptable to the Administrative Agent and issued under non-recourse arrangements that are reasonably acceptable to the Administrative Agent or (c) debit cards issued by issuers or providers that are acceptable to the Administrative Agent, in each case, which have been earned by performance by such Loan Party but not yet paid to such Loan Party by such credit card issuer or credit card processor.</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Card Agreement</w:t>
      </w:r>
      <w:r>
        <w:rPr>
          <w:rFonts w:ascii="Arial" w:cs="Arial" w:eastAsia="Arial" w:hAnsi="Arial"/>
          <w:sz w:val="20"/>
          <w:szCs w:val="20"/>
          <w:color w:val="auto"/>
        </w:rPr>
        <w:t>” means any agreement between a Loan Party, on the one hand, and a credit card issuer or a credit card processor (including any credit card processor that processes purchases of Inventory from a Loan Party through debit cards), on the other hand relating to any Credit Card Account included or intended to be included in the Borrowing Base.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Card Notifications</w:t>
      </w:r>
      <w:r>
        <w:rPr>
          <w:rFonts w:ascii="Arial" w:cs="Arial" w:eastAsia="Arial" w:hAnsi="Arial"/>
          <w:sz w:val="20"/>
          <w:szCs w:val="20"/>
          <w:color w:val="auto"/>
        </w:rPr>
        <w:t>” means each Credit Card Notification, in form and substance reasonably satisfactory to the Administrative Agent, executed by one or more Loan Parties and delivered by such Loan Parties to credit card issuers or credit card processors that are party to any Credit Card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Administrative Agent, the Issuing Bank, the Swingline Lender or any other Lender.</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means any Lender that (a) has failed, within two Business Days of the date required to be funded or paid, to (i) fund any portion of its Loans, (ii) fund any portion of its participations in Letters of Credit or</w:t>
      </w:r>
    </w:p>
    <w:p>
      <w:pPr>
        <w:sectPr>
          <w:pgSz w:w="11900" w:h="16838" w:orient="portrait"/>
          <w:cols w:equalWidth="0" w:num="1">
            <w:col w:w="11420"/>
          </w:cols>
          <w:pgMar w:left="240" w:top="582" w:right="239" w:bottom="1440" w:gutter="0" w:footer="0" w:header="0"/>
        </w:sectPr>
      </w:pPr>
    </w:p>
    <w:bookmarkStart w:id="54" w:name="page55"/>
    <w:bookmarkEnd w:id="54"/>
    <w:p>
      <w:pPr>
        <w:jc w:val="both"/>
        <w:spacing w:after="0" w:line="270" w:lineRule="auto"/>
        <w:rPr>
          <w:sz w:val="20"/>
          <w:szCs w:val="20"/>
          <w:color w:val="auto"/>
        </w:rPr>
      </w:pPr>
      <w:r>
        <w:rPr>
          <w:rFonts w:ascii="Arial" w:cs="Arial" w:eastAsia="Arial" w:hAnsi="Arial"/>
          <w:sz w:val="18"/>
          <w:szCs w:val="18"/>
          <w:color w:val="auto"/>
        </w:rPr>
        <w:t>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Seasonal Percentage</w:t>
      </w:r>
      <w:r>
        <w:rPr>
          <w:rFonts w:ascii="Arial" w:cs="Arial" w:eastAsia="Arial" w:hAnsi="Arial"/>
          <w:sz w:val="20"/>
          <w:szCs w:val="20"/>
          <w:color w:val="auto"/>
        </w:rPr>
        <w:t>” means, for October of each year through January of the succeeding year, 92.5%, and at all other times 90%.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proceedings and environmental matters disclosed in </w:t>
      </w:r>
      <w:r>
        <w:rPr>
          <w:rFonts w:ascii="Arial" w:cs="Arial" w:eastAsia="Arial" w:hAnsi="Arial"/>
          <w:sz w:val="20"/>
          <w:szCs w:val="20"/>
          <w:u w:val="single" w:color="auto"/>
          <w:color w:val="auto"/>
        </w:rPr>
        <w:t>Schedule 3.06</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 Subsidiary organized under the laws of a jurisdiction located in the U.S.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for any period, Net Income for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(a) without duplication and to the extent deducted in determining Net Income for such period, the sum of (i) Interest Expense for such period, (ii) income tax expense for such period, (iii) all amounts attributable to depreciation and amortization expense for such period, (iv) any non-cash charges for such period (but excluding any non-cash charge in respect of an item that was included in Net Income in a prior period and any non-cash charge that relates to the write-down or write-off of Inventory or Accounts, but including any non-cash non-recurring write-down or write-off of leasehold improvements in connection with retail store closings), and (v) cash restructuring charges for such period, provided that the aggregate amount added back pursuant to this clause</w:t>
      </w:r>
    </w:p>
    <w:p>
      <w:pPr>
        <w:spacing w:after="0" w:line="2" w:lineRule="exact"/>
        <w:rPr>
          <w:sz w:val="20"/>
          <w:szCs w:val="20"/>
          <w:color w:val="auto"/>
        </w:rPr>
      </w:pPr>
    </w:p>
    <w:p>
      <w:pPr>
        <w:jc w:val="both"/>
        <w:ind w:firstLine="8"/>
        <w:spacing w:after="0" w:line="241" w:lineRule="auto"/>
        <w:tabs>
          <w:tab w:leader="none" w:pos="291"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for any period shall not constitute more than 15% of EBITDA (without giving effect to this clause (v)) for such period,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(b) without duplication and to the extent included in Net Income, (i) any cash payments made during such period in respect of non-cash charges described in clause (a)(v) taken in a prior period and (ii) any extraordinary gains and any non-cash items of income for such period, all calculated for Holdings and its Subsidiaries on a consolidated basis in accordance with GAAP.</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w:t>
      </w:r>
      <w:r>
        <w:rPr>
          <w:rFonts w:ascii="Arial" w:cs="Arial" w:eastAsia="Arial" w:hAnsi="Arial"/>
          <w:sz w:val="19"/>
          <w:szCs w:val="19"/>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w:t>
      </w:r>
    </w:p>
    <w:p>
      <w:pPr>
        <w:sectPr>
          <w:pgSz w:w="11900" w:h="16838" w:orient="portrait"/>
          <w:cols w:equalWidth="0" w:num="1">
            <w:col w:w="11420"/>
          </w:cols>
          <w:pgMar w:left="240" w:top="582" w:right="23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20"/>
          <w:szCs w:val="20"/>
          <w:color w:val="auto"/>
        </w:rPr>
        <w:t>administrative authority of any EEA Member Country (including any delegee) having responsibility for the resolution of any EEA Financial Institution.</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the date on which the conditions specified in Section 4.01 are satisfied (or waived in accordance with Section 9.02).</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System</w:t>
      </w:r>
      <w:r>
        <w:rPr>
          <w:rFonts w:ascii="Arial" w:cs="Arial" w:eastAsia="Arial" w:hAnsi="Arial"/>
          <w:sz w:val="18"/>
          <w:szCs w:val="18"/>
          <w:color w:val="auto"/>
        </w:rPr>
        <w:t>” means any electronic system, including e-mail, e-fax, web portal access for such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Accounts</w:t>
      </w:r>
      <w:r>
        <w:rPr>
          <w:rFonts w:ascii="Arial" w:cs="Arial" w:eastAsia="Arial" w:hAnsi="Arial"/>
          <w:sz w:val="19"/>
          <w:szCs w:val="19"/>
          <w:color w:val="auto"/>
        </w:rPr>
        <w:t>” means, at any time, the Accounts of a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170" w:lineRule="exact"/>
        <w:rPr>
          <w:sz w:val="20"/>
          <w:szCs w:val="20"/>
          <w:color w:val="auto"/>
        </w:rPr>
      </w:pPr>
    </w:p>
    <w:p>
      <w:pPr>
        <w:ind w:left="1700" w:hanging="395"/>
        <w:spacing w:after="0"/>
        <w:tabs>
          <w:tab w:leader="none" w:pos="1700" w:val="left"/>
        </w:tabs>
        <w:numPr>
          <w:ilvl w:val="1"/>
          <w:numId w:val="31"/>
        </w:numPr>
        <w:rPr>
          <w:rFonts w:ascii="Arial" w:cs="Arial" w:eastAsia="Arial" w:hAnsi="Arial"/>
          <w:sz w:val="20"/>
          <w:szCs w:val="20"/>
          <w:color w:val="auto"/>
        </w:rPr>
      </w:pPr>
      <w:r>
        <w:rPr>
          <w:rFonts w:ascii="Arial" w:cs="Arial" w:eastAsia="Arial" w:hAnsi="Arial"/>
          <w:sz w:val="20"/>
          <w:szCs w:val="20"/>
          <w:color w:val="auto"/>
        </w:rPr>
        <w:t>which is not subject to a first priority perfected security interest in favor of the Administrative Agent;</w:t>
      </w:r>
    </w:p>
    <w:p>
      <w:pPr>
        <w:spacing w:after="0" w:line="215" w:lineRule="exact"/>
        <w:rPr>
          <w:rFonts w:ascii="Arial" w:cs="Arial" w:eastAsia="Arial" w:hAnsi="Arial"/>
          <w:sz w:val="20"/>
          <w:szCs w:val="20"/>
          <w:color w:val="auto"/>
        </w:rPr>
      </w:pPr>
    </w:p>
    <w:p>
      <w:pPr>
        <w:ind w:left="660" w:firstLine="645"/>
        <w:spacing w:after="0" w:line="260" w:lineRule="auto"/>
        <w:tabs>
          <w:tab w:leader="none" w:pos="1746" w:val="left"/>
        </w:tabs>
        <w:numPr>
          <w:ilvl w:val="1"/>
          <w:numId w:val="31"/>
        </w:numPr>
        <w:rPr>
          <w:rFonts w:ascii="Arial" w:cs="Arial" w:eastAsia="Arial" w:hAnsi="Arial"/>
          <w:sz w:val="20"/>
          <w:szCs w:val="20"/>
          <w:color w:val="auto"/>
        </w:rPr>
      </w:pPr>
      <w:r>
        <w:rPr>
          <w:rFonts w:ascii="Arial" w:cs="Arial" w:eastAsia="Arial" w:hAnsi="Arial"/>
          <w:sz w:val="20"/>
          <w:szCs w:val="20"/>
          <w:color w:val="auto"/>
        </w:rPr>
        <w:t>which is subject to any Lien other than (i) a Lien in favor of the Administrative Agent and (ii) a Permitted Encumbrance which does not have priority over the Lien in favor of the Administrative Agent;</w:t>
      </w:r>
    </w:p>
    <w:p>
      <w:pPr>
        <w:spacing w:after="0" w:line="176" w:lineRule="exact"/>
        <w:rPr>
          <w:rFonts w:ascii="Arial" w:cs="Arial" w:eastAsia="Arial" w:hAnsi="Arial"/>
          <w:sz w:val="20"/>
          <w:szCs w:val="20"/>
          <w:color w:val="auto"/>
        </w:rPr>
      </w:pPr>
    </w:p>
    <w:p>
      <w:pPr>
        <w:ind w:left="660" w:firstLine="645"/>
        <w:spacing w:after="0" w:line="260" w:lineRule="auto"/>
        <w:tabs>
          <w:tab w:leader="none" w:pos="1749" w:val="left"/>
        </w:tabs>
        <w:numPr>
          <w:ilvl w:val="1"/>
          <w:numId w:val="31"/>
        </w:numPr>
        <w:rPr>
          <w:rFonts w:ascii="Arial" w:cs="Arial" w:eastAsia="Arial" w:hAnsi="Arial"/>
          <w:sz w:val="20"/>
          <w:szCs w:val="20"/>
          <w:color w:val="auto"/>
        </w:rPr>
      </w:pPr>
      <w:r>
        <w:rPr>
          <w:rFonts w:ascii="Arial" w:cs="Arial" w:eastAsia="Arial" w:hAnsi="Arial"/>
          <w:sz w:val="20"/>
          <w:szCs w:val="20"/>
          <w:color w:val="auto"/>
        </w:rPr>
        <w:t>which is unpaid more than 90 days after the date of the original invoice therefor or more than 60 days after the original due date therefor;</w:t>
      </w:r>
    </w:p>
    <w:p>
      <w:pPr>
        <w:spacing w:after="0" w:line="176" w:lineRule="exact"/>
        <w:rPr>
          <w:rFonts w:ascii="Arial" w:cs="Arial" w:eastAsia="Arial" w:hAnsi="Arial"/>
          <w:sz w:val="20"/>
          <w:szCs w:val="20"/>
          <w:color w:val="auto"/>
        </w:rPr>
      </w:pPr>
    </w:p>
    <w:p>
      <w:pPr>
        <w:ind w:left="660" w:firstLine="645"/>
        <w:spacing w:after="0" w:line="260" w:lineRule="auto"/>
        <w:tabs>
          <w:tab w:leader="none" w:pos="1719" w:val="left"/>
        </w:tabs>
        <w:numPr>
          <w:ilvl w:val="1"/>
          <w:numId w:val="31"/>
        </w:numPr>
        <w:rPr>
          <w:rFonts w:ascii="Arial" w:cs="Arial" w:eastAsia="Arial" w:hAnsi="Arial"/>
          <w:sz w:val="20"/>
          <w:szCs w:val="20"/>
          <w:color w:val="auto"/>
        </w:rPr>
      </w:pPr>
      <w:r>
        <w:rPr>
          <w:rFonts w:ascii="Arial" w:cs="Arial" w:eastAsia="Arial" w:hAnsi="Arial"/>
          <w:sz w:val="20"/>
          <w:szCs w:val="20"/>
          <w:color w:val="auto"/>
        </w:rPr>
        <w:t>which is owing by an Account Debtor for which more than 50% of the Accounts owing from such Account Debtor and its Affiliates are ineligible hereunder;</w:t>
      </w:r>
    </w:p>
    <w:p>
      <w:pPr>
        <w:spacing w:after="0" w:line="176" w:lineRule="exact"/>
        <w:rPr>
          <w:rFonts w:ascii="Arial" w:cs="Arial" w:eastAsia="Arial" w:hAnsi="Arial"/>
          <w:sz w:val="20"/>
          <w:szCs w:val="20"/>
          <w:color w:val="auto"/>
        </w:rPr>
      </w:pPr>
    </w:p>
    <w:p>
      <w:pPr>
        <w:ind w:left="660" w:right="20" w:firstLine="645"/>
        <w:spacing w:after="0" w:line="287" w:lineRule="auto"/>
        <w:tabs>
          <w:tab w:leader="none" w:pos="1735" w:val="left"/>
        </w:tabs>
        <w:numPr>
          <w:ilvl w:val="1"/>
          <w:numId w:val="31"/>
        </w:numPr>
        <w:rPr>
          <w:rFonts w:ascii="Arial" w:cs="Arial" w:eastAsia="Arial" w:hAnsi="Arial"/>
          <w:sz w:val="19"/>
          <w:szCs w:val="19"/>
          <w:color w:val="auto"/>
        </w:rPr>
      </w:pPr>
      <w:r>
        <w:rPr>
          <w:rFonts w:ascii="Arial" w:cs="Arial" w:eastAsia="Arial" w:hAnsi="Arial"/>
          <w:sz w:val="19"/>
          <w:szCs w:val="19"/>
          <w:color w:val="auto"/>
        </w:rPr>
        <w:t>which is owing by an Account Debtor to the extent the aggregate amount of Accounts owing from such Account Debtor and its Affiliates to all Borrowers exceeds 25% of the aggregate amount of Eligible Accounts of all Borrowers;</w:t>
      </w:r>
    </w:p>
    <w:p>
      <w:pPr>
        <w:spacing w:after="0" w:line="152" w:lineRule="exact"/>
        <w:rPr>
          <w:rFonts w:ascii="Arial" w:cs="Arial" w:eastAsia="Arial" w:hAnsi="Arial"/>
          <w:sz w:val="19"/>
          <w:szCs w:val="19"/>
          <w:color w:val="auto"/>
        </w:rPr>
      </w:pPr>
    </w:p>
    <w:p>
      <w:pPr>
        <w:ind w:left="660" w:right="20" w:firstLine="645"/>
        <w:spacing w:after="0" w:line="260" w:lineRule="auto"/>
        <w:tabs>
          <w:tab w:leader="none" w:pos="1700" w:val="left"/>
        </w:tabs>
        <w:numPr>
          <w:ilvl w:val="1"/>
          <w:numId w:val="31"/>
        </w:numPr>
        <w:rPr>
          <w:rFonts w:ascii="Arial" w:cs="Arial" w:eastAsia="Arial" w:hAnsi="Arial"/>
          <w:sz w:val="20"/>
          <w:szCs w:val="20"/>
          <w:color w:val="auto"/>
        </w:rPr>
      </w:pPr>
      <w:r>
        <w:rPr>
          <w:rFonts w:ascii="Arial" w:cs="Arial" w:eastAsia="Arial" w:hAnsi="Arial"/>
          <w:sz w:val="20"/>
          <w:szCs w:val="20"/>
          <w:color w:val="auto"/>
        </w:rPr>
        <w:t>with respect to which any covenant, representation or warranty contained in this Agreement or in the Security Agreement has been breached or is not true;</w:t>
      </w:r>
    </w:p>
    <w:p>
      <w:pPr>
        <w:spacing w:after="0" w:line="176" w:lineRule="exact"/>
        <w:rPr>
          <w:rFonts w:ascii="Arial" w:cs="Arial" w:eastAsia="Arial" w:hAnsi="Arial"/>
          <w:sz w:val="20"/>
          <w:szCs w:val="20"/>
          <w:color w:val="auto"/>
        </w:rPr>
      </w:pPr>
    </w:p>
    <w:p>
      <w:pPr>
        <w:jc w:val="both"/>
        <w:ind w:left="660" w:right="20" w:firstLine="645"/>
        <w:spacing w:after="0" w:line="275" w:lineRule="auto"/>
        <w:tabs>
          <w:tab w:leader="none" w:pos="1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which (i) does not arise from the sale of goods or performance of services in the ordinary course of business, (ii) is not evidenced by an invoice or other documentation satisfactory to the Administrative Agent which has been sent to the Account Debtor,</w:t>
      </w:r>
    </w:p>
    <w:p>
      <w:pPr>
        <w:jc w:val="both"/>
        <w:ind w:left="660" w:hanging="4"/>
        <w:spacing w:after="0" w:line="241" w:lineRule="auto"/>
        <w:tabs>
          <w:tab w:leader="none" w:pos="1013"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a progress billing, (iv) is contingent upon such Borrower’s completion of any further performance, (v) represents a sale on a bill-and-hold, guaranteed sale, sale-and-return, sale on approval, consignment, cash-on-delivery or any other repurchase or return basis or (vi) relates to payments of interest;</w:t>
      </w:r>
    </w:p>
    <w:p>
      <w:pPr>
        <w:spacing w:after="0" w:line="196" w:lineRule="exact"/>
        <w:rPr>
          <w:rFonts w:ascii="Arial" w:cs="Arial" w:eastAsia="Arial" w:hAnsi="Arial"/>
          <w:sz w:val="20"/>
          <w:szCs w:val="20"/>
          <w:color w:val="auto"/>
        </w:rPr>
      </w:pPr>
    </w:p>
    <w:p>
      <w:pPr>
        <w:ind w:left="660" w:right="20" w:firstLine="645"/>
        <w:spacing w:after="0" w:line="316" w:lineRule="auto"/>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30" w:lineRule="exact"/>
        <w:rPr>
          <w:rFonts w:ascii="Arial" w:cs="Arial" w:eastAsia="Arial" w:hAnsi="Arial"/>
          <w:sz w:val="18"/>
          <w:szCs w:val="18"/>
          <w:color w:val="auto"/>
        </w:rPr>
      </w:pPr>
    </w:p>
    <w:p>
      <w:pPr>
        <w:ind w:left="1680" w:hanging="375"/>
        <w:spacing w:after="0"/>
        <w:tabs>
          <w:tab w:leader="none" w:pos="16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with respect to which any check or other instrument of payment has been returned uncollected for any reason;</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689" w:val="left"/>
        </w:tabs>
        <w:numPr>
          <w:ilvl w:val="1"/>
          <w:numId w:val="32"/>
        </w:numPr>
        <w:rPr>
          <w:rFonts w:ascii="Arial" w:cs="Arial" w:eastAsia="Arial" w:hAnsi="Arial"/>
          <w:sz w:val="20"/>
          <w:szCs w:val="20"/>
          <w:color w:val="auto"/>
        </w:rPr>
      </w:pPr>
      <w:r>
        <w:rPr>
          <w:rFonts w:ascii="Arial" w:cs="Arial" w:eastAsia="Arial" w:hAnsi="Arial"/>
          <w:sz w:val="20"/>
          <w:szCs w:val="20"/>
          <w:color w:val="auto"/>
        </w:rPr>
        <w:t>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w:t>
      </w:r>
    </w:p>
    <w:p>
      <w:pPr>
        <w:sectPr>
          <w:pgSz w:w="11900" w:h="16838" w:orient="portrait"/>
          <w:cols w:equalWidth="0" w:num="1">
            <w:col w:w="11420"/>
          </w:cols>
          <w:pgMar w:left="240" w:top="582" w:right="2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0"/>
          <w:szCs w:val="20"/>
          <w:color w:val="auto"/>
        </w:rPr>
        <w:t>request or petition for liquidation, reorganization, arrangement, adjustment of debts, adjudication as bankrupt, winding-up, or voluntary or involuntary case under any state or federal bankruptcy laws, (iv) admitted in writing its inability, or is generally unable to, pay its debts as they become due, (v) become insolvent, or (vi) ceased operation of its business;</w:t>
      </w:r>
    </w:p>
    <w:p>
      <w:pPr>
        <w:spacing w:after="0" w:line="186" w:lineRule="exact"/>
        <w:rPr>
          <w:sz w:val="20"/>
          <w:szCs w:val="20"/>
          <w:color w:val="auto"/>
        </w:rPr>
      </w:pPr>
    </w:p>
    <w:p>
      <w:pPr>
        <w:ind w:left="1060" w:hanging="415"/>
        <w:spacing w:after="0"/>
        <w:tabs>
          <w:tab w:leader="none" w:pos="10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is owed by any Account Debtor which has sold all or substantially all of its assets;</w:t>
      </w:r>
    </w:p>
    <w:p>
      <w:pPr>
        <w:spacing w:after="0" w:line="215" w:lineRule="exact"/>
        <w:rPr>
          <w:rFonts w:ascii="Arial" w:cs="Arial" w:eastAsia="Arial" w:hAnsi="Arial"/>
          <w:sz w:val="20"/>
          <w:szCs w:val="20"/>
          <w:color w:val="auto"/>
        </w:rPr>
      </w:pPr>
    </w:p>
    <w:p>
      <w:pPr>
        <w:jc w:val="both"/>
        <w:ind w:firstLine="645"/>
        <w:spacing w:after="0" w:line="263" w:lineRule="auto"/>
        <w:tabs>
          <w:tab w:leader="none" w:pos="1083" w:val="left"/>
        </w:tabs>
        <w:numPr>
          <w:ilvl w:val="0"/>
          <w:numId w:val="33"/>
        </w:numPr>
        <w:rPr>
          <w:rFonts w:ascii="Arial" w:cs="Arial" w:eastAsia="Arial" w:hAnsi="Arial"/>
          <w:sz w:val="19"/>
          <w:szCs w:val="19"/>
          <w:color w:val="auto"/>
        </w:rPr>
      </w:pPr>
      <w:r>
        <w:rPr>
          <w:rFonts w:ascii="Arial" w:cs="Arial" w:eastAsia="Arial" w:hAnsi="Arial"/>
          <w:sz w:val="19"/>
          <w:szCs w:val="19"/>
          <w:color w:val="auto"/>
        </w:rPr>
        <w:t>which is owed by an Account Debtor which (i) does not maintain its chief executive office in the U.S. (including any territory thereof) or Canada or (ii) is not organized under applicable law of the U.S., any state of the U.S., or the District of Columbia, Canada, or any province of Canada unless, in any such case, such Account is backed by a Letter of Credit acceptable to the Administrative Agent which is in the possession of, and is directly drawable by, the Administrative Agent;</w:t>
      </w:r>
    </w:p>
    <w:p>
      <w:pPr>
        <w:spacing w:after="0" w:line="176" w:lineRule="exact"/>
        <w:rPr>
          <w:rFonts w:ascii="Arial" w:cs="Arial" w:eastAsia="Arial" w:hAnsi="Arial"/>
          <w:sz w:val="19"/>
          <w:szCs w:val="19"/>
          <w:color w:val="auto"/>
        </w:rPr>
      </w:pPr>
    </w:p>
    <w:p>
      <w:pPr>
        <w:ind w:left="1120" w:hanging="475"/>
        <w:spacing w:after="0"/>
        <w:tabs>
          <w:tab w:leader="none" w:pos="11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is owed in any currency other than U.S. dollars;</w:t>
      </w:r>
    </w:p>
    <w:p>
      <w:pPr>
        <w:spacing w:after="0" w:line="215" w:lineRule="exact"/>
        <w:rPr>
          <w:rFonts w:ascii="Arial" w:cs="Arial" w:eastAsia="Arial" w:hAnsi="Arial"/>
          <w:sz w:val="20"/>
          <w:szCs w:val="20"/>
          <w:color w:val="auto"/>
        </w:rPr>
      </w:pPr>
    </w:p>
    <w:p>
      <w:pPr>
        <w:jc w:val="both"/>
        <w:ind w:firstLine="645"/>
        <w:spacing w:after="0" w:line="259" w:lineRule="auto"/>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which is owed by (i) any government (or any department, agency, public corporation, or instrumentality thereof) of any country other than the U.S. unless such Account is backed by a Letter of Credit acceptable to the Administrative Agent which is in the possession of, and is directly drawable by, the Administrative Agent, or (ii) any government of the U.S., or any department, agency, public corporation, or instrumentality thereof, unless the Federal Assignment of Claims Act of 1940, as amended (31 U.S.C. § 3727 </w:t>
      </w:r>
      <w:r>
        <w:rPr>
          <w:rFonts w:ascii="Arial" w:cs="Arial" w:eastAsia="Arial" w:hAnsi="Arial"/>
          <w:sz w:val="19"/>
          <w:szCs w:val="19"/>
          <w:u w:val="single" w:color="auto"/>
          <w:color w:val="auto"/>
        </w:rPr>
        <w:t>et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and 41 U.S.C. § 15 </w:t>
      </w:r>
      <w:r>
        <w:rPr>
          <w:rFonts w:ascii="Arial" w:cs="Arial" w:eastAsia="Arial" w:hAnsi="Arial"/>
          <w:sz w:val="19"/>
          <w:szCs w:val="19"/>
          <w:u w:val="single" w:color="auto"/>
          <w:color w:val="auto"/>
        </w:rPr>
        <w:t>et seq</w:t>
      </w:r>
      <w:r>
        <w:rPr>
          <w:rFonts w:ascii="Arial" w:cs="Arial" w:eastAsia="Arial" w:hAnsi="Arial"/>
          <w:sz w:val="19"/>
          <w:szCs w:val="19"/>
          <w:color w:val="auto"/>
        </w:rPr>
        <w:t>.), and any other steps necessary to perfect the Lien of the Administrative Agent in such Account have been complied with to the Administrative Agent’s satisfaction;</w:t>
      </w:r>
    </w:p>
    <w:p>
      <w:pPr>
        <w:spacing w:after="0" w:line="178" w:lineRule="exact"/>
        <w:rPr>
          <w:rFonts w:ascii="Arial" w:cs="Arial" w:eastAsia="Arial" w:hAnsi="Arial"/>
          <w:sz w:val="19"/>
          <w:szCs w:val="19"/>
          <w:color w:val="auto"/>
        </w:rPr>
      </w:pPr>
    </w:p>
    <w:p>
      <w:pPr>
        <w:ind w:firstLine="645"/>
        <w:spacing w:after="0" w:line="260" w:lineRule="auto"/>
        <w:tabs>
          <w:tab w:leader="none" w:pos="1113"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is owed by any Affiliate of any Loan Party or any employee, officer, director, agent or stockholder of any Loan Party or any of its Affiliates;</w:t>
      </w:r>
    </w:p>
    <w:p>
      <w:pPr>
        <w:spacing w:after="0" w:line="176" w:lineRule="exact"/>
        <w:rPr>
          <w:rFonts w:ascii="Arial" w:cs="Arial" w:eastAsia="Arial" w:hAnsi="Arial"/>
          <w:sz w:val="20"/>
          <w:szCs w:val="20"/>
          <w:color w:val="auto"/>
        </w:rPr>
      </w:pPr>
    </w:p>
    <w:p>
      <w:pPr>
        <w:jc w:val="both"/>
        <w:ind w:firstLine="645"/>
        <w:spacing w:after="0" w:line="250" w:lineRule="auto"/>
        <w:tabs>
          <w:tab w:leader="none" w:pos="11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86" w:lineRule="exact"/>
        <w:rPr>
          <w:rFonts w:ascii="Arial" w:cs="Arial" w:eastAsia="Arial" w:hAnsi="Arial"/>
          <w:sz w:val="20"/>
          <w:szCs w:val="20"/>
          <w:color w:val="auto"/>
        </w:rPr>
      </w:pPr>
    </w:p>
    <w:p>
      <w:pPr>
        <w:ind w:firstLine="645"/>
        <w:spacing w:after="0" w:line="260" w:lineRule="auto"/>
        <w:tabs>
          <w:tab w:leader="none" w:pos="1059"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is subject to any counterclaim, deduction, defense, setoff or dispute but only to the extent of any such counterclaim, deduction, defense, setoff or dispute;</w:t>
      </w:r>
    </w:p>
    <w:p>
      <w:pPr>
        <w:spacing w:after="0" w:line="176" w:lineRule="exact"/>
        <w:rPr>
          <w:rFonts w:ascii="Arial" w:cs="Arial" w:eastAsia="Arial" w:hAnsi="Arial"/>
          <w:sz w:val="20"/>
          <w:szCs w:val="20"/>
          <w:color w:val="auto"/>
        </w:rPr>
      </w:pPr>
    </w:p>
    <w:p>
      <w:pPr>
        <w:ind w:left="1020" w:hanging="375"/>
        <w:spacing w:after="0"/>
        <w:tabs>
          <w:tab w:leader="none" w:pos="10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is evidenced by any promissory note, chattel paper or instrument;</w:t>
      </w:r>
    </w:p>
    <w:p>
      <w:pPr>
        <w:spacing w:after="0" w:line="215" w:lineRule="exact"/>
        <w:rPr>
          <w:rFonts w:ascii="Arial" w:cs="Arial" w:eastAsia="Arial" w:hAnsi="Arial"/>
          <w:sz w:val="20"/>
          <w:szCs w:val="20"/>
          <w:color w:val="auto"/>
        </w:rPr>
      </w:pPr>
    </w:p>
    <w:p>
      <w:pPr>
        <w:ind w:left="1040" w:hanging="395"/>
        <w:spacing w:after="0"/>
        <w:tabs>
          <w:tab w:leader="none" w:pos="10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is owed by an Account Debtor which is a Sanctioned Person;</w:t>
      </w:r>
    </w:p>
    <w:p>
      <w:pPr>
        <w:spacing w:after="0" w:line="215" w:lineRule="exact"/>
        <w:rPr>
          <w:rFonts w:ascii="Arial" w:cs="Arial" w:eastAsia="Arial" w:hAnsi="Arial"/>
          <w:sz w:val="20"/>
          <w:szCs w:val="20"/>
          <w:color w:val="auto"/>
        </w:rPr>
      </w:pPr>
    </w:p>
    <w:p>
      <w:pPr>
        <w:jc w:val="both"/>
        <w:ind w:firstLine="645"/>
        <w:spacing w:after="0" w:line="269" w:lineRule="auto"/>
        <w:tabs>
          <w:tab w:leader="none" w:pos="1056" w:val="left"/>
        </w:tabs>
        <w:numPr>
          <w:ilvl w:val="0"/>
          <w:numId w:val="33"/>
        </w:numPr>
        <w:rPr>
          <w:rFonts w:ascii="Arial" w:cs="Arial" w:eastAsia="Arial" w:hAnsi="Arial"/>
          <w:sz w:val="19"/>
          <w:szCs w:val="19"/>
          <w:color w:val="auto"/>
        </w:rPr>
      </w:pPr>
      <w:r>
        <w:rPr>
          <w:rFonts w:ascii="Arial" w:cs="Arial" w:eastAsia="Arial" w:hAnsi="Arial"/>
          <w:sz w:val="19"/>
          <w:szCs w:val="19"/>
          <w:color w:val="auto"/>
        </w:rPr>
        <w:t>with respect to which such Borrower has made any agreement with the Account Debtor for any reduction thereof, other than discounts and adjustments given in the ordinary course of business but only to the extent of any such reduction, or any Account which was partially paid and such Borrower created a new receivable for the unpaid portion of such Account;</w:t>
      </w:r>
    </w:p>
    <w:p>
      <w:pPr>
        <w:spacing w:after="0" w:line="170" w:lineRule="exact"/>
        <w:rPr>
          <w:rFonts w:ascii="Arial" w:cs="Arial" w:eastAsia="Arial" w:hAnsi="Arial"/>
          <w:sz w:val="19"/>
          <w:szCs w:val="19"/>
          <w:color w:val="auto"/>
        </w:rPr>
      </w:pPr>
    </w:p>
    <w:p>
      <w:pPr>
        <w:jc w:val="both"/>
        <w:ind w:firstLine="645"/>
        <w:spacing w:after="0" w:line="250" w:lineRule="auto"/>
        <w:tabs>
          <w:tab w:leader="none" w:pos="1154"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186" w:lineRule="exact"/>
        <w:rPr>
          <w:rFonts w:ascii="Arial" w:cs="Arial" w:eastAsia="Arial" w:hAnsi="Arial"/>
          <w:sz w:val="20"/>
          <w:szCs w:val="20"/>
          <w:color w:val="auto"/>
        </w:rPr>
      </w:pPr>
    </w:p>
    <w:p>
      <w:pPr>
        <w:jc w:val="both"/>
        <w:ind w:firstLine="645"/>
        <w:spacing w:after="0" w:line="269" w:lineRule="auto"/>
        <w:tabs>
          <w:tab w:leader="none" w:pos="1059" w:val="left"/>
        </w:tabs>
        <w:numPr>
          <w:ilvl w:val="0"/>
          <w:numId w:val="33"/>
        </w:numPr>
        <w:rPr>
          <w:rFonts w:ascii="Arial" w:cs="Arial" w:eastAsia="Arial" w:hAnsi="Arial"/>
          <w:sz w:val="19"/>
          <w:szCs w:val="19"/>
          <w:color w:val="auto"/>
        </w:rPr>
      </w:pPr>
      <w:r>
        <w:rPr>
          <w:rFonts w:ascii="Arial" w:cs="Arial" w:eastAsia="Arial" w:hAnsi="Arial"/>
          <w:sz w:val="19"/>
          <w:szCs w:val="19"/>
          <w:color w:val="auto"/>
        </w:rPr>
        <w:t>which is for goods that have been sold under a purchase order or pursuant to the terms of a contract or other agreement or understanding (written or oral) that indicates or purports that any Person other than such Borrower has or has had an ownership interest in such goods, or which indicates any party other than such Borrower as payee or remittance party;</w:t>
      </w:r>
    </w:p>
    <w:p>
      <w:pPr>
        <w:spacing w:after="0" w:line="170" w:lineRule="exact"/>
        <w:rPr>
          <w:rFonts w:ascii="Arial" w:cs="Arial" w:eastAsia="Arial" w:hAnsi="Arial"/>
          <w:sz w:val="19"/>
          <w:szCs w:val="19"/>
          <w:color w:val="auto"/>
        </w:rPr>
      </w:pPr>
    </w:p>
    <w:p>
      <w:pPr>
        <w:ind w:left="1100" w:hanging="455"/>
        <w:spacing w:after="0"/>
        <w:tabs>
          <w:tab w:leader="none" w:pos="11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which was created on cash on delivery terms; or</w:t>
      </w:r>
    </w:p>
    <w:p>
      <w:pPr>
        <w:sectPr>
          <w:pgSz w:w="11900" w:h="16838" w:orient="portrait"/>
          <w:cols w:equalWidth="0" w:num="1">
            <w:col w:w="10760"/>
          </w:cols>
          <w:pgMar w:left="900" w:top="582" w:right="239" w:bottom="1440" w:gutter="0" w:footer="0" w:header="0"/>
        </w:sectPr>
      </w:pPr>
    </w:p>
    <w:bookmarkStart w:id="57" w:name="page58"/>
    <w:bookmarkEnd w:id="57"/>
    <w:p>
      <w:pPr>
        <w:jc w:val="both"/>
        <w:ind w:left="660" w:firstLine="645"/>
        <w:spacing w:after="0" w:line="250" w:lineRule="auto"/>
        <w:tabs>
          <w:tab w:leader="none" w:pos="1719" w:val="left"/>
        </w:tabs>
        <w:numPr>
          <w:ilvl w:val="0"/>
          <w:numId w:val="34"/>
        </w:numPr>
        <w:rPr>
          <w:rFonts w:ascii="Arial" w:cs="Arial" w:eastAsia="Arial" w:hAnsi="Arial"/>
          <w:sz w:val="20"/>
          <w:szCs w:val="20"/>
          <w:color w:val="auto"/>
        </w:rPr>
      </w:pPr>
      <w:r>
        <w:rPr>
          <w:rFonts w:ascii="Arial" w:cs="Arial" w:eastAsia="Arial" w:hAnsi="Arial"/>
          <w:sz w:val="20"/>
          <w:szCs w:val="20"/>
          <w:color w:val="auto"/>
        </w:rPr>
        <w:t>which the Administrative Agent determines in its Permitted Discretion may not be paid by reason of the Account Debtor’s inability to pay or which the Administrative Agent otherwise determines in its Permitted Discretion is unacceptable for any reason whatsoever.</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determining the amount of an Eligible Account of a Borrower,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Credit Card Accounts</w:t>
      </w:r>
      <w:r>
        <w:rPr>
          <w:rFonts w:ascii="Arial" w:cs="Arial" w:eastAsia="Arial" w:hAnsi="Arial"/>
          <w:sz w:val="18"/>
          <w:szCs w:val="18"/>
          <w:color w:val="auto"/>
        </w:rPr>
        <w:t>” means, at any time, the Credit Card Accounts of the Borrowers which the Administrative Agent determines in its Permitted Discretion are eligible as the basis for the extension of Revolving Loans, Swingline Loans, and the issuance of Letters of Credit. Without limiting Administrative Agent’s discretion provided herein, to qualify as an Eligible Credit Card Account, such Credit Card Account shall indicate no Person other than the applicable Borrower as payee or remittance party. In determining the amount to be so included, the face amount of a Credit Card Account shall be reduced by, without duplication, to the extent not reflected in such face amount or reflected in a Reserve, (i) the amount of all accrued and actual fees and charges due to the credit card issuer or credit card processor by any Borrower or Subsidiary, discounts, claims, credits or credits pending, promotional program allowances, price adjustments, finance charges or other allowances (including any amount that a Borrower may be obligated to rebate to a customer, a credit card issuer or credit card processor pursuant to the terms of any agreement or understanding), and (ii) the aggregate amount of all cash received in respect of such Credit Card Account but not yet applied by the Borrowers to reduce the amount of such Credit Card Account. Additionally, without limiting the Administrative Agent’s discretion provided herein, Eligible Credit Card Accounts shall not include any Credit Card Account:</w:t>
      </w:r>
    </w:p>
    <w:p>
      <w:pPr>
        <w:spacing w:after="0" w:line="171" w:lineRule="exact"/>
        <w:rPr>
          <w:sz w:val="20"/>
          <w:szCs w:val="20"/>
          <w:color w:val="auto"/>
        </w:rPr>
      </w:pPr>
    </w:p>
    <w:p>
      <w:pPr>
        <w:ind w:left="660" w:firstLine="645"/>
        <w:spacing w:after="0" w:line="260" w:lineRule="auto"/>
        <w:tabs>
          <w:tab w:leader="none" w:pos="1588" w:val="left"/>
        </w:tabs>
        <w:numPr>
          <w:ilvl w:val="0"/>
          <w:numId w:val="35"/>
        </w:numPr>
        <w:rPr>
          <w:rFonts w:ascii="Arial" w:cs="Arial" w:eastAsia="Arial" w:hAnsi="Arial"/>
          <w:sz w:val="20"/>
          <w:szCs w:val="20"/>
          <w:color w:val="auto"/>
        </w:rPr>
      </w:pPr>
      <w:r>
        <w:rPr>
          <w:rFonts w:ascii="Arial" w:cs="Arial" w:eastAsia="Arial" w:hAnsi="Arial"/>
          <w:sz w:val="20"/>
          <w:szCs w:val="20"/>
          <w:color w:val="auto"/>
        </w:rPr>
        <w:t>which is not earned or does not represent the bona fide amount due to a Borrower from a credit card processor or a credit card issuer that originated in the ordinary course of business of the applicable Borrower;</w:t>
      </w:r>
    </w:p>
    <w:p>
      <w:pPr>
        <w:spacing w:after="0" w:line="176" w:lineRule="exact"/>
        <w:rPr>
          <w:rFonts w:ascii="Arial" w:cs="Arial" w:eastAsia="Arial" w:hAnsi="Arial"/>
          <w:sz w:val="20"/>
          <w:szCs w:val="20"/>
          <w:color w:val="auto"/>
        </w:rPr>
      </w:pPr>
    </w:p>
    <w:p>
      <w:pPr>
        <w:ind w:left="1580" w:hanging="275"/>
        <w:spacing w:after="0"/>
        <w:tabs>
          <w:tab w:leader="none" w:pos="15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which is not owned by a Borrower or to which a Borrower does not have good title;</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which the payee of such Credit Card Account is a Person other than a Borrower;</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which does not constitute an “Account” (as defined in the UCC) or a “payment intangible” (as defined in the UCC);</w:t>
      </w:r>
    </w:p>
    <w:p>
      <w:pPr>
        <w:spacing w:after="0" w:line="227" w:lineRule="exact"/>
        <w:rPr>
          <w:rFonts w:ascii="Arial" w:cs="Arial" w:eastAsia="Arial" w:hAnsi="Arial"/>
          <w:sz w:val="19"/>
          <w:szCs w:val="19"/>
          <w:color w:val="auto"/>
        </w:rPr>
      </w:pPr>
    </w:p>
    <w:p>
      <w:pPr>
        <w:ind w:left="1580" w:hanging="275"/>
        <w:spacing w:after="0"/>
        <w:tabs>
          <w:tab w:leader="none" w:pos="15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which has been outstanding for more than five (5) Business Days from the date of sale;</w:t>
      </w:r>
    </w:p>
    <w:p>
      <w:pPr>
        <w:spacing w:after="0" w:line="215" w:lineRule="exact"/>
        <w:rPr>
          <w:rFonts w:ascii="Arial" w:cs="Arial" w:eastAsia="Arial" w:hAnsi="Arial"/>
          <w:sz w:val="20"/>
          <w:szCs w:val="20"/>
          <w:color w:val="auto"/>
        </w:rPr>
      </w:pPr>
    </w:p>
    <w:p>
      <w:pPr>
        <w:jc w:val="both"/>
        <w:ind w:left="660" w:firstLine="645"/>
        <w:spacing w:after="0" w:line="242" w:lineRule="auto"/>
        <w:tabs>
          <w:tab w:leader="none" w:pos="1565" w:val="left"/>
        </w:tabs>
        <w:numPr>
          <w:ilvl w:val="0"/>
          <w:numId w:val="35"/>
        </w:numPr>
        <w:rPr>
          <w:rFonts w:ascii="Arial" w:cs="Arial" w:eastAsia="Arial" w:hAnsi="Arial"/>
          <w:sz w:val="20"/>
          <w:szCs w:val="20"/>
          <w:color w:val="auto"/>
        </w:rPr>
      </w:pPr>
      <w:r>
        <w:rPr>
          <w:rFonts w:ascii="Arial" w:cs="Arial" w:eastAsia="Arial" w:hAnsi="Arial"/>
          <w:sz w:val="20"/>
          <w:szCs w:val="20"/>
          <w:color w:val="auto"/>
        </w:rPr>
        <w:t>with respect to which the applicable credit card issuer, credit card processor or debit card issuer or provider has (i) applied for, suffered, or consented to the appointment of any receiver, interim receiver, custodian, trustee, monitor, administrator, sequestrator or liquidator of its assets, (ii) has had possession of all or a material part of its property taken by any receiver, interim receiver, custodian, trustee, monitor, administrator, sequestrator or liquidator, (iii) filed, or had filed against it (but only so long as any such involuntary filing has not been stayed or vacated), any request or petition for liquidation, reorganization, arrangement, adjustment of debts, adjudication as bankrupt, winding-up, or voluntary or involuntary case under any bankruptcy or other insolvency law, (iv) has admitted in writing its inability, or is generally unable to, pay its debts as they become due, (v) become insolvent or (vi) ceased operation of its business;</w:t>
      </w:r>
    </w:p>
    <w:p>
      <w:pPr>
        <w:spacing w:after="0" w:line="197" w:lineRule="exact"/>
        <w:rPr>
          <w:rFonts w:ascii="Arial" w:cs="Arial" w:eastAsia="Arial" w:hAnsi="Arial"/>
          <w:sz w:val="20"/>
          <w:szCs w:val="20"/>
          <w:color w:val="auto"/>
        </w:rPr>
      </w:pPr>
    </w:p>
    <w:p>
      <w:pPr>
        <w:ind w:left="1600" w:hanging="295"/>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which is not a valid, legally enforceable obligation of the applicable credit card issuer or credit card processor with respect</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thereto;</w:t>
      </w:r>
    </w:p>
    <w:p>
      <w:pPr>
        <w:sectPr>
          <w:pgSz w:w="11900" w:h="16838" w:orient="portrait"/>
          <w:cols w:equalWidth="0" w:num="1">
            <w:col w:w="11420"/>
          </w:cols>
          <w:pgMar w:left="240" w:top="582" w:right="239" w:bottom="1440" w:gutter="0" w:footer="0" w:header="0"/>
        </w:sectPr>
      </w:pPr>
    </w:p>
    <w:bookmarkStart w:id="58" w:name="page59"/>
    <w:bookmarkEnd w:id="58"/>
    <w:p>
      <w:pPr>
        <w:ind w:left="1580" w:hanging="275"/>
        <w:spacing w:after="0"/>
        <w:tabs>
          <w:tab w:leader="none" w:pos="1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which is not subject to a duly perfected first priority security interest in favor of the Administrative Agent;</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601"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which is subject to any Lien, other than (i) a Lien in favor of the Administrative Agent, and (ii) any Permitted Encumbrances contemplated by the applicable processor agreements and for which appropriate Reserves (as determined by the Administrative Agent in its Permitted Discretion) have been established;</w:t>
      </w:r>
    </w:p>
    <w:p>
      <w:pPr>
        <w:spacing w:after="0" w:line="186" w:lineRule="exact"/>
        <w:rPr>
          <w:rFonts w:ascii="Arial" w:cs="Arial" w:eastAsia="Arial" w:hAnsi="Arial"/>
          <w:sz w:val="20"/>
          <w:szCs w:val="20"/>
          <w:color w:val="auto"/>
        </w:rPr>
      </w:pPr>
    </w:p>
    <w:p>
      <w:pPr>
        <w:jc w:val="both"/>
        <w:ind w:left="660" w:firstLine="645"/>
        <w:spacing w:after="0" w:line="260" w:lineRule="auto"/>
        <w:tabs>
          <w:tab w:leader="none" w:pos="155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 respect to which (i) the applicable Borrower has failed to comply in all material respects with its obligations under the Credit Card Agreements related thereto, or (ii) (A) any covenant has been breached in any material respect or (B) any representation or warranty is not true in all material respects, in each case to the extent contained in this Agreement, the applicable Security Agreement or in the Credit Card Agreements relating to such Credit Card Account; provided that each such representation and warranty shall be true and correct in all respects to the extent already qualified by a materiality standard;</w:t>
      </w:r>
    </w:p>
    <w:p>
      <w:pPr>
        <w:spacing w:after="0" w:line="180" w:lineRule="exact"/>
        <w:rPr>
          <w:rFonts w:ascii="Arial" w:cs="Arial" w:eastAsia="Arial" w:hAnsi="Arial"/>
          <w:sz w:val="19"/>
          <w:szCs w:val="19"/>
          <w:color w:val="auto"/>
        </w:rPr>
      </w:pPr>
    </w:p>
    <w:p>
      <w:pPr>
        <w:jc w:val="both"/>
        <w:ind w:left="660" w:firstLine="645"/>
        <w:spacing w:after="0" w:line="250" w:lineRule="auto"/>
        <w:tabs>
          <w:tab w:leader="none" w:pos="1603"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which is subject to risk of set-off, recoupment, non-collection or not being processed due to unpaid and/or accrued credit card processor fee balances, to the extent of the lesser of the balance of the applicable Credit Card Account or the unpaid credit card processor fees;</w:t>
      </w:r>
    </w:p>
    <w:p>
      <w:pPr>
        <w:spacing w:after="0" w:line="186" w:lineRule="exact"/>
        <w:rPr>
          <w:rFonts w:ascii="Arial" w:cs="Arial" w:eastAsia="Arial" w:hAnsi="Arial"/>
          <w:sz w:val="20"/>
          <w:szCs w:val="20"/>
          <w:color w:val="auto"/>
        </w:rPr>
      </w:pPr>
    </w:p>
    <w:p>
      <w:pPr>
        <w:ind w:left="660" w:firstLine="645"/>
        <w:spacing w:after="0" w:line="287" w:lineRule="auto"/>
        <w:tabs>
          <w:tab w:leader="none" w:pos="155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which is evidenced by “chattel paper” or an “instrument” of any kind unless such “chattel paper” or “instrument” is in the possession of the Administrative Agent, and to the extent necessary or appropriate, endorsed to the Administrative Agent;</w:t>
      </w:r>
    </w:p>
    <w:p>
      <w:pPr>
        <w:spacing w:after="0" w:line="152" w:lineRule="exact"/>
        <w:rPr>
          <w:rFonts w:ascii="Arial" w:cs="Arial" w:eastAsia="Arial" w:hAnsi="Arial"/>
          <w:sz w:val="19"/>
          <w:szCs w:val="19"/>
          <w:color w:val="auto"/>
        </w:rPr>
      </w:pPr>
    </w:p>
    <w:p>
      <w:pPr>
        <w:ind w:left="660" w:firstLine="645"/>
        <w:spacing w:after="0" w:line="260" w:lineRule="auto"/>
        <w:tabs>
          <w:tab w:leader="none" w:pos="1653"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which the Administrative Agent in its Permitted Discretion determines may not be paid by reason of the applicable credit card processor’s, credit card issuer’s or debit card issuer’s or provider’s inability to pay;</w:t>
      </w:r>
    </w:p>
    <w:p>
      <w:pPr>
        <w:spacing w:after="0" w:line="176" w:lineRule="exact"/>
        <w:rPr>
          <w:rFonts w:ascii="Arial" w:cs="Arial" w:eastAsia="Arial" w:hAnsi="Arial"/>
          <w:sz w:val="20"/>
          <w:szCs w:val="20"/>
          <w:color w:val="auto"/>
        </w:rPr>
      </w:pPr>
    </w:p>
    <w:p>
      <w:pPr>
        <w:ind w:left="1580" w:hanging="275"/>
        <w:spacing w:after="0"/>
        <w:tabs>
          <w:tab w:leader="none" w:pos="1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which represents a deposit or partial payment in connection with the purchase of Inventory of such Borrower;</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which is not subject to a Credit Card Notification; or</w:t>
      </w:r>
    </w:p>
    <w:p>
      <w:pPr>
        <w:spacing w:after="0" w:line="215" w:lineRule="exact"/>
        <w:rPr>
          <w:rFonts w:ascii="Arial" w:cs="Arial" w:eastAsia="Arial" w:hAnsi="Arial"/>
          <w:sz w:val="20"/>
          <w:szCs w:val="20"/>
          <w:color w:val="auto"/>
        </w:rPr>
      </w:pPr>
    </w:p>
    <w:p>
      <w:pPr>
        <w:ind w:left="660" w:right="20" w:firstLine="645"/>
        <w:spacing w:after="0" w:line="260" w:lineRule="auto"/>
        <w:tabs>
          <w:tab w:leader="none" w:pos="16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which the Administrative Agent determines in its Permitted Discretion may not be paid for any reason or which the Administrative Agent otherwise determines in its Permitted Discretion is unacceptable for any reason whatsoever.</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determining the amount of an Eligible Credit Card Account of a Borrower, the face amount of a Credit Card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Credit Card Account but not yet applied by such Borrower to reduce the amount of such Credit Card Account.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Inventory</w:t>
      </w:r>
      <w:r>
        <w:rPr>
          <w:rFonts w:ascii="Arial" w:cs="Arial" w:eastAsia="Arial" w:hAnsi="Arial"/>
          <w:sz w:val="19"/>
          <w:szCs w:val="19"/>
          <w:color w:val="auto"/>
        </w:rPr>
        <w:t>” means, at any time, the Inventory of a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70" w:lineRule="exact"/>
        <w:rPr>
          <w:sz w:val="20"/>
          <w:szCs w:val="20"/>
          <w:color w:val="auto"/>
        </w:rPr>
      </w:pPr>
    </w:p>
    <w:p>
      <w:pPr>
        <w:ind w:left="2360" w:hanging="407"/>
        <w:spacing w:after="0"/>
        <w:tabs>
          <w:tab w:leader="none" w:pos="2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which is not subject to a first priority perfected Lien in favor of the Administrative Agent;</w:t>
      </w:r>
    </w:p>
    <w:p>
      <w:pPr>
        <w:spacing w:after="0" w:line="215" w:lineRule="exact"/>
        <w:rPr>
          <w:rFonts w:ascii="Arial" w:cs="Arial" w:eastAsia="Arial" w:hAnsi="Arial"/>
          <w:sz w:val="20"/>
          <w:szCs w:val="20"/>
          <w:color w:val="auto"/>
        </w:rPr>
      </w:pPr>
    </w:p>
    <w:p>
      <w:pPr>
        <w:ind w:left="660" w:firstLine="1293"/>
        <w:spacing w:after="0" w:line="260" w:lineRule="auto"/>
        <w:tabs>
          <w:tab w:leader="none" w:pos="24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which is subject to any Lien other than (i) a Lien in favor of the Administrative Agent and (ii) a Permitted Encumbrance which does not have priority over the Lien in favor of the Administrative Agent;</w:t>
      </w:r>
    </w:p>
    <w:p>
      <w:pPr>
        <w:sectPr>
          <w:pgSz w:w="11900" w:h="16838" w:orient="portrait"/>
          <w:cols w:equalWidth="0" w:num="1">
            <w:col w:w="11420"/>
          </w:cols>
          <w:pgMar w:left="240" w:top="582" w:right="239" w:bottom="1440" w:gutter="0" w:footer="0" w:header="0"/>
        </w:sectPr>
      </w:pPr>
    </w:p>
    <w:bookmarkStart w:id="59" w:name="page60"/>
    <w:bookmarkEnd w:id="59"/>
    <w:p>
      <w:pPr>
        <w:jc w:val="both"/>
        <w:ind w:left="4" w:firstLine="1293"/>
        <w:spacing w:after="0" w:line="269" w:lineRule="auto"/>
        <w:tabs>
          <w:tab w:leader="none" w:pos="1714" w:val="left"/>
        </w:tabs>
        <w:numPr>
          <w:ilvl w:val="1"/>
          <w:numId w:val="38"/>
        </w:numPr>
        <w:rPr>
          <w:rFonts w:ascii="Arial" w:cs="Arial" w:eastAsia="Arial" w:hAnsi="Arial"/>
          <w:sz w:val="19"/>
          <w:szCs w:val="19"/>
          <w:color w:val="auto"/>
        </w:rPr>
      </w:pPr>
      <w:r>
        <w:rPr>
          <w:rFonts w:ascii="Arial" w:cs="Arial" w:eastAsia="Arial" w:hAnsi="Arial"/>
          <w:sz w:val="19"/>
          <w:szCs w:val="19"/>
          <w:color w:val="auto"/>
        </w:rPr>
        <w:t>which is, in the Administrative Agent’s opinion in its Permitted Discretion after consultation with the Borrowers, slow moving, obsolete, unmerchantable, defective, used, unfit for sale, not salable at prices approximating at least the cost of such Inventory in the ordinary course of business or unacceptable due to age, type, category and/or quantity;</w:t>
      </w:r>
    </w:p>
    <w:p>
      <w:pPr>
        <w:spacing w:after="0" w:line="170" w:lineRule="exact"/>
        <w:rPr>
          <w:rFonts w:ascii="Arial" w:cs="Arial" w:eastAsia="Arial" w:hAnsi="Arial"/>
          <w:sz w:val="19"/>
          <w:szCs w:val="19"/>
          <w:color w:val="auto"/>
        </w:rPr>
      </w:pPr>
    </w:p>
    <w:p>
      <w:pPr>
        <w:ind w:left="4" w:firstLine="1293"/>
        <w:spacing w:after="0" w:line="316" w:lineRule="auto"/>
        <w:tabs>
          <w:tab w:leader="none" w:pos="1779"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this Agreement or in the Security Agreement has been breached or is not true and which does not conform to all standards imposed by any Governmental Authority;</w:t>
      </w:r>
    </w:p>
    <w:p>
      <w:pPr>
        <w:spacing w:after="0" w:line="130" w:lineRule="exact"/>
        <w:rPr>
          <w:rFonts w:ascii="Arial" w:cs="Arial" w:eastAsia="Arial" w:hAnsi="Arial"/>
          <w:sz w:val="18"/>
          <w:szCs w:val="18"/>
          <w:color w:val="auto"/>
        </w:rPr>
      </w:pPr>
    </w:p>
    <w:p>
      <w:pPr>
        <w:ind w:left="1744" w:hanging="447"/>
        <w:spacing w:after="0"/>
        <w:tabs>
          <w:tab w:leader="none" w:pos="17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which any Person other than such Borrower shall (i) have any direct or indirect ownership, interest or title or</w:t>
      </w:r>
    </w:p>
    <w:p>
      <w:pPr>
        <w:spacing w:after="0" w:line="38" w:lineRule="exact"/>
        <w:rPr>
          <w:rFonts w:ascii="Arial" w:cs="Arial" w:eastAsia="Arial" w:hAnsi="Arial"/>
          <w:sz w:val="18"/>
          <w:szCs w:val="18"/>
          <w:color w:val="auto"/>
        </w:rPr>
      </w:pPr>
    </w:p>
    <w:p>
      <w:pPr>
        <w:ind w:left="284" w:hanging="284"/>
        <w:spacing w:after="0"/>
        <w:tabs>
          <w:tab w:leader="none" w:pos="2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indicated on any purchase order or invoice with respect to such Inventory as having or purporting to have an interest therein;</w:t>
      </w:r>
    </w:p>
    <w:p>
      <w:pPr>
        <w:spacing w:after="0" w:line="222" w:lineRule="exact"/>
        <w:rPr>
          <w:rFonts w:ascii="Arial" w:cs="Arial" w:eastAsia="Arial" w:hAnsi="Arial"/>
          <w:sz w:val="18"/>
          <w:szCs w:val="18"/>
          <w:color w:val="auto"/>
        </w:rPr>
      </w:pPr>
    </w:p>
    <w:p>
      <w:pPr>
        <w:jc w:val="both"/>
        <w:ind w:left="4" w:firstLine="1293"/>
        <w:spacing w:after="0" w:line="263" w:lineRule="auto"/>
        <w:tabs>
          <w:tab w:leader="none" w:pos="1786" w:val="left"/>
        </w:tabs>
        <w:numPr>
          <w:ilvl w:val="1"/>
          <w:numId w:val="39"/>
        </w:numPr>
        <w:rPr>
          <w:rFonts w:ascii="Arial" w:cs="Arial" w:eastAsia="Arial" w:hAnsi="Arial"/>
          <w:sz w:val="19"/>
          <w:szCs w:val="19"/>
          <w:color w:val="auto"/>
        </w:rPr>
      </w:pPr>
      <w:r>
        <w:rPr>
          <w:rFonts w:ascii="Arial" w:cs="Arial" w:eastAsia="Arial" w:hAnsi="Arial"/>
          <w:sz w:val="19"/>
          <w:szCs w:val="19"/>
          <w:color w:val="auto"/>
        </w:rPr>
        <w:t>which is not finished goods or which constitutes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176" w:lineRule="exact"/>
        <w:rPr>
          <w:rFonts w:ascii="Arial" w:cs="Arial" w:eastAsia="Arial" w:hAnsi="Arial"/>
          <w:sz w:val="19"/>
          <w:szCs w:val="19"/>
          <w:color w:val="auto"/>
        </w:rPr>
      </w:pPr>
    </w:p>
    <w:p>
      <w:pPr>
        <w:ind w:left="1704" w:hanging="407"/>
        <w:spacing w:after="0"/>
        <w:tabs>
          <w:tab w:leader="none" w:pos="1704"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is not located in the U.S. or is in transit with a common carrier from vendors and suppliers;</w:t>
      </w:r>
    </w:p>
    <w:p>
      <w:pPr>
        <w:spacing w:after="0" w:line="215" w:lineRule="exact"/>
        <w:rPr>
          <w:rFonts w:ascii="Arial" w:cs="Arial" w:eastAsia="Arial" w:hAnsi="Arial"/>
          <w:sz w:val="20"/>
          <w:szCs w:val="20"/>
          <w:color w:val="auto"/>
        </w:rPr>
      </w:pPr>
    </w:p>
    <w:p>
      <w:pPr>
        <w:jc w:val="both"/>
        <w:ind w:left="4" w:firstLine="1293"/>
        <w:spacing w:after="0" w:line="291" w:lineRule="auto"/>
        <w:tabs>
          <w:tab w:leader="none" w:pos="1738"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which is located in any location leased by such Borrower unless either of the following is satisfied: (i) the lessor has delivered to the Administrative Agent a Collateral Access Agreement or (ii) a Reserve for rent, charges and other amounts due or to become due with respect to such facility has been established by the Administrative Agent in its Permitted Discretion;</w:t>
      </w:r>
    </w:p>
    <w:p>
      <w:pPr>
        <w:spacing w:after="0" w:line="151" w:lineRule="exact"/>
        <w:rPr>
          <w:rFonts w:ascii="Arial" w:cs="Arial" w:eastAsia="Arial" w:hAnsi="Arial"/>
          <w:sz w:val="18"/>
          <w:szCs w:val="18"/>
          <w:color w:val="auto"/>
        </w:rPr>
      </w:pPr>
    </w:p>
    <w:p>
      <w:pPr>
        <w:jc w:val="both"/>
        <w:ind w:left="4" w:firstLine="1293"/>
        <w:spacing w:after="0" w:line="246" w:lineRule="auto"/>
        <w:tabs>
          <w:tab w:leader="none" w:pos="1667"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is located in any third party warehouse or is in the possession of a bailee (other than a third party processor) unless either of the following is satisfied: (i)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91" w:lineRule="exact"/>
        <w:rPr>
          <w:rFonts w:ascii="Arial" w:cs="Arial" w:eastAsia="Arial" w:hAnsi="Arial"/>
          <w:sz w:val="20"/>
          <w:szCs w:val="20"/>
          <w:color w:val="auto"/>
        </w:rPr>
      </w:pPr>
    </w:p>
    <w:p>
      <w:pPr>
        <w:ind w:left="4" w:right="140" w:firstLine="1293"/>
        <w:spacing w:after="0" w:line="260" w:lineRule="auto"/>
        <w:tabs>
          <w:tab w:leader="none" w:pos="1667"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is being processed offsite at a third party location or outside processor, or is in-transit to or from such third party location or outside processor;</w:t>
      </w:r>
    </w:p>
    <w:p>
      <w:pPr>
        <w:spacing w:after="0" w:line="176" w:lineRule="exact"/>
        <w:rPr>
          <w:rFonts w:ascii="Arial" w:cs="Arial" w:eastAsia="Arial" w:hAnsi="Arial"/>
          <w:sz w:val="20"/>
          <w:szCs w:val="20"/>
          <w:color w:val="auto"/>
        </w:rPr>
      </w:pPr>
    </w:p>
    <w:p>
      <w:pPr>
        <w:ind w:left="1704" w:hanging="407"/>
        <w:spacing w:after="0"/>
        <w:tabs>
          <w:tab w:leader="none" w:pos="1704"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is a discontinued product or component thereof;</w:t>
      </w:r>
    </w:p>
    <w:p>
      <w:pPr>
        <w:spacing w:after="0" w:line="215" w:lineRule="exact"/>
        <w:rPr>
          <w:rFonts w:ascii="Arial" w:cs="Arial" w:eastAsia="Arial" w:hAnsi="Arial"/>
          <w:sz w:val="20"/>
          <w:szCs w:val="20"/>
          <w:color w:val="auto"/>
        </w:rPr>
      </w:pPr>
    </w:p>
    <w:p>
      <w:pPr>
        <w:ind w:left="1664" w:hanging="367"/>
        <w:spacing w:after="0"/>
        <w:tabs>
          <w:tab w:leader="none" w:pos="1664"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is the subject of a consignment by such Borrower as consignor;</w:t>
      </w:r>
    </w:p>
    <w:p>
      <w:pPr>
        <w:spacing w:after="0" w:line="215" w:lineRule="exact"/>
        <w:rPr>
          <w:rFonts w:ascii="Arial" w:cs="Arial" w:eastAsia="Arial" w:hAnsi="Arial"/>
          <w:sz w:val="20"/>
          <w:szCs w:val="20"/>
          <w:color w:val="auto"/>
        </w:rPr>
      </w:pPr>
    </w:p>
    <w:p>
      <w:pPr>
        <w:jc w:val="both"/>
        <w:ind w:left="4" w:firstLine="1293"/>
        <w:spacing w:after="0" w:line="246" w:lineRule="auto"/>
        <w:tabs>
          <w:tab w:leader="none" w:pos="1861"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91" w:lineRule="exact"/>
        <w:rPr>
          <w:rFonts w:ascii="Arial" w:cs="Arial" w:eastAsia="Arial" w:hAnsi="Arial"/>
          <w:sz w:val="20"/>
          <w:szCs w:val="20"/>
          <w:color w:val="auto"/>
        </w:rPr>
      </w:pPr>
    </w:p>
    <w:p>
      <w:pPr>
        <w:ind w:left="1704" w:hanging="407"/>
        <w:spacing w:after="0"/>
        <w:tabs>
          <w:tab w:leader="none" w:pos="1704"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is not reflected in a current perpetual inventory report of such Borrower;</w:t>
      </w:r>
    </w:p>
    <w:p>
      <w:pPr>
        <w:spacing w:after="0" w:line="215" w:lineRule="exact"/>
        <w:rPr>
          <w:rFonts w:ascii="Arial" w:cs="Arial" w:eastAsia="Arial" w:hAnsi="Arial"/>
          <w:sz w:val="20"/>
          <w:szCs w:val="20"/>
          <w:color w:val="auto"/>
        </w:rPr>
      </w:pPr>
    </w:p>
    <w:p>
      <w:pPr>
        <w:ind w:left="1704" w:hanging="407"/>
        <w:spacing w:after="0"/>
        <w:tabs>
          <w:tab w:leader="none" w:pos="1704" w:val="left"/>
        </w:tabs>
        <w:numPr>
          <w:ilvl w:val="1"/>
          <w:numId w:val="39"/>
        </w:numPr>
        <w:rPr>
          <w:rFonts w:ascii="Arial" w:cs="Arial" w:eastAsia="Arial" w:hAnsi="Arial"/>
          <w:sz w:val="20"/>
          <w:szCs w:val="20"/>
          <w:color w:val="auto"/>
        </w:rPr>
      </w:pPr>
      <w:r>
        <w:rPr>
          <w:rFonts w:ascii="Arial" w:cs="Arial" w:eastAsia="Arial" w:hAnsi="Arial"/>
          <w:sz w:val="20"/>
          <w:szCs w:val="20"/>
          <w:color w:val="auto"/>
        </w:rPr>
        <w:t>for which reclamation rights have been asserted by the seller;</w:t>
      </w:r>
    </w:p>
    <w:p>
      <w:pPr>
        <w:spacing w:after="0" w:line="215" w:lineRule="exact"/>
        <w:rPr>
          <w:rFonts w:ascii="Arial" w:cs="Arial" w:eastAsia="Arial" w:hAnsi="Arial"/>
          <w:sz w:val="20"/>
          <w:szCs w:val="20"/>
          <w:color w:val="auto"/>
        </w:rPr>
      </w:pPr>
    </w:p>
    <w:p>
      <w:pPr>
        <w:ind w:left="1704" w:hanging="407"/>
        <w:spacing w:after="0"/>
        <w:tabs>
          <w:tab w:leader="none" w:pos="1704" w:val="left"/>
        </w:tabs>
        <w:numPr>
          <w:ilvl w:val="1"/>
          <w:numId w:val="39"/>
        </w:numPr>
        <w:rPr>
          <w:rFonts w:ascii="Arial" w:cs="Arial" w:eastAsia="Arial" w:hAnsi="Arial"/>
          <w:sz w:val="20"/>
          <w:szCs w:val="20"/>
          <w:color w:val="auto"/>
        </w:rPr>
      </w:pPr>
      <w:r>
        <w:rPr>
          <w:rFonts w:ascii="Arial" w:cs="Arial" w:eastAsia="Arial" w:hAnsi="Arial"/>
          <w:sz w:val="20"/>
          <w:szCs w:val="20"/>
          <w:color w:val="auto"/>
        </w:rPr>
        <w:t>which has been acquired from a Sanctioned Person; or</w:t>
      </w:r>
    </w:p>
    <w:p>
      <w:pPr>
        <w:spacing w:after="0" w:line="215" w:lineRule="exact"/>
        <w:rPr>
          <w:rFonts w:ascii="Arial" w:cs="Arial" w:eastAsia="Arial" w:hAnsi="Arial"/>
          <w:sz w:val="20"/>
          <w:szCs w:val="20"/>
          <w:color w:val="auto"/>
        </w:rPr>
      </w:pPr>
    </w:p>
    <w:p>
      <w:pPr>
        <w:ind w:left="1744" w:hanging="447"/>
        <w:spacing w:after="0"/>
        <w:tabs>
          <w:tab w:leader="none" w:pos="17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which the Administrative Agent otherwise determines in its Permitted Discretion is unacceptable for any reason</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whatsoever.</w:t>
      </w:r>
    </w:p>
    <w:p>
      <w:pPr>
        <w:sectPr>
          <w:pgSz w:w="11900" w:h="16838" w:orient="portrait"/>
          <w:cols w:equalWidth="0" w:num="1">
            <w:col w:w="10764"/>
          </w:cols>
          <w:pgMar w:left="896" w:top="798" w:right="239" w:bottom="1440" w:gutter="0" w:footer="0" w:header="0"/>
        </w:sectPr>
      </w:pPr>
    </w:p>
    <w:bookmarkStart w:id="60" w:name="page61"/>
    <w:bookmarkEnd w:id="60"/>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any Borrower or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xml:space="preserve"> “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the rules and regulations promulgated thereunder.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Arial" w:cs="Arial" w:eastAsia="Arial" w:hAnsi="Arial"/>
          <w:sz w:val="18"/>
          <w:szCs w:val="18"/>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in critical status or in reorganization, within the meaning of Title IV of ERISA.</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w:t>
      </w:r>
      <w:r>
        <w:rPr>
          <w:rFonts w:ascii="Arial" w:cs="Arial" w:eastAsia="Arial" w:hAnsi="Arial"/>
          <w:sz w:val="20"/>
          <w:szCs w:val="20"/>
          <w:color w:val="auto"/>
        </w:rPr>
        <w:t>”, when used in reference to any Loan or Borrowing, refers to whether such Loan, or the Loans comprising such Borrowing, bears interest at a rate determined by reference to the Adjusted LIBO 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Article VII.</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w:t>
      </w:r>
    </w:p>
    <w:p>
      <w:pPr>
        <w:sectPr>
          <w:pgSz w:w="11900" w:h="16838" w:orient="portrait"/>
          <w:cols w:equalWidth="0" w:num="1">
            <w:col w:w="11420"/>
          </w:cols>
          <w:pgMar w:left="240" w:top="798" w:right="239" w:bottom="1440" w:gutter="0" w:footer="0" w:header="0"/>
        </w:sectPr>
      </w:pPr>
    </w:p>
    <w:bookmarkStart w:id="61" w:name="page62"/>
    <w:bookmarkEnd w:id="61"/>
    <w:p>
      <w:pPr>
        <w:jc w:val="both"/>
        <w:spacing w:after="0" w:line="316" w:lineRule="auto"/>
        <w:rPr>
          <w:sz w:val="20"/>
          <w:szCs w:val="20"/>
          <w:color w:val="auto"/>
        </w:rPr>
      </w:pPr>
      <w:r>
        <w:rPr>
          <w:rFonts w:ascii="Arial" w:cs="Arial" w:eastAsia="Arial" w:hAnsi="Arial"/>
          <w:sz w:val="18"/>
          <w:szCs w:val="18"/>
          <w:color w:val="auto"/>
        </w:rPr>
        <w:t>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Extenuating Circumstance</w:t>
      </w:r>
      <w:r>
        <w:rPr>
          <w:rFonts w:ascii="Arial" w:cs="Arial" w:eastAsia="Arial" w:hAnsi="Arial"/>
          <w:sz w:val="20"/>
          <w:szCs w:val="20"/>
          <w:color w:val="auto"/>
        </w:rPr>
        <w:t>” means any period during which the Administrative Agent has determined in its sole discretion (i) that due to unforeseen and/or nonrecurring circumstances, it is impractical and/or not feasible to submit or receive a Borrowing Request or Interest Election Request by email or fax or through Electronic System, and (ii) to accept a Borrowing Request or Interest Election Request telephonically.</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a Borrower.</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Charge Coverage Ratio</w:t>
      </w:r>
      <w:r>
        <w:rPr>
          <w:rFonts w:ascii="Arial" w:cs="Arial" w:eastAsia="Arial" w:hAnsi="Arial"/>
          <w:sz w:val="20"/>
          <w:szCs w:val="20"/>
          <w:color w:val="auto"/>
        </w:rPr>
        <w:t xml:space="preserve">” means, at any date, the ratio of (a) EBITDA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Unfinanced Capital Expenditures to (b) Fixed Charges, all calculated for the period of twelve consecutive fiscal months ended on such date (or, if such date is not the last day of a fiscal month, ended on the last day of the fiscal month most recently ended prior to such date).</w:t>
      </w:r>
    </w:p>
    <w:p>
      <w:pPr>
        <w:spacing w:after="0" w:line="18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xml:space="preserve">” means, for any period, without duplication, cash Interest Expense,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scheduled principal payments on Indebtedness actually made,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expenses for taxes paid in cash,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Restricted Payments paid in cash,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Capital Lease Obligation payments,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cash contributions to any Plan, all calculated for Holdings and its Subsidiaries on a consolidated basis in accordance with GAAP.</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Laws</w:t>
      </w:r>
      <w:r>
        <w:rPr>
          <w:rFonts w:ascii="Arial" w:cs="Arial" w:eastAsia="Arial" w:hAnsi="Arial"/>
          <w:sz w:val="20"/>
          <w:szCs w:val="20"/>
          <w:color w:val="auto"/>
        </w:rPr>
        <w:t>” has the meaning assigned to such term in Section 8.10.</w:t>
      </w:r>
    </w:p>
    <w:p>
      <w:pPr>
        <w:sectPr>
          <w:pgSz w:w="11900" w:h="16838" w:orient="portrait"/>
          <w:cols w:equalWidth="0" w:num="1">
            <w:col w:w="11420"/>
          </w:cols>
          <w:pgMar w:left="240" w:top="582" w:right="239" w:bottom="1440" w:gutter="0" w:footer="0" w:header="0"/>
        </w:sectPr>
      </w:pPr>
    </w:p>
    <w:bookmarkStart w:id="62" w:name="page63"/>
    <w:bookmarkEnd w:id="62"/>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which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Account</w:t>
      </w:r>
      <w:r>
        <w:rPr>
          <w:rFonts w:ascii="Arial" w:cs="Arial" w:eastAsia="Arial" w:hAnsi="Arial"/>
          <w:sz w:val="20"/>
          <w:szCs w:val="20"/>
          <w:color w:val="auto"/>
        </w:rPr>
        <w:t>” has the meaning assigned to such term in Section 4.01(h).</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has the meaning assigned to such term in Section 10.01.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means all Loan Guarantors and all non-Loan Parties who have delivered an Obligation Guaranty, and the term “Guarantor” means each or any one of them individually.</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means Vera Bradley, Inc., an Indiana corporation.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such term in the definition of “LIBO Rate”.</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w:t>
      </w:r>
    </w:p>
    <w:p>
      <w:pPr>
        <w:sectPr>
          <w:pgSz w:w="11900" w:h="16838" w:orient="portrait"/>
          <w:cols w:equalWidth="0" w:num="1">
            <w:col w:w="11420"/>
          </w:cols>
          <w:pgMar w:left="240" w:top="582" w:right="239" w:bottom="1440" w:gutter="0" w:footer="0" w:header="0"/>
        </w:sectPr>
      </w:pPr>
    </w:p>
    <w:bookmarkStart w:id="63" w:name="page64"/>
    <w:bookmarkEnd w:id="63"/>
    <w:p>
      <w:pPr>
        <w:jc w:val="both"/>
        <w:ind w:firstLine="8"/>
        <w:spacing w:after="0" w:line="256" w:lineRule="auto"/>
        <w:tabs>
          <w:tab w:leader="none" w:pos="262"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such earn-out), (l) any other Off Balance Sheet Liability,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9.03(b).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assigned to such term in Section 9.12.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Period</w:t>
      </w:r>
      <w:r>
        <w:rPr>
          <w:rFonts w:ascii="Arial" w:cs="Arial" w:eastAsia="Arial" w:hAnsi="Arial"/>
          <w:sz w:val="20"/>
          <w:szCs w:val="20"/>
          <w:color w:val="auto"/>
        </w:rPr>
        <w:t>” means the period from the Effective Date through the date that the first Borrowing is made.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means a request by the Borrower Representative to convert or continue a Borrowing in accordance with Section 2.08.</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Expense</w:t>
      </w:r>
      <w:r>
        <w:rPr>
          <w:rFonts w:ascii="Arial" w:cs="Arial" w:eastAsia="Arial" w:hAnsi="Arial"/>
          <w:sz w:val="19"/>
          <w:szCs w:val="19"/>
          <w:color w:val="auto"/>
        </w:rPr>
        <w:t>” means, for any period, total interest expense (including that attributable to Capital Lease Obligations) of Holdings and its Subsidiaries for such period with respect to all outstanding Indebtedness of Holdings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on a consolidated basis for Holdings and its Subsidiaries for such period in accordance with GAAP.</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CBFR Loan (other than a Swingline Loan), the first day of each calendar month and the Maturity Date, (b) with respect to any Eurodollar Loan, the last day of each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Swingline Loan is required to be repaid and the Maturity Date.</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with respect to any Eurodollar Borrowing, the period commencing on the date of such Eurodollar Borrowing and ending on the numerically corresponding day in the calendar month that is one, two, three or six months thereafter, as the Borrower Representative may elect; </w:t>
      </w:r>
      <w:r>
        <w:rPr>
          <w:rFonts w:ascii="Arial" w:cs="Arial" w:eastAsia="Arial" w:hAnsi="Arial"/>
          <w:sz w:val="20"/>
          <w:szCs w:val="20"/>
          <w:u w:val="single" w:color="auto"/>
          <w:color w:val="auto"/>
        </w:rPr>
        <w:t>provided</w:t>
      </w:r>
      <w:r>
        <w:rPr>
          <w:rFonts w:ascii="Arial" w:cs="Arial" w:eastAsia="Arial" w:hAnsi="Arial"/>
          <w:sz w:val="20"/>
          <w:szCs w:val="20"/>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Interpolated Rate</w:t>
      </w:r>
      <w:r>
        <w:rPr>
          <w:rFonts w:ascii="Arial" w:cs="Arial" w:eastAsia="Arial" w:hAnsi="Arial"/>
          <w:sz w:val="20"/>
          <w:szCs w:val="20"/>
          <w:color w:val="auto"/>
        </w:rPr>
        <w:t>” means, at any time, for any Interest Period, the rate per annum (rounded to the same number of decimal places as the LIBO Screen Rate) determined by the Administrative Agent (which determination shall be</w:t>
      </w:r>
    </w:p>
    <w:p>
      <w:pPr>
        <w:sectPr>
          <w:pgSz w:w="11900" w:h="16838" w:orient="portrait"/>
          <w:cols w:equalWidth="0" w:num="1">
            <w:col w:w="11420"/>
          </w:cols>
          <w:pgMar w:left="240" w:top="582" w:right="239" w:bottom="1440" w:gutter="0" w:footer="0" w:header="0"/>
        </w:sectPr>
      </w:pPr>
    </w:p>
    <w:bookmarkStart w:id="64" w:name="page65"/>
    <w:bookmarkEnd w:id="64"/>
    <w:p>
      <w:pPr>
        <w:jc w:val="both"/>
        <w:ind w:right="20"/>
        <w:spacing w:after="0" w:line="328" w:lineRule="auto"/>
        <w:rPr>
          <w:sz w:val="20"/>
          <w:szCs w:val="20"/>
          <w:color w:val="auto"/>
        </w:rPr>
      </w:pPr>
      <w:r>
        <w:rPr>
          <w:rFonts w:ascii="Arial" w:cs="Arial" w:eastAsia="Arial" w:hAnsi="Arial"/>
          <w:sz w:val="16"/>
          <w:szCs w:val="16"/>
          <w:color w:val="auto"/>
        </w:rPr>
        <w:t xml:space="preserve">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Interpolated rate shall be less than zero, such rate shall be deemed to be zero for purposes of this Agreement.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as to any Person, any direct or indirect acquisition or investment by such Person (but excluding any transaction constituting an Acquisition) whether by means of (a) the purchase or other acquisition of Equity Interests or debt or other securities of another Person, or (b) a loan, advance or capital contribution to, Guarantee or assumption of Indebtedness of, or purchase or other acquisition of any other debt or equity participation or interest in, another Person, including any partnership or joint venture interest in such other Person. For purposes of covenant compliance, the amount of any Investment shall be the amount actually invested, without adjustment for subsequent increases or decreases in the value of such Investment but giving effect to any returns or distributions received by such Person with respect thereto.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individually and collectively, each of JPMCB, in its capacity as the issuer of Letters of Credit hereunder and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 Sublimit</w:t>
      </w:r>
      <w:r>
        <w:rPr>
          <w:rFonts w:ascii="Arial" w:cs="Arial" w:eastAsia="Arial" w:hAnsi="Arial"/>
          <w:sz w:val="20"/>
          <w:szCs w:val="20"/>
          <w:color w:val="auto"/>
        </w:rPr>
        <w:t>” means, as of the Effective Date, (i) $10,000,000, in the case of JPMCB and (ii) such amount as shall be designated to the Administrative Agent and the Borrower Representative in writing by an Issuing Bank; provided that any Issuing Bank shall be permitted at any time to increase or reduce its Issuing Bank Sublimit upon providing five (5) days’ prior written notice thereof to the Administrative Agent and the Borrower Representative.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JPMCB</w:t>
      </w:r>
      <w:r>
        <w:rPr>
          <w:rFonts w:ascii="Arial" w:cs="Arial" w:eastAsia="Arial" w:hAnsi="Arial"/>
          <w:sz w:val="19"/>
          <w:szCs w:val="19"/>
          <w:color w:val="auto"/>
        </w:rPr>
        <w:t>” means JPMorgan Chase Bank, N.A., a national banking association, in its individual capacity, and its successors.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Collateral Account</w:t>
      </w:r>
      <w:r>
        <w:rPr>
          <w:rFonts w:ascii="Arial" w:cs="Arial" w:eastAsia="Arial" w:hAnsi="Arial"/>
          <w:sz w:val="20"/>
          <w:szCs w:val="20"/>
          <w:color w:val="auto"/>
        </w:rPr>
        <w:t>” has the meaning assigned to such term in Section 2.06(j).</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any payment made by an Issuing Bank pursuant to a Letter of Credit.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xml:space="preserve">” means, at any time, the sum of (a) the aggregate undrawn amount of all outstanding Letters of Credit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aggregate amount of all LC Disbursements relating to Letters of Credit that have not yet been reimbursed by or on behalf of the Borrowers. The LC Exposure of any Revolving Lender at any time shall be its Applicable Percentage of the aggregate LC Exposure at such time.</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the </w:t>
      </w:r>
      <w:r>
        <w:rPr>
          <w:rFonts w:ascii="Arial" w:cs="Arial" w:eastAsia="Arial" w:hAnsi="Arial"/>
          <w:sz w:val="20"/>
          <w:szCs w:val="20"/>
          <w:u w:val="single" w:color="auto"/>
          <w:color w:val="auto"/>
        </w:rPr>
        <w:t>Commitment Schedule</w:t>
      </w:r>
      <w:r>
        <w:rPr>
          <w:rFonts w:ascii="Arial" w:cs="Arial" w:eastAsia="Arial" w:hAnsi="Arial"/>
          <w:sz w:val="20"/>
          <w:szCs w:val="20"/>
          <w:color w:val="auto"/>
        </w:rPr>
        <w:t xml:space="preserv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“Lenders” includes the Swingline Lender and the Issuing Bank.</w:t>
      </w:r>
    </w:p>
    <w:p>
      <w:pPr>
        <w:sectPr>
          <w:pgSz w:w="11900" w:h="16838" w:orient="portrait"/>
          <w:cols w:equalWidth="0" w:num="1">
            <w:col w:w="11420"/>
          </w:cols>
          <w:pgMar w:left="240" w:top="582" w:right="239" w:bottom="1440" w:gutter="0" w:footer="0" w:header="0"/>
        </w:sectPr>
      </w:pPr>
    </w:p>
    <w:bookmarkStart w:id="65" w:name="page66"/>
    <w:bookmarkEnd w:id="65"/>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means the letters of credit issued pursuant to this Agreement, and the term “</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one of them or each of them singularly, as the context may require.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Agreement</w:t>
      </w:r>
      <w:r>
        <w:rPr>
          <w:rFonts w:ascii="Arial" w:cs="Arial" w:eastAsia="Arial" w:hAnsi="Arial"/>
          <w:sz w:val="20"/>
          <w:szCs w:val="20"/>
          <w:color w:val="auto"/>
        </w:rPr>
        <w:t>” has the meaning assigned to it in Section 2.06(b).</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means, with respect to any Eurodollar Borrowing for any applicable Interest Period or for any CBFR Borrowing, LIBO Screen Rate at approximately 11:00 a.m., London time, two (2) Business Days prior to the commencement of such Interest Period; provided that, if the LIBO Screen Rate shall not be available at such time for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then the LIBO Rate shall be the Interpolated Rate, subject to Section 2.14 in the event that the Administrative Agent shall conclude that it shall not be possible to determine such Interpolated Rate (which conclusion shall be conclusive and binding absent manifest error). Notwithstanding the above, to the extent that “LIBO Rate” or “Adjusted LIBO Rate” is used in connection with an CBFR Borrowing, such rate shall be determined as modified by the definition of Adjusted One Month LIBOR Rate.</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means, for any day and time, with respect to any Eurodollar Borrowing for any Interest Period or for any CBFR Borrowing,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zero for the purposes of this Agreement.</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any promissory notes issued pursuant to this Agreement, any Letter of Credit Agreement, the Collateral Documents, the Loan Guaranty, any Obligation Guaranty, and all other agreements, instruments, documents and certificates identified in Section 4.01 executed and delivered to, or in favor of, the Administrative Agent or any Lender and including all other pledges, powers of attorney, consents, assignments, contracts, notices, letter of credit agreements, letter of credit applications and any agreements between the Borrower Representative and the Issuing Bank regarding the Issuing Bank’s Issuing Bank Sublimit or the respective rights and obligations between the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Guarantor</w:t>
      </w:r>
      <w:r>
        <w:rPr>
          <w:rFonts w:ascii="Arial" w:cs="Arial" w:eastAsia="Arial" w:hAnsi="Arial"/>
          <w:sz w:val="20"/>
          <w:szCs w:val="20"/>
          <w:color w:val="auto"/>
        </w:rPr>
        <w:t>” means each Loan Party.</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Guaranty</w:t>
      </w:r>
      <w:r>
        <w:rPr>
          <w:rFonts w:ascii="Arial" w:cs="Arial" w:eastAsia="Arial" w:hAnsi="Arial"/>
          <w:sz w:val="19"/>
          <w:szCs w:val="19"/>
          <w:color w:val="auto"/>
        </w:rPr>
        <w:t xml:space="preserve">” means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of this Agreement and each separate Guarantee, in form and substance satisfactory to the Administrative Agent, delivered by each Loan Guarantor that is a Foreign Subsidiary (which Guarantee shall be governed by the laws of the country in which such Foreign Subsidiary is located), as it may be amended or modified and in effect from time to time.</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Borrowers, Holdings, the Borrowers’ Subsidiaries and any other Person who becomes a party to this Agreement pursuant to a Joinder Agreement and their respective successors and assigns, and the term “Loan Party” shall mean any one of them or all of them individually, as the context may require.</w:t>
      </w:r>
    </w:p>
    <w:p>
      <w:pPr>
        <w:sectPr>
          <w:pgSz w:w="11900" w:h="16838" w:orient="portrait"/>
          <w:cols w:equalWidth="0" w:num="1">
            <w:col w:w="11420"/>
          </w:cols>
          <w:pgMar w:left="240" w:top="582" w:right="239" w:bottom="1440" w:gutter="0" w:footer="0" w:header="0"/>
        </w:sectPr>
      </w:pPr>
    </w:p>
    <w:bookmarkStart w:id="66" w:name="page67"/>
    <w:bookmarkEnd w:id="66"/>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and advances made by the Lenders pursuant to this Agreement, including Swingline Loans, Overadvances, and Protective Advances.</w:t>
      </w:r>
    </w:p>
    <w:p>
      <w:pPr>
        <w:spacing w:after="0" w:line="190"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Long-Term Incentive Program</w:t>
      </w:r>
      <w:r>
        <w:rPr>
          <w:rFonts w:ascii="Arial" w:cs="Arial" w:eastAsia="Arial" w:hAnsi="Arial"/>
          <w:sz w:val="20"/>
          <w:szCs w:val="20"/>
          <w:color w:val="auto"/>
        </w:rPr>
        <w:t>” means the equity incentive program of the Loan Parties which grants employees of the Loan Parties the right to acquire Equity Interests in Holdings and with respect to which no Loan Party has any obligation to repurchase such Equity Interests or any other monetary obligations with respect to such program.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within the meaning of Regulations T, U and X, as applicable.</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operations or condition, financial or otherwise, of Holdings and its Subsidiaries taken as a whole, (b) the ability of any Loan Party to perform any of its Obligations, (c) the Collateral, or the Administrative Agent’s Liens (on behalf of itself and other Secured Parties) on the Collateral or the priority of such Liens, or (d) the rights of or benefits available to the Administrative Agent, the Issuing Bank or the Lenders under any of the Loan Documents.</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Agreement</w:t>
      </w:r>
      <w:r>
        <w:rPr>
          <w:rFonts w:ascii="Arial" w:cs="Arial" w:eastAsia="Arial" w:hAnsi="Arial"/>
          <w:sz w:val="18"/>
          <w:szCs w:val="18"/>
          <w:color w:val="auto"/>
        </w:rPr>
        <w:t>” means, with respect to any Person, any agreement or contract to which such Person is a party or is bound, to the extent the termination or a material breach of such agreement or contract could reasonably be expected to result in a Material Adverse Effect.</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Indebtedness (other than the Loans and Letters of Credit), or obligations in respect of one or more Swap Agreements, of any one or more of the Loan Parties in an aggregate principal amount exceeding $10,000,000. For purposes of determining Material Indebtedness, the “principal amount” of the obligations of the Loan Parties in respect of any Swap Agreement at any time shall be the maximum aggregate amount (giving effect to any netting agreements) that such Loan Party would be required to pay if such Swap Agreement were terminated at such time.</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September 7, 2023 or any earlier date on which the Commitments are reduced to zero or otherwise terminated pursuant to the terms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Income</w:t>
      </w:r>
      <w:r>
        <w:rPr>
          <w:rFonts w:ascii="Arial" w:cs="Arial" w:eastAsia="Arial" w:hAnsi="Arial"/>
          <w:sz w:val="20"/>
          <w:szCs w:val="20"/>
          <w:color w:val="auto"/>
        </w:rPr>
        <w:t xml:space="preserve">” means, for any period, the consolidated net income (or loss) of Holdings and its Subsidiaries, determined on a consolidated basis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be excluded (a) the income (or deficit) of any Person accrued prior to the date it becomes a Subsidiary or is merged into or consolidated with Holdings or any of its Subsidiaries, (b) the income (or deficit) of any Person (other than a Subsidiary) in which Holdings or any of its Subsidiaries has an ownership interest, except to the extent that any such income is actually received by Holdings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9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Orderly Liquidation Value</w:t>
      </w:r>
      <w:r>
        <w:rPr>
          <w:rFonts w:ascii="Arial" w:cs="Arial" w:eastAsia="Arial" w:hAnsi="Arial"/>
          <w:sz w:val="18"/>
          <w:szCs w:val="18"/>
          <w:color w:val="auto"/>
        </w:rPr>
        <w:t>” means, with respect to Inventory of any Person, the orderly liquidation value thereof as determined in a manner acceptable to the Administrative Agent by an appraiser acceptable to the Administrative Agent, net of all costs of liquidation thereof.</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Proceeds</w:t>
      </w:r>
      <w:r>
        <w:rPr>
          <w:rFonts w:ascii="Arial" w:cs="Arial" w:eastAsia="Arial" w:hAnsi="Arial"/>
          <w:sz w:val="20"/>
          <w:szCs w:val="20"/>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w:t>
      </w:r>
    </w:p>
    <w:p>
      <w:pPr>
        <w:sectPr>
          <w:pgSz w:w="11900" w:h="16838" w:orient="portrait"/>
          <w:cols w:equalWidth="0" w:num="1">
            <w:col w:w="11420"/>
          </w:cols>
          <w:pgMar w:left="240" w:top="798" w:right="239" w:bottom="1440" w:gutter="0" w:footer="0" w:header="0"/>
        </w:sectPr>
      </w:pPr>
    </w:p>
    <w:bookmarkStart w:id="67" w:name="page68"/>
    <w:bookmarkEnd w:id="67"/>
    <w:p>
      <w:pPr>
        <w:jc w:val="both"/>
        <w:spacing w:after="0" w:line="256" w:lineRule="auto"/>
        <w:rPr>
          <w:sz w:val="20"/>
          <w:szCs w:val="20"/>
          <w:color w:val="auto"/>
        </w:rPr>
      </w:pPr>
      <w:r>
        <w:rPr>
          <w:rFonts w:ascii="Arial" w:cs="Arial" w:eastAsia="Arial" w:hAnsi="Arial"/>
          <w:sz w:val="19"/>
          <w:szCs w:val="19"/>
          <w:color w:val="auto"/>
        </w:rPr>
        <w:t>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has the meaning assigned to such term in Section 9.02(d).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means, for any day, the greater of (a) the Federal Funds Effective Rate in effect on such day and (b) the Overnight Bank Funding Rate in effect on such day(or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Obligated Party</w:t>
      </w:r>
      <w:r>
        <w:rPr>
          <w:rFonts w:ascii="Arial" w:cs="Arial" w:eastAsia="Arial" w:hAnsi="Arial"/>
          <w:sz w:val="20"/>
          <w:szCs w:val="20"/>
          <w:color w:val="auto"/>
        </w:rPr>
        <w:t>” has the meaning assigned to such term in Section 10.02.</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 Guaranty</w:t>
      </w:r>
      <w:r>
        <w:rPr>
          <w:rFonts w:ascii="Arial" w:cs="Arial" w:eastAsia="Arial" w:hAnsi="Arial"/>
          <w:sz w:val="20"/>
          <w:szCs w:val="20"/>
          <w:color w:val="auto"/>
        </w:rPr>
        <w:t>” means any Guarantee of all or any portion of the Secured Obligations executed and delivered to the Administrative Agent for the benefit of the Secured Parties by a guarantor who is not a Loan Party.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unpaid principal of and accrued and unpaid interest on the Loans, all LC Exposure, all accrued and unpaid fees and all expenses, reimbursements, indemnities and other obligations and indebtedness (including interest, fees and other amounts accruing during the pendency of any bankruptcy, insolvency, receivership or other similar proceeding, regardless of whether such interest, fees or other amounts are allowed or allowable in whole or in part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Off-Balance Sheet Liability</w:t>
      </w:r>
      <w:r>
        <w:rPr>
          <w:rFonts w:ascii="Arial" w:cs="Arial" w:eastAsia="Arial" w:hAnsi="Arial"/>
          <w:sz w:val="18"/>
          <w:szCs w:val="18"/>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w:t>
      </w:r>
    </w:p>
    <w:p>
      <w:pPr>
        <w:sectPr>
          <w:pgSz w:w="11900" w:h="16838" w:orient="portrait"/>
          <w:cols w:equalWidth="0" w:num="1">
            <w:col w:w="11420"/>
          </w:cols>
          <w:pgMar w:left="240" w:top="582" w:right="239" w:bottom="1440" w:gutter="0" w:footer="0" w:header="0"/>
        </w:sectPr>
      </w:pPr>
    </w:p>
    <w:bookmarkStart w:id="68" w:name="page69"/>
    <w:bookmarkEnd w:id="68"/>
    <w:p>
      <w:pPr>
        <w:jc w:val="both"/>
        <w:spacing w:after="0" w:line="269" w:lineRule="auto"/>
        <w:rPr>
          <w:sz w:val="20"/>
          <w:szCs w:val="20"/>
          <w:color w:val="auto"/>
        </w:rPr>
      </w:pPr>
      <w:r>
        <w:rPr>
          <w:rFonts w:ascii="Arial" w:cs="Arial" w:eastAsia="Arial" w:hAnsi="Arial"/>
          <w:sz w:val="19"/>
          <w:szCs w:val="19"/>
          <w:color w:val="auto"/>
        </w:rPr>
        <w:t>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Overadvance</w:t>
      </w:r>
      <w:r>
        <w:rPr>
          <w:rFonts w:ascii="Arial" w:cs="Arial" w:eastAsia="Arial" w:hAnsi="Arial"/>
          <w:sz w:val="20"/>
          <w:szCs w:val="20"/>
          <w:color w:val="auto"/>
        </w:rPr>
        <w:t>” has the meaning assigned to such term in Section 2.05(c).</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(iii) the indefeasible payment in full in cash of the accrued and unpaid fees, including the applicable Prepayment Fee, if any,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Commitments, and (vi) the termination of the Swap Agreement Obligations and the Banking Services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Condition</w:t>
      </w:r>
      <w:r>
        <w:rPr>
          <w:rFonts w:ascii="Arial" w:cs="Arial" w:eastAsia="Arial" w:hAnsi="Arial"/>
          <w:sz w:val="18"/>
          <w:szCs w:val="18"/>
          <w:color w:val="auto"/>
        </w:rPr>
        <w:t>” shall be deemed to be satisfied in connection with a Restricted Payment, Investment, or Permitted Acquisition if:</w:t>
      </w:r>
    </w:p>
    <w:p>
      <w:pPr>
        <w:spacing w:after="0" w:line="239" w:lineRule="exact"/>
        <w:rPr>
          <w:sz w:val="20"/>
          <w:szCs w:val="20"/>
          <w:color w:val="auto"/>
        </w:rPr>
      </w:pPr>
    </w:p>
    <w:p>
      <w:pPr>
        <w:ind w:left="660" w:right="660" w:hanging="328"/>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result immediately after giving effect to such Restricted Payment, Investment, or Permitted Acquisition;</w:t>
      </w:r>
    </w:p>
    <w:p>
      <w:pPr>
        <w:spacing w:after="0" w:line="176" w:lineRule="exact"/>
        <w:rPr>
          <w:rFonts w:ascii="Arial" w:cs="Arial" w:eastAsia="Arial" w:hAnsi="Arial"/>
          <w:sz w:val="20"/>
          <w:szCs w:val="20"/>
          <w:color w:val="auto"/>
        </w:rPr>
      </w:pPr>
    </w:p>
    <w:p>
      <w:pPr>
        <w:jc w:val="both"/>
        <w:ind w:left="660" w:hanging="328"/>
        <w:spacing w:after="0" w:line="269" w:lineRule="auto"/>
        <w:tabs>
          <w:tab w:leader="none" w:pos="6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immediately after giving effect to and at all times during the 60-day period immediately prior to such Restricted Payment, Investment, or Permitted Acquisition, the Borrowers shall have Availability calculated on a pro forma basis after giving effect to such Restricted Payment, Investment, or Permitted Acquisition of not less 17.5% of the Revolving Commitment; and</w:t>
      </w:r>
    </w:p>
    <w:p>
      <w:pPr>
        <w:spacing w:after="0" w:line="170" w:lineRule="exact"/>
        <w:rPr>
          <w:rFonts w:ascii="Arial" w:cs="Arial" w:eastAsia="Arial" w:hAnsi="Arial"/>
          <w:sz w:val="19"/>
          <w:szCs w:val="19"/>
          <w:color w:val="auto"/>
        </w:rPr>
      </w:pPr>
    </w:p>
    <w:p>
      <w:pPr>
        <w:jc w:val="both"/>
        <w:ind w:left="660" w:hanging="328"/>
        <w:spacing w:after="0" w:line="27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Representative shall have delivered to the Administrative Agent a certificate in form and substance reasonably satisfactory to the Administrative Agent certifying as to the items described in (A) and (B) above and attaching calculations for item</w:t>
      </w:r>
    </w:p>
    <w:p>
      <w:pPr>
        <w:ind w:left="660"/>
        <w:spacing w:after="0"/>
        <w:rPr>
          <w:rFonts w:ascii="Arial" w:cs="Arial" w:eastAsia="Arial" w:hAnsi="Arial"/>
          <w:sz w:val="18"/>
          <w:szCs w:val="18"/>
          <w:color w:val="auto"/>
        </w:rPr>
      </w:pPr>
      <w:r>
        <w:rPr>
          <w:rFonts w:ascii="Arial" w:cs="Arial" w:eastAsia="Arial" w:hAnsi="Arial"/>
          <w:sz w:val="20"/>
          <w:szCs w:val="20"/>
          <w:color w:val="auto"/>
        </w:rPr>
        <w:t>(B).</w:t>
      </w:r>
    </w:p>
    <w:p>
      <w:pPr>
        <w:spacing w:after="0" w:line="199" w:lineRule="exact"/>
        <w:rPr>
          <w:rFonts w:ascii="Arial" w:cs="Arial" w:eastAsia="Arial" w:hAnsi="Arial"/>
          <w:sz w:val="18"/>
          <w:szCs w:val="18"/>
          <w:color w:val="auto"/>
        </w:rPr>
      </w:pPr>
    </w:p>
    <w:p>
      <w:pPr>
        <w:ind w:left="660" w:right="1400"/>
        <w:spacing w:after="0" w:line="465"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with respect to any Lender, any Person as to which such Lender is, directly or indirectly, a subsidiary. “</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9.04(c).</w:t>
      </w:r>
    </w:p>
    <w:p>
      <w:pPr>
        <w:ind w:left="660"/>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assigned to such term in Section 9.04(c).</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any Loan Party in a transaction that satisfies each of the following requirements:</w:t>
      </w:r>
    </w:p>
    <w:p>
      <w:pPr>
        <w:spacing w:after="0" w:line="239"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such Acquisition is not a hostile or contested acquisition;</w:t>
      </w:r>
    </w:p>
    <w:p>
      <w:pPr>
        <w:sectPr>
          <w:pgSz w:w="11900" w:h="16838" w:orient="portrait"/>
          <w:cols w:equalWidth="0" w:num="1">
            <w:col w:w="11420"/>
          </w:cols>
          <w:pgMar w:left="240" w:top="582" w:right="239" w:bottom="1440" w:gutter="0" w:footer="0" w:header="0"/>
        </w:sectPr>
      </w:pPr>
    </w:p>
    <w:bookmarkStart w:id="69" w:name="page70"/>
    <w:bookmarkEnd w:id="69"/>
    <w:p>
      <w:pPr>
        <w:jc w:val="both"/>
        <w:ind w:left="660" w:firstLine="645"/>
        <w:spacing w:after="0" w:line="291" w:lineRule="auto"/>
        <w:tabs>
          <w:tab w:leader="none" w:pos="17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Accounts, Credit Card Accounts, and Inventory acquired in connection with such Acquisition are proposed to be included in the determination of the Borrowing Base, the Administrative Agent shall have conducted an audit and field examination of such Accounts, Credit Card Accounts, and Inventory, the results of which shall be satisfactory to the Administrative Agent;</w:t>
      </w:r>
    </w:p>
    <w:p>
      <w:pPr>
        <w:spacing w:after="0" w:line="43" w:lineRule="exact"/>
        <w:rPr>
          <w:rFonts w:ascii="Arial" w:cs="Arial" w:eastAsia="Arial" w:hAnsi="Arial"/>
          <w:sz w:val="18"/>
          <w:szCs w:val="18"/>
          <w:color w:val="auto"/>
        </w:rPr>
      </w:pPr>
    </w:p>
    <w:p>
      <w:pPr>
        <w:ind w:left="660" w:right="20" w:firstLine="645"/>
        <w:spacing w:after="0" w:line="316" w:lineRule="auto"/>
        <w:tabs>
          <w:tab w:leader="none" w:pos="17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such Acquisition is an acquisition of the Equity Interests of a Person, such Acquisition is structured so that the acquired Person shall become a Wholly-Owned Subsidiary of a Borrower and a Loan Party pursuant to the terms of this Agreement;</w:t>
      </w:r>
    </w:p>
    <w:p>
      <w:pPr>
        <w:spacing w:after="0" w:line="22" w:lineRule="exact"/>
        <w:rPr>
          <w:rFonts w:ascii="Arial" w:cs="Arial" w:eastAsia="Arial" w:hAnsi="Arial"/>
          <w:sz w:val="18"/>
          <w:szCs w:val="18"/>
          <w:color w:val="auto"/>
        </w:rPr>
      </w:pPr>
    </w:p>
    <w:p>
      <w:pPr>
        <w:ind w:left="660" w:firstLine="645"/>
        <w:spacing w:after="0" w:line="260" w:lineRule="auto"/>
        <w:tabs>
          <w:tab w:leader="none" w:pos="1773"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such Acquisition is an acquisition of assets, such Acquisition is structured so that a Borrower or another Loan Party shall acquire such assets;</w:t>
      </w:r>
    </w:p>
    <w:p>
      <w:pPr>
        <w:spacing w:after="0" w:line="68" w:lineRule="exact"/>
        <w:rPr>
          <w:rFonts w:ascii="Arial" w:cs="Arial" w:eastAsia="Arial" w:hAnsi="Arial"/>
          <w:sz w:val="20"/>
          <w:szCs w:val="20"/>
          <w:color w:val="auto"/>
        </w:rPr>
      </w:pPr>
    </w:p>
    <w:p>
      <w:pPr>
        <w:ind w:left="1700" w:hanging="395"/>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such Acquisition is an acquisition of Equity Interests, such Acquisition will not result in any violation of Regulation U;</w:t>
      </w:r>
    </w:p>
    <w:p>
      <w:pPr>
        <w:spacing w:after="0" w:line="130" w:lineRule="exact"/>
        <w:rPr>
          <w:rFonts w:ascii="Arial" w:cs="Arial" w:eastAsia="Arial" w:hAnsi="Arial"/>
          <w:sz w:val="18"/>
          <w:szCs w:val="18"/>
          <w:color w:val="auto"/>
        </w:rPr>
      </w:pPr>
    </w:p>
    <w:p>
      <w:pPr>
        <w:ind w:left="660" w:right="20" w:firstLine="645"/>
        <w:spacing w:after="0" w:line="260" w:lineRule="auto"/>
        <w:tabs>
          <w:tab w:leader="none" w:pos="1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such Acquisition involves a merger or a consolidation involving a Borrower or any other Loan Party, such Borrower or such Loan Party, as applicable, shall be the surviving entity;</w:t>
      </w:r>
    </w:p>
    <w:p>
      <w:pPr>
        <w:spacing w:after="0" w:line="176" w:lineRule="exact"/>
        <w:rPr>
          <w:rFonts w:ascii="Arial" w:cs="Arial" w:eastAsia="Arial" w:hAnsi="Arial"/>
          <w:sz w:val="20"/>
          <w:szCs w:val="20"/>
          <w:color w:val="auto"/>
        </w:rPr>
      </w:pPr>
    </w:p>
    <w:p>
      <w:pPr>
        <w:ind w:left="660" w:firstLine="645"/>
        <w:spacing w:after="0" w:line="316" w:lineRule="auto"/>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Loan Party shall, as a result of or in connection with any such Acquisition, assume or incur any direct or contingent liabilities (whether relating to environmental, tax, litigation, or other matters) that could have a Material Adverse Effect;</w:t>
      </w:r>
    </w:p>
    <w:p>
      <w:pPr>
        <w:spacing w:after="0" w:line="22" w:lineRule="exact"/>
        <w:rPr>
          <w:rFonts w:ascii="Arial" w:cs="Arial" w:eastAsia="Arial" w:hAnsi="Arial"/>
          <w:sz w:val="18"/>
          <w:szCs w:val="18"/>
          <w:color w:val="auto"/>
        </w:rPr>
      </w:pPr>
    </w:p>
    <w:p>
      <w:pPr>
        <w:ind w:left="660" w:firstLine="645"/>
        <w:spacing w:after="0" w:line="260" w:lineRule="auto"/>
        <w:tabs>
          <w:tab w:leader="none" w:pos="1854"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 connection with such Acquisition, all Liens on property of such Person or assets shall be terminated unless the Administrative Agent and the Lenders in their sole discretion consent otherwise;</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Payment Condition shall be satisfied;</w:t>
      </w:r>
    </w:p>
    <w:p>
      <w:pPr>
        <w:spacing w:after="0" w:line="215" w:lineRule="exact"/>
        <w:rPr>
          <w:rFonts w:ascii="Arial" w:cs="Arial" w:eastAsia="Arial" w:hAnsi="Arial"/>
          <w:sz w:val="20"/>
          <w:szCs w:val="20"/>
          <w:color w:val="auto"/>
        </w:rPr>
      </w:pPr>
    </w:p>
    <w:p>
      <w:pPr>
        <w:ind w:left="660" w:firstLine="645"/>
        <w:spacing w:after="0" w:line="260" w:lineRule="auto"/>
        <w:tabs>
          <w:tab w:leader="none" w:pos="1689" w:val="left"/>
        </w:tabs>
        <w:numPr>
          <w:ilvl w:val="0"/>
          <w:numId w:val="42"/>
        </w:numPr>
        <w:rPr>
          <w:rFonts w:ascii="Arial" w:cs="Arial" w:eastAsia="Arial" w:hAnsi="Arial"/>
          <w:sz w:val="20"/>
          <w:szCs w:val="20"/>
          <w:color w:val="auto"/>
        </w:rPr>
      </w:pPr>
      <w:r>
        <w:rPr>
          <w:rFonts w:ascii="Arial" w:cs="Arial" w:eastAsia="Arial" w:hAnsi="Arial"/>
          <w:sz w:val="20"/>
          <w:szCs w:val="20"/>
          <w:color w:val="auto"/>
        </w:rPr>
        <w:t>all actions required to be taken with respect to any newly acquired or formed Wholly-Owned Subsidiary of a Borrower or a Loan Party, as applicable, required under Section 5.14 shall have been taken; and</w:t>
      </w:r>
    </w:p>
    <w:p>
      <w:pPr>
        <w:spacing w:after="0" w:line="176" w:lineRule="exact"/>
        <w:rPr>
          <w:rFonts w:ascii="Arial" w:cs="Arial" w:eastAsia="Arial" w:hAnsi="Arial"/>
          <w:sz w:val="20"/>
          <w:szCs w:val="20"/>
          <w:color w:val="auto"/>
        </w:rPr>
      </w:pPr>
    </w:p>
    <w:p>
      <w:pPr>
        <w:ind w:left="660" w:firstLine="645"/>
        <w:spacing w:after="0" w:line="260" w:lineRule="auto"/>
        <w:tabs>
          <w:tab w:leader="none" w:pos="1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Borrower Representative shall have delivered to the Administrative Agent the final executed documentation relating to such Acquisition within 30 days following the consummation thereof.</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Discretion</w:t>
      </w:r>
      <w:r>
        <w:rPr>
          <w:rFonts w:ascii="Arial" w:cs="Arial" w:eastAsia="Arial" w:hAnsi="Arial"/>
          <w:sz w:val="20"/>
          <w:szCs w:val="20"/>
          <w:color w:val="auto"/>
        </w:rPr>
        <w:t>” means a determination made in good faith and in the exercise of reasonable (from the perspective of a secured asset-based lender) business judgment.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left="2360" w:hanging="407"/>
        <w:spacing w:after="0"/>
        <w:tabs>
          <w:tab w:leader="none" w:pos="2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w:t>
      </w:r>
    </w:p>
    <w:p>
      <w:pPr>
        <w:spacing w:after="0" w:line="238" w:lineRule="exact"/>
        <w:rPr>
          <w:rFonts w:ascii="Arial" w:cs="Arial" w:eastAsia="Arial" w:hAnsi="Arial"/>
          <w:sz w:val="18"/>
          <w:szCs w:val="18"/>
          <w:color w:val="auto"/>
        </w:rPr>
      </w:pPr>
    </w:p>
    <w:p>
      <w:pPr>
        <w:jc w:val="both"/>
        <w:ind w:left="660" w:firstLine="1293"/>
        <w:spacing w:after="0" w:line="250" w:lineRule="auto"/>
        <w:tabs>
          <w:tab w:leader="none" w:pos="2381" w:val="left"/>
        </w:tabs>
        <w:numPr>
          <w:ilvl w:val="1"/>
          <w:numId w:val="43"/>
        </w:numPr>
        <w:rPr>
          <w:rFonts w:ascii="Arial" w:cs="Arial" w:eastAsia="Arial" w:hAnsi="Arial"/>
          <w:sz w:val="20"/>
          <w:szCs w:val="20"/>
          <w:color w:val="auto"/>
        </w:rPr>
      </w:pPr>
      <w:r>
        <w:rPr>
          <w:rFonts w:ascii="Arial" w:cs="Arial" w:eastAsia="Arial" w:hAnsi="Arial"/>
          <w:sz w:val="20"/>
          <w:szCs w:val="20"/>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86" w:lineRule="exact"/>
        <w:rPr>
          <w:rFonts w:ascii="Arial" w:cs="Arial" w:eastAsia="Arial" w:hAnsi="Arial"/>
          <w:sz w:val="20"/>
          <w:szCs w:val="20"/>
          <w:color w:val="auto"/>
        </w:rPr>
      </w:pPr>
    </w:p>
    <w:p>
      <w:pPr>
        <w:ind w:left="660" w:firstLine="1293"/>
        <w:spacing w:after="0" w:line="260" w:lineRule="auto"/>
        <w:tabs>
          <w:tab w:leader="none" w:pos="2518" w:val="left"/>
        </w:tabs>
        <w:numPr>
          <w:ilvl w:val="1"/>
          <w:numId w:val="43"/>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w:t>
      </w:r>
    </w:p>
    <w:p>
      <w:pPr>
        <w:spacing w:after="0" w:line="176" w:lineRule="exact"/>
        <w:rPr>
          <w:rFonts w:ascii="Arial" w:cs="Arial" w:eastAsia="Arial" w:hAnsi="Arial"/>
          <w:sz w:val="20"/>
          <w:szCs w:val="20"/>
          <w:color w:val="auto"/>
        </w:rPr>
      </w:pPr>
    </w:p>
    <w:p>
      <w:pPr>
        <w:ind w:left="660" w:firstLine="645"/>
        <w:spacing w:after="0" w:line="260" w:lineRule="auto"/>
        <w:tabs>
          <w:tab w:leader="none" w:pos="1868"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6" w:lineRule="exact"/>
        <w:rPr>
          <w:rFonts w:ascii="Arial" w:cs="Arial" w:eastAsia="Arial" w:hAnsi="Arial"/>
          <w:sz w:val="20"/>
          <w:szCs w:val="20"/>
          <w:color w:val="auto"/>
        </w:rPr>
      </w:pPr>
    </w:p>
    <w:p>
      <w:pPr>
        <w:ind w:left="1700" w:hanging="395"/>
        <w:spacing w:after="0"/>
        <w:tabs>
          <w:tab w:leader="none" w:pos="17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judgment Liens in respect of judgments that do not constitute an Event of Default under clause (k) of Article VII; and</w:t>
      </w:r>
    </w:p>
    <w:p>
      <w:pPr>
        <w:spacing w:after="0" w:line="227" w:lineRule="exact"/>
        <w:rPr>
          <w:rFonts w:ascii="Arial" w:cs="Arial" w:eastAsia="Arial" w:hAnsi="Arial"/>
          <w:sz w:val="19"/>
          <w:szCs w:val="19"/>
          <w:color w:val="auto"/>
        </w:rPr>
      </w:pPr>
    </w:p>
    <w:p>
      <w:pPr>
        <w:ind w:left="1680" w:hanging="375"/>
        <w:spacing w:after="0"/>
        <w:tabs>
          <w:tab w:leader="none" w:pos="16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easements, zoning restrictions, rights-of-way and similar encumbrances on real property</w:t>
      </w:r>
    </w:p>
    <w:p>
      <w:pPr>
        <w:sectPr>
          <w:pgSz w:w="11900" w:h="16838" w:orient="portrait"/>
          <w:cols w:equalWidth="0" w:num="1">
            <w:col w:w="11420"/>
          </w:cols>
          <w:pgMar w:left="240" w:top="582" w:right="239" w:bottom="1440" w:gutter="0" w:footer="0" w:header="0"/>
        </w:sectPr>
      </w:pPr>
    </w:p>
    <w:bookmarkStart w:id="70" w:name="page71"/>
    <w:bookmarkEnd w:id="70"/>
    <w:p>
      <w:pPr>
        <w:ind w:left="660"/>
        <w:spacing w:after="0" w:line="316" w:lineRule="auto"/>
        <w:rPr>
          <w:sz w:val="20"/>
          <w:szCs w:val="20"/>
          <w:color w:val="auto"/>
        </w:rPr>
      </w:pPr>
      <w:r>
        <w:rPr>
          <w:rFonts w:ascii="Arial" w:cs="Arial" w:eastAsia="Arial" w:hAnsi="Arial"/>
          <w:sz w:val="18"/>
          <w:szCs w:val="18"/>
          <w:color w:val="auto"/>
        </w:rPr>
        <w:t>imposed by law or arising in the ordinary course of business that do not secure any monetary obligations and do not materially detract from the value of the affected property or interfere with the ordinary conduct of business of any Borrower or any Subsidiary;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except with respect to clause (e) above.</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 Investments permitted pursuant to the Investment Policy attached hereto as Schedule 6.04(a), as such policy may be amended from time to time so long as such amended policy is not substantially different from the policy attached hereto, provided that any such amendment made after the Initial Period shall require the approval of the Administrative Agent, which approval shall not be unreasonably withheld or delayed.</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means 29 CFR § 2510.3-101 et seq., as modified by Section 3(42) of ERISA, as amended from time to time.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Event</w:t>
      </w:r>
      <w:r>
        <w:rPr>
          <w:rFonts w:ascii="Arial" w:cs="Arial" w:eastAsia="Arial" w:hAnsi="Arial"/>
          <w:sz w:val="20"/>
          <w:szCs w:val="20"/>
          <w:color w:val="auto"/>
        </w:rPr>
        <w:t>” means:</w:t>
      </w:r>
    </w:p>
    <w:p>
      <w:pPr>
        <w:spacing w:after="0" w:line="216" w:lineRule="exact"/>
        <w:rPr>
          <w:sz w:val="20"/>
          <w:szCs w:val="20"/>
          <w:color w:val="auto"/>
        </w:rPr>
      </w:pPr>
    </w:p>
    <w:p>
      <w:pPr>
        <w:ind w:left="660" w:firstLine="645"/>
        <w:spacing w:after="0" w:line="316" w:lineRule="auto"/>
        <w:tabs>
          <w:tab w:leader="none" w:pos="1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sale, transfer or other disposition (including pursuant to a sale and leaseback transaction) of any property or asset of any Loan Party, other than dispositions described in Section 6.05(a) and sales, transfers and dispositions of Permitted Investments; or</w:t>
      </w:r>
    </w:p>
    <w:p>
      <w:pPr>
        <w:spacing w:after="0" w:line="130" w:lineRule="exact"/>
        <w:rPr>
          <w:rFonts w:ascii="Arial" w:cs="Arial" w:eastAsia="Arial" w:hAnsi="Arial"/>
          <w:sz w:val="18"/>
          <w:szCs w:val="18"/>
          <w:color w:val="auto"/>
        </w:rPr>
      </w:pPr>
    </w:p>
    <w:p>
      <w:pPr>
        <w:ind w:left="660" w:firstLine="645"/>
        <w:spacing w:after="0" w:line="260" w:lineRule="auto"/>
        <w:tabs>
          <w:tab w:leader="none" w:pos="1773"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casualty or other insured damage to, or any taking under power of eminent domain or by condemnation or similar proceeding of, any property or asset of any Loan Party; or</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87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issuance by the Company of any Equity Interests, or the receipt by Holdings or the Company of any capital contribution, other than any issuance by the Company of common Equity Interests to, or receipt of any such capital contribution from, Holdings; or</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incurrence by any Loan Party of any Indebtedness, other than Indebtedness permitted under Section 6.01.</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has the meaning assigned to such term in Section 5.01(f).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Protective Advance</w:t>
      </w:r>
      <w:r>
        <w:rPr>
          <w:rFonts w:ascii="Arial" w:cs="Arial" w:eastAsia="Arial" w:hAnsi="Arial"/>
          <w:sz w:val="20"/>
          <w:szCs w:val="20"/>
          <w:color w:val="auto"/>
        </w:rPr>
        <w:t>” has the meaning assigned to such term in Section 2.04.</w:t>
      </w:r>
    </w:p>
    <w:p>
      <w:pPr>
        <w:spacing w:after="0" w:line="216" w:lineRule="exact"/>
        <w:rPr>
          <w:sz w:val="20"/>
          <w:szCs w:val="20"/>
          <w:color w:val="auto"/>
        </w:rPr>
      </w:pPr>
    </w:p>
    <w:p>
      <w:pPr>
        <w:ind w:right="29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Public-Sider</w:t>
      </w:r>
      <w:r>
        <w:rPr>
          <w:rFonts w:ascii="Arial" w:cs="Arial" w:eastAsia="Arial" w:hAnsi="Arial"/>
          <w:sz w:val="20"/>
          <w:szCs w:val="20"/>
          <w:color w:val="auto"/>
        </w:rPr>
        <w:t>” means a Lender whose representatives may trade in securities of Holdings or its Controlling</w:t>
      </w:r>
    </w:p>
    <w:p>
      <w:pPr>
        <w:sectPr>
          <w:pgSz w:w="11900" w:h="16838" w:orient="portrait"/>
          <w:cols w:equalWidth="0" w:num="1">
            <w:col w:w="11420"/>
          </w:cols>
          <w:pgMar w:left="240" w:top="582"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Person or any of its Subsidiaries while in possession of the financial statements provided by the Company under the terms of this Agreement.</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5"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as applicable, (a) the Administrative Agent, (b) any Lender and (c) any Issuing Bank, or any combination thereof (as the context requires).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 Indebtedness</w:t>
      </w:r>
      <w:r>
        <w:rPr>
          <w:rFonts w:ascii="Arial" w:cs="Arial" w:eastAsia="Arial" w:hAnsi="Arial"/>
          <w:sz w:val="20"/>
          <w:szCs w:val="20"/>
          <w:color w:val="auto"/>
        </w:rPr>
        <w:t>” has the meaning assigned to such term in Section 6.01(f).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Federal Reserve Board, as in effect from time to time and all official rulings and interpretations thereunder or thereof.</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Federal Reserve Board, as in effect from time to time and all official rulings and interpretations thereunder or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Federal Reserve Board, as in effect from time to time and all official rulings and interpretations thereunder or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Federal Reserve Board, as in effect from time to time and all official rulings and interpretations thereunder or thereof.</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releasing, spilling, leaking, pumping, pouring, emitting, emptying, discharging, injecting, escaping, leaching, migrating, disposing or dumping of any Hazardous Materials into the environment.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w:t>
      </w:r>
      <w:r>
        <w:rPr>
          <w:rFonts w:ascii="Arial" w:cs="Arial" w:eastAsia="Arial" w:hAnsi="Arial"/>
          <w:sz w:val="20"/>
          <w:szCs w:val="20"/>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subject to Section 2.20, at any time, Lenders having Revolving Exposure and unused Commitments representing more than 50% of the sum of the Aggregate Revolving Exposure and unused Commitments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as long as there are two or more Lenders that are not Defaulting Lenders, Required Lenders shall require at least two Lenders. For purposes of this definition, all Lenders that are Affiliates of one another shall be considered one Lender.</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and Payment Card Industry Data Security Standards), in each case applicable to or binding upon such Person or any of its property or to which such Person or any of its property is subject.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Reserves</w:t>
      </w:r>
      <w:r>
        <w:rPr>
          <w:rFonts w:ascii="Arial" w:cs="Arial" w:eastAsia="Arial" w:hAnsi="Arial"/>
          <w:sz w:val="20"/>
          <w:szCs w:val="20"/>
          <w:color w:val="auto"/>
        </w:rPr>
        <w:t>” means any and all reserves which the Administrative Agent deems necessary, in its Permitted</w:t>
      </w:r>
    </w:p>
    <w:p>
      <w:pPr>
        <w:sectPr>
          <w:pgSz w:w="11900" w:h="16838" w:orient="portrait"/>
          <w:cols w:equalWidth="0" w:num="1">
            <w:col w:w="11420"/>
          </w:cols>
          <w:pgMar w:left="240" w:top="582" w:right="239" w:bottom="1440" w:gutter="0" w:footer="0" w:header="0"/>
        </w:sectPr>
      </w:pPr>
    </w:p>
    <w:bookmarkStart w:id="72" w:name="page73"/>
    <w:bookmarkEnd w:id="72"/>
    <w:p>
      <w:pPr>
        <w:jc w:val="both"/>
        <w:spacing w:after="0" w:line="243" w:lineRule="auto"/>
        <w:rPr>
          <w:sz w:val="20"/>
          <w:szCs w:val="20"/>
          <w:color w:val="auto"/>
        </w:rPr>
      </w:pPr>
      <w:r>
        <w:rPr>
          <w:rFonts w:ascii="Arial" w:cs="Arial" w:eastAsia="Arial" w:hAnsi="Arial"/>
          <w:sz w:val="20"/>
          <w:szCs w:val="20"/>
          <w:color w:val="auto"/>
        </w:rPr>
        <w:t>Discretion, to maintain (including, without limitation, reserves for accrued and unpaid interest on the Secured Obligations, Banking Services Reserves, volatility reserves, reserves for rent at locations leased by any Loan Party and for consignee's, warehousemen’s and bailee’s charges, reserves for dilution of Accounts and Credit Card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president, Financial Officer or other executive officer of the Borrower.</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For the avoidance of doubt, “Restricted Payment” shall not include any grants by a Loan Party of Equity Interests to employees of any of the Loan Parties pursuant to a Long-Term Incentive Program.</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xml:space="preserve">” means, with respect to each Lender, the commitment, if any, of such Lender to make Revolving Loans and to acquire participations in Letters of Credit, Overadvances, and Swingline Loans hereunder, expressed as an amount representing the maximum aggregate permitted amount of such Lender’s Revolving Exposure hereunder, as such commitment may be reduced or increased from time to time pursuant to (a) Section 2.09 and (b) assignments by or to such Lender pursuant to Section 9.04. The initial amount of each Lender's Revolving Commitment is set forth on the </w:t>
      </w:r>
      <w:r>
        <w:rPr>
          <w:rFonts w:ascii="Arial" w:cs="Arial" w:eastAsia="Arial" w:hAnsi="Arial"/>
          <w:sz w:val="20"/>
          <w:szCs w:val="20"/>
          <w:u w:val="single" w:color="auto"/>
          <w:color w:val="auto"/>
        </w:rPr>
        <w:t>Commitment Schedule</w:t>
      </w:r>
      <w:r>
        <w:rPr>
          <w:rFonts w:ascii="Arial" w:cs="Arial" w:eastAsia="Arial" w:hAnsi="Arial"/>
          <w:sz w:val="20"/>
          <w:szCs w:val="20"/>
          <w:color w:val="auto"/>
        </w:rPr>
        <w:t>, or in the Assignment and Assumption pursuant to which such Lender shall have assumed its Revolving Commitment, as applicable.</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means, with respect to any Lender at any time, the sum of (a) the outstanding principal amount of such Lender’s Revolving Loans, its LC Exposure and its Swingline Exposure at such time, plus (b) an amount equal to its Applicable Percentage of the aggregate principal amount of Protective Advances outstanding at such time, plus (c) an amount equal to its Applicable Percentage of the aggregate principal amount of Overadvances outstanding at such time.</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as of any date of determination, a Lender with a Revolving Commitment or, if the Revolving Commitments have terminated or expired, a Lender with Revolving Exposure.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means a Loan made pursuant to Section 2.01(a).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Services, a Standard &amp; Poor’s Financial Services LLC business.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has the meaning assigned to such term in Section 6.06.</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(at the time of this Agreement, Crimea, Cuba, Iran, North Korea and Syria).</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or any European Union member state, Her Majesty’s Treasury of the United Kingdom or other relevant sanctions authority,</w:t>
      </w:r>
    </w:p>
    <w:p>
      <w:pPr>
        <w:spacing w:after="0" w:line="1" w:lineRule="exact"/>
        <w:rPr>
          <w:sz w:val="20"/>
          <w:szCs w:val="20"/>
          <w:color w:val="auto"/>
        </w:rPr>
      </w:pPr>
    </w:p>
    <w:p>
      <w:pPr>
        <w:ind w:right="20" w:firstLine="8"/>
        <w:spacing w:after="0" w:line="244" w:lineRule="auto"/>
        <w:tabs>
          <w:tab w:leader="none" w:pos="298"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Person operating, organized or resident in a Sanctioned Country, (c) any Person owned or controlled by any such Person or Persons described in the foregoing clauses, (a) or (b), or (d) any Person otherwise the subject of any Sanctions.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w:t>
      </w:r>
    </w:p>
    <w:p>
      <w:pPr>
        <w:sectPr>
          <w:pgSz w:w="11900" w:h="16838" w:orient="portrait"/>
          <w:cols w:equalWidth="0" w:num="1">
            <w:col w:w="11420"/>
          </w:cols>
          <w:pgMar w:left="240" w:top="58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European Union, any European Union member state, Her Majesty’s Treasury of the United Kingdom or other relevant sanctions authority.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of the U.S.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xml:space="preserve">” means all Obligations, together with all (i) Banking Services Obligations and (ii) Swap Agreement Obligations owing to one or more Lenders or their respective Affiliates;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(a) the Administrative Agent, (b) the Lenders, (c) the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w:t>
      </w:r>
      <w:r>
        <w:rPr>
          <w:rFonts w:ascii="Arial" w:cs="Arial" w:eastAsia="Arial" w:hAnsi="Arial"/>
          <w:sz w:val="20"/>
          <w:szCs w:val="20"/>
          <w:color w:val="auto"/>
        </w:rPr>
        <w:t>” has the meaning assigned to such term in Section 2.05(c).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Date</w:t>
      </w:r>
      <w:r>
        <w:rPr>
          <w:rFonts w:ascii="Arial" w:cs="Arial" w:eastAsia="Arial" w:hAnsi="Arial"/>
          <w:sz w:val="20"/>
          <w:szCs w:val="20"/>
          <w:color w:val="auto"/>
        </w:rPr>
        <w:t>” has the meaning assigned to such term in Section 2.05(c).</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Eligible Accounts”</w:t>
      </w:r>
      <w:r>
        <w:rPr>
          <w:rFonts w:ascii="Arial" w:cs="Arial" w:eastAsia="Arial" w:hAnsi="Arial"/>
          <w:sz w:val="20"/>
          <w:szCs w:val="20"/>
          <w:color w:val="auto"/>
        </w:rPr>
        <w:t xml:space="preserve"> means (i) Eligible Accounts owing by an Account Debtor whose securities are rated BBB- or better by S&amp;P and Baa3 or better by Moody’s, and (ii) Eligible Credit Card Accounts.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Statements</w:t>
      </w:r>
      <w:r>
        <w:rPr>
          <w:rFonts w:ascii="Arial" w:cs="Arial" w:eastAsia="Arial" w:hAnsi="Arial"/>
          <w:sz w:val="20"/>
          <w:szCs w:val="20"/>
          <w:color w:val="auto"/>
        </w:rPr>
        <w:t>” has the meaning assigned to such term in Section 2.18(f).</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Federal Reserve Board to which the Administrative Agent is subject with respect to the Adjusted LIBO Rate, for eurocurrency funding (currently referred to as “Eurocurrency liabilities” in Regulation D). Such reserve percentages shall include those imposed pursuant to Regulation D of the Board. Eurodollar Loans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of a Person means any Indebtedness of such Person the payment of which is subordinated in right of payment to the Secured Obligations on terms and conditions satisfactory to the Administrative Agent pursuant to a written agreement satisfactory to the Administrative Agent.</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w:t>
      </w:r>
    </w:p>
    <w:p>
      <w:pPr>
        <w:sectPr>
          <w:pgSz w:w="11900" w:h="16838" w:orient="portrait"/>
          <w:cols w:equalWidth="0" w:num="1">
            <w:col w:w="11420"/>
          </w:cols>
          <w:pgMar w:left="240" w:top="582" w:right="239"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more subsidiaries of the parent. For the avoidance of doubt the Borrower is a “subsidiary” of Holdings.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direct or indirect subsidiary of the Company or of a Loan Party, as applicable.</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Agreement Obligations</w:t>
      </w:r>
      <w:r>
        <w:rPr>
          <w:rFonts w:ascii="Arial" w:cs="Arial" w:eastAsia="Arial" w:hAnsi="Arial"/>
          <w:sz w:val="20"/>
          <w:szCs w:val="20"/>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Revolving Lender at any time shall be its Applicable Percentage of the total Swingline Exposure at such time.</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has the meaning assigned to such term in Section 2.05(a).</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Borrowers of this Agreement and the other Loan Documents, the borrowing of Loans and other credit extensions, the use of the proceeds thereof and the issuance of Letters of Credit hereunder.</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or the CBFR.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Illinois or in any other state the laws of which are required to be applied in connection with the issue of perfection of security interests.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Unfinanced Capital Expenditures</w:t>
      </w:r>
      <w:r>
        <w:rPr>
          <w:rFonts w:ascii="Arial" w:cs="Arial" w:eastAsia="Arial" w:hAnsi="Arial"/>
          <w:sz w:val="19"/>
          <w:szCs w:val="19"/>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Unliquidated Obligations</w:t>
      </w:r>
      <w:r>
        <w:rPr>
          <w:rFonts w:ascii="Arial" w:cs="Arial" w:eastAsia="Arial" w:hAnsi="Arial"/>
          <w:sz w:val="20"/>
          <w:szCs w:val="20"/>
          <w:color w:val="auto"/>
        </w:rPr>
        <w:t>” means, at any time, any Secured Obligations (or portion thereof) that are contingent in nature or unliquidated at such time, including any Secured Obligation that is: (i) an obligation to reimburse a bank</w:t>
      </w:r>
    </w:p>
    <w:p>
      <w:pPr>
        <w:sectPr>
          <w:pgSz w:w="11900" w:h="16838" w:orient="portrait"/>
          <w:cols w:equalWidth="0" w:num="1">
            <w:col w:w="11420"/>
          </w:cols>
          <w:pgMar w:left="240" w:top="582" w:right="23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20"/>
          <w:szCs w:val="20"/>
          <w:color w:val="auto"/>
        </w:rPr>
        <w:t>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assigned to such term in Section 2.17(f)(ii)(B)(3).</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xml:space="preserve"> For purposes of this Agreement, Loans may be classified and referred to by Class (</w:t>
      </w:r>
      <w:r>
        <w:rPr>
          <w:rFonts w:ascii="Arial" w:cs="Arial" w:eastAsia="Arial" w:hAnsi="Arial"/>
          <w:sz w:val="20"/>
          <w:szCs w:val="20"/>
          <w:u w:val="single" w:color="auto"/>
          <w:color w:val="auto"/>
        </w:rPr>
        <w:t>e.g.</w:t>
      </w:r>
      <w:r>
        <w:rPr>
          <w:rFonts w:ascii="Arial" w:cs="Arial" w:eastAsia="Arial" w:hAnsi="Arial"/>
          <w:sz w:val="20"/>
          <w:szCs w:val="20"/>
          <w:color w:val="auto"/>
        </w:rPr>
        <w:t>, a “Revolving Loan”) or by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Loan”) or 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Revolving Loan”). Borrowings also may be classified and referred to by Class (</w:t>
      </w:r>
      <w:r>
        <w:rPr>
          <w:rFonts w:ascii="Arial" w:cs="Arial" w:eastAsia="Arial" w:hAnsi="Arial"/>
          <w:sz w:val="20"/>
          <w:szCs w:val="20"/>
          <w:u w:val="single" w:color="auto"/>
          <w:color w:val="auto"/>
        </w:rPr>
        <w:t>e.g.</w:t>
      </w:r>
      <w:r>
        <w:rPr>
          <w:rFonts w:ascii="Arial" w:cs="Arial" w:eastAsia="Arial" w:hAnsi="Arial"/>
          <w:sz w:val="20"/>
          <w:szCs w:val="20"/>
          <w:color w:val="auto"/>
        </w:rPr>
        <w:t>, a “Revolving Borrowing”) or by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Borrowing”) or 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Revolving Borrowing”).</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Accounting Terms; GAAP.</w:t>
      </w:r>
      <w:r>
        <w:rPr>
          <w:rFonts w:ascii="Arial" w:cs="Arial" w:eastAsia="Arial" w:hAnsi="Arial"/>
          <w:sz w:val="20"/>
          <w:szCs w:val="20"/>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w:t>
      </w:r>
    </w:p>
    <w:p>
      <w:pPr>
        <w:sectPr>
          <w:pgSz w:w="11900" w:h="16838" w:orient="portrait"/>
          <w:cols w:equalWidth="0" w:num="1">
            <w:col w:w="11420"/>
          </w:cols>
          <w:pgMar w:left="240" w:top="582" w:right="2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9"/>
          <w:szCs w:val="19"/>
          <w:color w:val="auto"/>
        </w:rPr>
        <w:t>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5" w:lineRule="exact"/>
        <w:rPr>
          <w:sz w:val="20"/>
          <w:szCs w:val="20"/>
          <w:color w:val="auto"/>
        </w:rPr>
      </w:pPr>
    </w:p>
    <w:p>
      <w:pPr>
        <w:jc w:val="both"/>
        <w:ind w:firstLine="656"/>
        <w:spacing w:after="0" w:line="244" w:lineRule="auto"/>
        <w:tabs>
          <w:tab w:leader="none" w:pos="1099"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Section 1.04(a)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Interest Rates</w:t>
      </w:r>
      <w:r>
        <w:rPr>
          <w:rFonts w:ascii="Arial" w:cs="Arial" w:eastAsia="Arial" w:hAnsi="Arial"/>
          <w:sz w:val="20"/>
          <w:szCs w:val="20"/>
          <w:color w:val="auto"/>
        </w:rPr>
        <w:t>. The Administrative Agent does not warrant or accept responsibility for, and shall not have any liability with respect to, the administration, submission or any other matter related to the rates in the definition of “LIBO Rate” or with respect to any comparable or successor rate thereto, or replacement rate therefor.</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Pro Forma Adjustments for Acquisitions and Dispositions</w:t>
      </w:r>
      <w:r>
        <w:rPr>
          <w:rFonts w:ascii="Arial" w:cs="Arial" w:eastAsia="Arial" w:hAnsi="Arial"/>
          <w:sz w:val="20"/>
          <w:szCs w:val="20"/>
          <w:color w:val="auto"/>
        </w:rPr>
        <w:t>. To the extent any Borrower or any Subsidiary makes any acquisition permitted pursuant to Section 6.04 or disposition of assets outside the ordinary course of business permitted by Section 6.05 during the period of four fiscal quarters of the Borrowers most recently ended, the Availability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such Borrower), as if such acquisition or such disposition (and any related incurrence, repayment or assumption of Indebtedness) had occurred in the first day of such four-quarter period.</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Status of Obligations</w:t>
      </w:r>
      <w:r>
        <w:rPr>
          <w:rFonts w:ascii="Arial" w:cs="Arial" w:eastAsia="Arial" w:hAnsi="Arial"/>
          <w:sz w:val="19"/>
          <w:szCs w:val="19"/>
          <w:color w:val="auto"/>
        </w:rPr>
        <w:t>.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Credits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Commitments.</w:t>
      </w:r>
      <w:r>
        <w:rPr>
          <w:rFonts w:ascii="Arial" w:cs="Arial" w:eastAsia="Arial" w:hAnsi="Arial"/>
          <w:sz w:val="20"/>
          <w:szCs w:val="20"/>
          <w:color w:val="auto"/>
        </w:rPr>
        <w:t xml:space="preserve"> Subject to the terms and conditions set forth herein, each Lender severally (and not jointly) agrees to make Revolving Loans in dollars to the Borrowers from time to time during the Availability</w:t>
      </w:r>
    </w:p>
    <w:p>
      <w:pPr>
        <w:sectPr>
          <w:pgSz w:w="11900" w:h="16838" w:orient="portrait"/>
          <w:cols w:equalWidth="0" w:num="1">
            <w:col w:w="11420"/>
          </w:cols>
          <w:pgMar w:left="240" w:top="582" w:right="239" w:bottom="1440" w:gutter="0" w:footer="0" w:header="0"/>
        </w:sectPr>
      </w:pPr>
    </w:p>
    <w:bookmarkStart w:id="77" w:name="page78"/>
    <w:bookmarkEnd w:id="77"/>
    <w:p>
      <w:pPr>
        <w:jc w:val="both"/>
        <w:spacing w:after="0" w:line="244" w:lineRule="auto"/>
        <w:rPr>
          <w:sz w:val="20"/>
          <w:szCs w:val="20"/>
          <w:color w:val="auto"/>
        </w:rPr>
      </w:pPr>
      <w:r>
        <w:rPr>
          <w:rFonts w:ascii="Arial" w:cs="Arial" w:eastAsia="Arial" w:hAnsi="Arial"/>
          <w:sz w:val="20"/>
          <w:szCs w:val="20"/>
          <w:color w:val="auto"/>
        </w:rPr>
        <w:t>Period in an aggregate principal amount that will not result in (i) such Lender's Revolving Exposure exceeding such Lender's Revolving Commitment or (ii) the Aggregate Revolving Exposure exceeding the lesser of (x) the Aggregate Revolving Commitment and (y) the Borrowing Base, subject to the Administrative Agent’s authority, in its sole discretion, to make Protective Advances and Overadvances pursuant to the terms of Section 2.04. Within the foregoing limits and subject to the terms and conditions set forth herein, the Borrowers may borrow, prepay and reborrow Revolving Loans.</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Loans and Borrowings.</w:t>
      </w:r>
      <w:r>
        <w:rPr>
          <w:rFonts w:ascii="Arial" w:cs="Arial" w:eastAsia="Arial" w:hAnsi="Arial"/>
          <w:sz w:val="20"/>
          <w:szCs w:val="20"/>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Protective Advance, any Overadvance, and any Swingline Loan shall be made in accordance with the procedures set forth in Sections 2.04 and 2.05.</w:t>
      </w:r>
    </w:p>
    <w:p>
      <w:pPr>
        <w:spacing w:after="0" w:line="196" w:lineRule="exact"/>
        <w:rPr>
          <w:sz w:val="20"/>
          <w:szCs w:val="20"/>
          <w:color w:val="auto"/>
        </w:rPr>
      </w:pPr>
    </w:p>
    <w:p>
      <w:pPr>
        <w:jc w:val="both"/>
        <w:ind w:firstLine="656"/>
        <w:spacing w:after="0" w:line="243" w:lineRule="auto"/>
        <w:tabs>
          <w:tab w:leader="none" w:pos="1167"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Subject to Section 2.14, each Revolving Borrowing shall be comprised entirely of CBFR Loans or Eurodollar Loans as the Borrower Representative may request in accordance herewith,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Borrowings made on the Effective Date must be made as CBFR Borrowings but may be converted into Eurodollar Borrowings in accordance with Section 2.08. Each Swingline Loan shall be an CBFR Loan.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the Borrowers to repay such Loan in accordance with the terms of this Agreement.</w:t>
      </w:r>
    </w:p>
    <w:p>
      <w:pPr>
        <w:spacing w:after="0" w:line="193" w:lineRule="exact"/>
        <w:rPr>
          <w:rFonts w:ascii="Arial" w:cs="Arial" w:eastAsia="Arial" w:hAnsi="Arial"/>
          <w:sz w:val="20"/>
          <w:szCs w:val="20"/>
          <w:color w:val="auto"/>
        </w:rPr>
      </w:pPr>
    </w:p>
    <w:p>
      <w:pPr>
        <w:jc w:val="both"/>
        <w:ind w:firstLine="656"/>
        <w:spacing w:after="0" w:line="246" w:lineRule="auto"/>
        <w:tabs>
          <w:tab w:leader="none" w:pos="1048"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At the commencement of each Interest Period for any Eurodollar Borrowing, such Borrowing shall be in an aggregate amount that is an integral multiple of $500,000 and not less than $2,500,000. CBFR Borrowings may be in any amount. Borrowings of more than one Type and Class may be outstanding at the same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not at any time be more than a total of 6 Eurodollar Borrowings outstanding.</w:t>
      </w:r>
    </w:p>
    <w:p>
      <w:pPr>
        <w:spacing w:after="0" w:line="191" w:lineRule="exact"/>
        <w:rPr>
          <w:rFonts w:ascii="Arial" w:cs="Arial" w:eastAsia="Arial" w:hAnsi="Arial"/>
          <w:sz w:val="20"/>
          <w:szCs w:val="20"/>
          <w:color w:val="auto"/>
        </w:rPr>
      </w:pPr>
    </w:p>
    <w:p>
      <w:pPr>
        <w:ind w:firstLine="656"/>
        <w:spacing w:after="0" w:line="287" w:lineRule="auto"/>
        <w:tabs>
          <w:tab w:leader="none" w:pos="1059"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Requests for Borrowings.</w:t>
      </w:r>
      <w:r>
        <w:rPr>
          <w:rFonts w:ascii="Arial" w:cs="Arial" w:eastAsia="Arial" w:hAnsi="Arial"/>
          <w:sz w:val="19"/>
          <w:szCs w:val="19"/>
          <w:color w:val="auto"/>
        </w:rPr>
        <w:t xml:space="preserve"> To request a Borrowing, the Borrower Representative shall notify the Administrative Agent of such request either in writing (delivered by hand or fax) by delivering a Borrowing Request signed by a Responsible Officer of the Borrower Representative or through Electronic System if arrangements for doing so have been approved by the Administrative Agent (or if an Extenuating Circumstance shall exist, by telephone) not later than (a) in the case of a Eurodollar Borrowing, 10:00 a.m., Chicago time, three (3) Business Days before the date of the proposed Borrowing or (b) in the case of an CBFR Borrowing, noon, Chicago time, on the date of the proposed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notice of an CBFR Revolving Borrowing to finance the reimbursement of an LC Disbursement as contemplated by Section 2.06(e) may be given not later than 9:00 a.m., Chicago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Representative. Each such written (or if permitted, telephonic) Borrowing Request shall specify the following information in compliance with Section 2.02:</w:t>
      </w:r>
    </w:p>
    <w:p>
      <w:pPr>
        <w:spacing w:after="0" w:line="185" w:lineRule="exact"/>
        <w:rPr>
          <w:sz w:val="20"/>
          <w:szCs w:val="20"/>
          <w:color w:val="auto"/>
        </w:rPr>
      </w:pPr>
    </w:p>
    <w:p>
      <w:pPr>
        <w:ind w:left="1680" w:hanging="375"/>
        <w:spacing w:after="0"/>
        <w:tabs>
          <w:tab w:leader="none" w:pos="16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name of the applicable Borrower(s);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aggregate amount of the requested Borrowing and a breakdown of the separate wires comprising such Borrowing;</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date of such Revolving Borrowing, which shall be a Business Day;</w:t>
      </w:r>
    </w:p>
    <w:p>
      <w:pPr>
        <w:sectPr>
          <w:pgSz w:w="11900" w:h="16838" w:orient="portrait"/>
          <w:cols w:equalWidth="0" w:num="1">
            <w:col w:w="11420"/>
          </w:cols>
          <w:pgMar w:left="240" w:top="582" w:right="239" w:bottom="1440" w:gutter="0" w:footer="0" w:header="0"/>
        </w:sectPr>
      </w:pPr>
    </w:p>
    <w:bookmarkStart w:id="78" w:name="page79"/>
    <w:bookmarkEnd w:id="78"/>
    <w:p>
      <w:pPr>
        <w:ind w:left="1780" w:hanging="475"/>
        <w:spacing w:after="0"/>
        <w:tabs>
          <w:tab w:leader="none" w:pos="17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whether such Revolving Borrowing is to be an CBFR Borrowing or a Eurodollar Borrowing; and</w:t>
      </w:r>
    </w:p>
    <w:p>
      <w:pPr>
        <w:spacing w:after="0" w:line="215" w:lineRule="exact"/>
        <w:rPr>
          <w:rFonts w:ascii="Arial" w:cs="Arial" w:eastAsia="Arial" w:hAnsi="Arial"/>
          <w:sz w:val="20"/>
          <w:szCs w:val="20"/>
          <w:color w:val="auto"/>
        </w:rPr>
      </w:pPr>
    </w:p>
    <w:p>
      <w:pPr>
        <w:ind w:left="1300" w:firstLine="5"/>
        <w:spacing w:after="0" w:line="260" w:lineRule="auto"/>
        <w:tabs>
          <w:tab w:leader="none" w:pos="1846"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no election as to the Type of Revolving Borrowing is specified, then the requested Revolving Borrowing shall be an CBFR Borrowing. If no Interest Period is specified with respect to any requested Eurodollar Revolving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Protective Advances.</w:t>
      </w:r>
      <w:r>
        <w:rPr>
          <w:rFonts w:ascii="Arial" w:cs="Arial" w:eastAsia="Arial" w:hAnsi="Arial"/>
          <w:sz w:val="18"/>
          <w:szCs w:val="18"/>
          <w:color w:val="auto"/>
        </w:rPr>
        <w:t xml:space="preserve"> (a) Subject to the limitations set forth below, the Administrative Agent is authorized by the Borrowers and the Lenders, from time to time in the Administrative Agent’s Permitted Discretion (but shall have absolutely no obligation to), to make Loans to the Borrowers, on behalf of all Lenders, which the Administrative Agent, in its Permitted Discretion, deems necessary (i) to preserve or protect the Collateral, or any portion thereof, (ii) to enhance the likelihood of, or maximize the amount of, repayment of the Loans and other Obligations, or (iii) after an Event of Default, to pay any other amount chargeable to or required to be paid by the Borrowers pursuant to the terms of this Agreement, including payments of reimbursable expenses (including costs, fees, and expenses as described in Section 9.03) and other sums payable under the Loan Documents (any of such Loans are herein referred to as “</w:t>
      </w:r>
      <w:r>
        <w:rPr>
          <w:rFonts w:ascii="Arial" w:cs="Arial" w:eastAsia="Arial" w:hAnsi="Arial"/>
          <w:sz w:val="18"/>
          <w:szCs w:val="18"/>
          <w:u w:val="single" w:color="auto"/>
          <w:color w:val="auto"/>
        </w:rPr>
        <w:t>Protective Advances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Protective Advances outstanding at any time shall not at any time exceed 10% of the Aggregate Revolving Commitment;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CBFR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173" w:lineRule="exact"/>
        <w:rPr>
          <w:sz w:val="20"/>
          <w:szCs w:val="20"/>
          <w:color w:val="auto"/>
        </w:rPr>
      </w:pPr>
    </w:p>
    <w:p>
      <w:pPr>
        <w:jc w:val="both"/>
        <w:ind w:firstLine="656"/>
        <w:spacing w:after="0" w:line="276" w:lineRule="auto"/>
        <w:tabs>
          <w:tab w:leader="none" w:pos="10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Swingline Loans and Overadvances.</w:t>
      </w:r>
    </w:p>
    <w:p>
      <w:pPr>
        <w:spacing w:after="0" w:line="216" w:lineRule="exact"/>
        <w:rPr>
          <w:sz w:val="20"/>
          <w:szCs w:val="20"/>
          <w:color w:val="auto"/>
        </w:rPr>
      </w:pPr>
    </w:p>
    <w:p>
      <w:pPr>
        <w:jc w:val="both"/>
        <w:ind w:firstLine="656"/>
        <w:spacing w:after="0" w:line="276" w:lineRule="auto"/>
        <w:tabs>
          <w:tab w:leader="none" w:pos="9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Administrative Agent, the Swingline Lender and the Revolving Lenders agree that in order to facilitate the administration of this Agreement and the other Loan Documents, promptly after the Borrower Representative requests an CBFR Borrowing, the Swingline Lender may in its sole discretion (but with absolutely no obligation) elect to have the terms of this Section 2.05(a) apply to such Borrowing Request by advancing, on behalf of the Revolving Lenders and in the amount requested, same day funds to the Borrowers, on the date of the applicable Borrowing to the Funding Account(s) (each such Loan made solely by the Swingline Lender pursuant to this Section 2.05(a) is referred to in this Agreement as a “</w:t>
      </w:r>
      <w:r>
        <w:rPr>
          <w:rFonts w:ascii="Arial" w:cs="Arial" w:eastAsia="Arial" w:hAnsi="Arial"/>
          <w:sz w:val="18"/>
          <w:szCs w:val="18"/>
          <w:u w:val="single" w:color="auto"/>
          <w:color w:val="auto"/>
        </w:rPr>
        <w:t>Swingline Loan</w:t>
      </w:r>
      <w:r>
        <w:rPr>
          <w:rFonts w:ascii="Arial" w:cs="Arial" w:eastAsia="Arial" w:hAnsi="Arial"/>
          <w:sz w:val="18"/>
          <w:szCs w:val="18"/>
          <w:color w:val="auto"/>
        </w:rPr>
        <w:t>”), with settlement among them as to the Swingline Loans to take</w:t>
      </w:r>
    </w:p>
    <w:p>
      <w:pPr>
        <w:sectPr>
          <w:pgSz w:w="11900" w:h="16838" w:orient="portrait"/>
          <w:cols w:equalWidth="0" w:num="1">
            <w:col w:w="11420"/>
          </w:cols>
          <w:pgMar w:left="240" w:top="798" w:right="239" w:bottom="1440" w:gutter="0" w:footer="0" w:header="0"/>
        </w:sectPr>
      </w:pPr>
    </w:p>
    <w:bookmarkStart w:id="79" w:name="page80"/>
    <w:bookmarkEnd w:id="79"/>
    <w:p>
      <w:pPr>
        <w:jc w:val="both"/>
        <w:spacing w:after="0" w:line="244" w:lineRule="auto"/>
        <w:rPr>
          <w:sz w:val="20"/>
          <w:szCs w:val="20"/>
          <w:color w:val="auto"/>
        </w:rPr>
      </w:pPr>
      <w:r>
        <w:rPr>
          <w:rFonts w:ascii="Arial" w:cs="Arial" w:eastAsia="Arial" w:hAnsi="Arial"/>
          <w:sz w:val="20"/>
          <w:szCs w:val="20"/>
          <w:color w:val="auto"/>
        </w:rPr>
        <w:t>place on a periodic basis as set forth in Section 2.05(c). Each Swingline Loan shall be subject to all the terms and conditions applicable to other CBFR Loans funded by the Revolving Lenders, except that all payments thereon shall be payable to the Swingline Lender solely for its own account. The aggregate amount of Swingline Loans outstanding at any time shall not exceed $10,000,000. The Swingline Lender shall not make any Swingline Loan if the requested Swingline Loan exceeds Availability (before or after giving effect to such Swingline Loan). All Swingline Loans shall be CBFR Borrowings.</w:t>
      </w:r>
    </w:p>
    <w:p>
      <w:pPr>
        <w:spacing w:after="0" w:line="195" w:lineRule="exact"/>
        <w:rPr>
          <w:sz w:val="20"/>
          <w:szCs w:val="20"/>
          <w:color w:val="auto"/>
        </w:rPr>
      </w:pPr>
    </w:p>
    <w:p>
      <w:pPr>
        <w:jc w:val="both"/>
        <w:ind w:firstLine="656"/>
        <w:spacing w:after="0" w:line="270" w:lineRule="auto"/>
        <w:tabs>
          <w:tab w:leader="none" w:pos="12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w:t>
      </w:r>
      <w:r>
        <w:rPr>
          <w:rFonts w:ascii="Arial" w:cs="Arial" w:eastAsia="Arial" w:hAnsi="Arial"/>
          <w:sz w:val="18"/>
          <w:szCs w:val="18"/>
          <w:u w:val="single" w:color="auto"/>
          <w:color w:val="auto"/>
        </w:rPr>
        <w:t>Overadvances</w:t>
      </w:r>
      <w:r>
        <w:rPr>
          <w:rFonts w:ascii="Arial" w:cs="Arial" w:eastAsia="Arial" w:hAnsi="Arial"/>
          <w:sz w:val="18"/>
          <w:szCs w:val="18"/>
          <w:color w:val="auto"/>
        </w:rPr>
        <w:t xml:space="preserve">”) or (y) deem the amount of Revolving Loans outstanding to the Borrowers that are in excess of Availability to be Overadvances;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Overadvance shall result in a Default due to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CBFR Borrowings. The making of an Overadvance on any one occasion shall not obligate the Administrative Agent to make any Overadvance on any other occasion. The authority of the Administrative Agent to make Overadvances is limited to an aggregate amount not to exceed 10% of the Aggregate Revolving Commitment at any time, no Overadvance may remain outstanding for more than thirty days and no Overadvance shall cause any Revolving Lender's Revolving Exposure to exceed its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Required Lenders may at any time revoke the Administrative Agent’s authorization to make Overadvances. Any such revocation must be in writing and shall become effective prospectively upon the Administrative Agent’s receipt thereof.</w:t>
      </w:r>
    </w:p>
    <w:p>
      <w:pPr>
        <w:spacing w:after="0" w:line="173" w:lineRule="exact"/>
        <w:rPr>
          <w:rFonts w:ascii="Arial" w:cs="Arial" w:eastAsia="Arial" w:hAnsi="Arial"/>
          <w:sz w:val="18"/>
          <w:szCs w:val="18"/>
          <w:color w:val="auto"/>
        </w:rPr>
      </w:pPr>
    </w:p>
    <w:p>
      <w:pPr>
        <w:jc w:val="both"/>
        <w:ind w:firstLine="656"/>
        <w:spacing w:after="0" w:line="273" w:lineRule="auto"/>
        <w:tabs>
          <w:tab w:leader="none" w:pos="10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the making of a Swingline Loan or an Overadvance (whether before or after the occurrence of a Default and regardless of whether a Settlement has been requested with respect to such Swingline Loan or Overadvance), each Revolving Lender shall be deemed, without further action by any party hereto, to have unconditionally and irrevocably purchased from the Swingline Lender, without recourse or warranty, an undivided interest and participation in such Swingline Loan or Overadvance in proportion to its Applicable Percentage of the Revolving Commitment. The Swingline Lender may, at any time, require the Revolving Lenders to fund their participations. From and after the date, if any, on which any Revolving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69" w:lineRule="exact"/>
        <w:rPr>
          <w:rFonts w:ascii="Arial" w:cs="Arial" w:eastAsia="Arial" w:hAnsi="Arial"/>
          <w:sz w:val="18"/>
          <w:szCs w:val="18"/>
          <w:color w:val="auto"/>
        </w:rPr>
      </w:pPr>
    </w:p>
    <w:p>
      <w:pPr>
        <w:jc w:val="both"/>
        <w:ind w:firstLine="656"/>
        <w:spacing w:after="0" w:line="270"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Administrative Agent, on behalf of the Swingline Lender, shall request settlement (a “</w:t>
      </w:r>
      <w:r>
        <w:rPr>
          <w:rFonts w:ascii="Arial" w:cs="Arial" w:eastAsia="Arial" w:hAnsi="Arial"/>
          <w:sz w:val="18"/>
          <w:szCs w:val="18"/>
          <w:u w:val="single" w:color="auto"/>
          <w:color w:val="auto"/>
        </w:rPr>
        <w:t>Settlement</w:t>
      </w:r>
      <w:r>
        <w:rPr>
          <w:rFonts w:ascii="Arial" w:cs="Arial" w:eastAsia="Arial" w:hAnsi="Arial"/>
          <w:sz w:val="18"/>
          <w:szCs w:val="18"/>
          <w:color w:val="auto"/>
        </w:rPr>
        <w:t>”) with the Revolving Lenders on at least a weekly basis or on any date that the Administrative Agent elects, by notifying the Revolving Lenders of such requested Settlement by facsimile, telephone, or e-mail no later than 12:00 noon Chicago time on the date of such requested Settlement (the “</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Revolving Lenders, respectively. If any such amount is not transferred to the Administrative Agent by any Revolving Lender on such Settlement Date, the Swingline Lender shall be entitled to recover from such Lender on demand such amount, together with interest thereon, as specified in Section 2.07.</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Letters of Credit.</w:t>
      </w:r>
      <w:r>
        <w:rPr>
          <w:rFonts w:ascii="Arial" w:cs="Arial" w:eastAsia="Arial" w:hAnsi="Arial"/>
          <w:sz w:val="20"/>
          <w:szCs w:val="20"/>
          <w:color w:val="auto"/>
        </w:rPr>
        <w:t xml:space="preserve"> (a) </w:t>
      </w:r>
      <w:r>
        <w:rPr>
          <w:rFonts w:ascii="Arial" w:cs="Arial" w:eastAsia="Arial" w:hAnsi="Arial"/>
          <w:sz w:val="20"/>
          <w:szCs w:val="20"/>
          <w:u w:val="single" w:color="auto"/>
          <w:color w:val="auto"/>
        </w:rPr>
        <w:t>General.</w:t>
      </w:r>
      <w:r>
        <w:rPr>
          <w:rFonts w:ascii="Arial" w:cs="Arial" w:eastAsia="Arial" w:hAnsi="Arial"/>
          <w:sz w:val="20"/>
          <w:szCs w:val="20"/>
          <w:color w:val="auto"/>
        </w:rPr>
        <w:t xml:space="preserve"> Subject to the terms and conditions set forth herein, the Borrower Representative may request the issuance of Letters of Credit for its own account or for the account of another Borrower denominated in dollars as the applicant thereof for the support of its or its Subsidiaries’ obligations, in a form reasonably acceptable to the Administrative Agent and the Issuing Bank, at any time and from time to time during</w:t>
      </w:r>
    </w:p>
    <w:p>
      <w:pPr>
        <w:sectPr>
          <w:pgSz w:w="11900" w:h="16838" w:orient="portrait"/>
          <w:cols w:equalWidth="0" w:num="1">
            <w:col w:w="11420"/>
          </w:cols>
          <w:pgMar w:left="240" w:top="582" w:right="239" w:bottom="1440" w:gutter="0" w:footer="0" w:header="0"/>
        </w:sectPr>
      </w:pPr>
    </w:p>
    <w:bookmarkStart w:id="80" w:name="page81"/>
    <w:bookmarkEnd w:id="80"/>
    <w:p>
      <w:pPr>
        <w:jc w:val="both"/>
        <w:spacing w:after="0" w:line="269" w:lineRule="auto"/>
        <w:rPr>
          <w:sz w:val="20"/>
          <w:szCs w:val="20"/>
          <w:color w:val="auto"/>
        </w:rPr>
      </w:pPr>
      <w:r>
        <w:rPr>
          <w:rFonts w:ascii="Arial" w:cs="Arial" w:eastAsia="Arial" w:hAnsi="Arial"/>
          <w:sz w:val="18"/>
          <w:szCs w:val="18"/>
          <w:color w:val="auto"/>
        </w:rPr>
        <w:t>the Availability Period. In the event of any inconsistency between the terms and conditions of this Agreement and the terms and conditions of any Letter of Credit Agreement, the terms and conditions of this Agreement shall control.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173" w:lineRule="exact"/>
        <w:rPr>
          <w:sz w:val="20"/>
          <w:szCs w:val="20"/>
          <w:color w:val="auto"/>
        </w:rPr>
      </w:pPr>
    </w:p>
    <w:p>
      <w:pPr>
        <w:jc w:val="both"/>
        <w:ind w:firstLine="656"/>
        <w:spacing w:after="0" w:line="306" w:lineRule="auto"/>
        <w:tabs>
          <w:tab w:leader="none" w:pos="1126"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xml:space="preserve"> To request the issuance of a Letter of Credit (or the amendment, renewal or extension of an outstanding Letter of Credit), the Borrower Representative shall deliver by hand or facsimile (or transmit through Electronic System, if arrangements for doing so have been approved by the Issuing Bank) to the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Issuing Bank and using such bank's standard form (each, a “Letter of Credit Agreement”).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$10,000,000, (ii) [Reserved], (iii) [Reserved], (iv) no Revolving Lender’s Revolving Exposure shall exceed its Revolving Commitment and</w:t>
      </w:r>
    </w:p>
    <w:p>
      <w:pPr>
        <w:spacing w:after="0" w:line="180" w:lineRule="exact"/>
        <w:rPr>
          <w:rFonts w:ascii="Arial" w:cs="Arial" w:eastAsia="Arial" w:hAnsi="Arial"/>
          <w:sz w:val="16"/>
          <w:szCs w:val="16"/>
          <w:color w:val="auto"/>
        </w:rPr>
      </w:pPr>
    </w:p>
    <w:p>
      <w:pPr>
        <w:jc w:val="both"/>
        <w:ind w:firstLine="8"/>
        <w:spacing w:after="0" w:line="270"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Revolving Exposure shall not exceed the lesser of the Aggregate Revolving Commitment and the Borrowing 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clause (i) of this Section 2.06(b).</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xml:space="preserve"> Each Letter of Credit shall expire (or be subject to termination or non-renewal by</w:t>
      </w:r>
    </w:p>
    <w:p>
      <w:pPr>
        <w:sectPr>
          <w:pgSz w:w="11900" w:h="16838" w:orient="portrait"/>
          <w:cols w:equalWidth="0" w:num="1">
            <w:col w:w="11420"/>
          </w:cols>
          <w:pgMar w:left="240" w:top="582" w:right="239" w:bottom="1440" w:gutter="0" w:footer="0" w:header="0"/>
        </w:sectPr>
      </w:pPr>
    </w:p>
    <w:bookmarkStart w:id="81" w:name="page82"/>
    <w:bookmarkEnd w:id="81"/>
    <w:p>
      <w:pPr>
        <w:jc w:val="both"/>
        <w:spacing w:after="0" w:line="291" w:lineRule="auto"/>
        <w:rPr>
          <w:sz w:val="20"/>
          <w:szCs w:val="20"/>
          <w:color w:val="auto"/>
        </w:rPr>
      </w:pPr>
      <w:r>
        <w:rPr>
          <w:rFonts w:ascii="Arial" w:cs="Arial" w:eastAsia="Arial" w:hAnsi="Arial"/>
          <w:sz w:val="18"/>
          <w:szCs w:val="18"/>
          <w:color w:val="auto"/>
        </w:rPr>
        <w:t>notice from the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Maturity Date.</w:t>
      </w:r>
    </w:p>
    <w:p>
      <w:pPr>
        <w:spacing w:after="0" w:line="152" w:lineRule="exact"/>
        <w:rPr>
          <w:sz w:val="20"/>
          <w:szCs w:val="20"/>
          <w:color w:val="auto"/>
        </w:rPr>
      </w:pPr>
    </w:p>
    <w:p>
      <w:pPr>
        <w:jc w:val="both"/>
        <w:ind w:firstLine="656"/>
        <w:spacing w:after="0" w:line="271" w:lineRule="auto"/>
        <w:tabs>
          <w:tab w:leader="none" w:pos="111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Lender's Applicable Percentage of each LC Disbursement made by the Issuing Bank and not reimbursed by the Borrowers on the date due as provided in paragraph (e) of this Section, or of any reimbursement payment required to be refunded to the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0" w:lineRule="exact"/>
        <w:rPr>
          <w:rFonts w:ascii="Arial" w:cs="Arial" w:eastAsia="Arial" w:hAnsi="Arial"/>
          <w:sz w:val="18"/>
          <w:szCs w:val="18"/>
          <w:color w:val="auto"/>
        </w:rPr>
      </w:pPr>
    </w:p>
    <w:p>
      <w:pPr>
        <w:jc w:val="both"/>
        <w:ind w:firstLine="656"/>
        <w:spacing w:after="0" w:line="269" w:lineRule="auto"/>
        <w:tabs>
          <w:tab w:leader="none" w:pos="117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Issuing Bank shall make any LC Disbursement in respect of a Letter of Credit, the Borrowers shall reimburse such LC Disbursement by paying to the Administrative Agent an amount equal to such LC Disbursement not later than 11:00 a.m., Chicago time, on (a) (i) the Business Day that the Borrower Representative receives notice of such LC Disbursement, if such notice is received prior to 9:00 a.m., Chicago time, on the day of receipt, or (ii) the Business Day immediately following the day that the Borrower Representative receives such notice, if such notice is received after 9:00 a.m. Chicago time on the day of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may, subject to the conditions to borrowing set forth herein, request in accordance with Section 2.03 or 2.05 that such payment be financed with an CBFR Revolving Borrowing or Swingline Loan in an equivalent amount and, to the extent so financed, the Borrowers’ obligation to make such payment shall be discharged and replaced by the resulting CBFR Revolving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CBFR Revolving Loans or a Swingline Loan as contemplated above) shall not constitute a Loan and shall not relieve the Borrowers of their obligation to reimburse such LC Disbursement.</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02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Revolving Lenders, the Issuing Bank or any of their Related Parties, shall have any liability or responsibility by reason of or in connection with the issuance or transfer of any Letter of Credit or any payment or failure to make</w:t>
      </w:r>
    </w:p>
    <w:p>
      <w:pPr>
        <w:sectPr>
          <w:pgSz w:w="11900" w:h="16838" w:orient="portrait"/>
          <w:cols w:equalWidth="0" w:num="1">
            <w:col w:w="11420"/>
          </w:cols>
          <w:pgMar w:left="240" w:top="582" w:right="239" w:bottom="1440" w:gutter="0" w:footer="0" w:header="0"/>
        </w:sectPr>
      </w:pPr>
    </w:p>
    <w:bookmarkStart w:id="82" w:name="page83"/>
    <w:bookmarkEnd w:id="82"/>
    <w:p>
      <w:pPr>
        <w:jc w:val="both"/>
        <w:spacing w:after="0" w:line="254" w:lineRule="auto"/>
        <w:rPr>
          <w:sz w:val="20"/>
          <w:szCs w:val="20"/>
          <w:color w:val="auto"/>
        </w:rPr>
      </w:pPr>
      <w:r>
        <w:rPr>
          <w:rFonts w:ascii="Arial" w:cs="Arial" w:eastAsia="Arial" w:hAnsi="Arial"/>
          <w:sz w:val="19"/>
          <w:szCs w:val="19"/>
          <w:color w:val="auto"/>
        </w:rPr>
        <w:t xml:space="preserve">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3" w:lineRule="exact"/>
        <w:rPr>
          <w:sz w:val="20"/>
          <w:szCs w:val="20"/>
          <w:color w:val="auto"/>
        </w:rPr>
      </w:pPr>
    </w:p>
    <w:p>
      <w:pPr>
        <w:jc w:val="both"/>
        <w:ind w:firstLine="656"/>
        <w:spacing w:after="0" w:line="278" w:lineRule="auto"/>
        <w:tabs>
          <w:tab w:leader="none" w:pos="111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promptly following its receipt thereof, examine all documents purporting to represent a demand for payment under a Letter of Credit. The Issuing Bank shall promptly notify the Administrative Agent and the applicable Borrower by telephone (confirmed by fax or through Electronic Systems)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Borrowers of their obligation to reimburse the Issuing Bank and the Revolving Lenders with respect to any such LC Disbursement.</w:t>
      </w:r>
    </w:p>
    <w:p>
      <w:pPr>
        <w:spacing w:after="0" w:line="165" w:lineRule="exact"/>
        <w:rPr>
          <w:rFonts w:ascii="Arial" w:cs="Arial" w:eastAsia="Arial" w:hAnsi="Arial"/>
          <w:sz w:val="18"/>
          <w:szCs w:val="18"/>
          <w:color w:val="auto"/>
        </w:rPr>
      </w:pPr>
    </w:p>
    <w:p>
      <w:pPr>
        <w:jc w:val="both"/>
        <w:ind w:firstLine="656"/>
        <w:spacing w:after="0" w:line="257" w:lineRule="auto"/>
        <w:tabs>
          <w:tab w:leader="none" w:pos="1167"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Issuing Bank shall make any LC Disbursement, then, unless the Borrowers shall reimburse such LC Disbursement in full on the date required pursuant to Section 2.06(e) above, the unpaid amount thereof shall bear interest, for each day from and including the date such LC Disbursement is made to but excluding the date that the Borrowers reimburse such LC Disbursement, at the rate per annum then applicable to CBFR Revolving Loans and such interest shall be payable on the date when such reimbursement is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Borrowers fail to reimburse such LC Disbursement when due pursuant to paragraph (e) of this Section, then Section 2.13(d)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Lender to the extent of such payment.</w:t>
      </w:r>
    </w:p>
    <w:p>
      <w:pPr>
        <w:spacing w:after="0" w:line="181" w:lineRule="exact"/>
        <w:rPr>
          <w:rFonts w:ascii="Arial" w:cs="Arial" w:eastAsia="Arial" w:hAnsi="Arial"/>
          <w:sz w:val="19"/>
          <w:szCs w:val="19"/>
          <w:color w:val="auto"/>
        </w:rPr>
      </w:pPr>
    </w:p>
    <w:p>
      <w:pPr>
        <w:jc w:val="both"/>
        <w:ind w:firstLine="656"/>
        <w:spacing w:after="0" w:line="256" w:lineRule="auto"/>
        <w:tabs>
          <w:tab w:leader="none" w:pos="106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w:t>
      </w:r>
      <w:r>
        <w:rPr>
          <w:rFonts w:ascii="Arial" w:cs="Arial" w:eastAsia="Arial" w:hAnsi="Arial"/>
          <w:sz w:val="19"/>
          <w:szCs w:val="19"/>
          <w:color w:val="auto"/>
        </w:rPr>
        <w:t xml:space="preserve"> (i) The Issuing Bank may be replaced at any time by written agreement among the Borrower Representative, the Administrative Agent, the replaced Issuing Bank and the successor Issuing Bank. The Administrative Agent shall notify the Revolving Lenders of any such replacement of the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1" w:lineRule="exact"/>
        <w:rPr>
          <w:sz w:val="20"/>
          <w:szCs w:val="20"/>
          <w:color w:val="auto"/>
        </w:rPr>
      </w:pPr>
    </w:p>
    <w:p>
      <w:pPr>
        <w:jc w:val="both"/>
        <w:ind w:firstLine="656"/>
        <w:spacing w:after="0" w:line="250" w:lineRule="auto"/>
        <w:tabs>
          <w:tab w:leader="none" w:pos="9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Subject to the appointment and acceptance of a successor Issuing Bank, the Issuing Bank may resign as an Issuing Bank at any time upon thirty days’ prior written notice to the Administrative Agent, the Borrower Representative and the Lenders, in which case, such Issuing Bank shall be replaced in accordance with Section 2.06(i) above.</w:t>
      </w:r>
    </w:p>
    <w:p>
      <w:pPr>
        <w:spacing w:after="0" w:line="186" w:lineRule="exact"/>
        <w:rPr>
          <w:sz w:val="20"/>
          <w:szCs w:val="20"/>
          <w:color w:val="auto"/>
        </w:rPr>
      </w:pPr>
    </w:p>
    <w:p>
      <w:pPr>
        <w:ind w:firstLine="656"/>
        <w:spacing w:after="0" w:line="260" w:lineRule="auto"/>
        <w:tabs>
          <w:tab w:leader="none" w:pos="1218"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Cash Collateralization.</w:t>
      </w:r>
      <w:r>
        <w:rPr>
          <w:rFonts w:ascii="Arial" w:cs="Arial" w:eastAsia="Arial" w:hAnsi="Arial"/>
          <w:sz w:val="20"/>
          <w:szCs w:val="20"/>
          <w:color w:val="auto"/>
        </w:rPr>
        <w:t xml:space="preserve"> If any Event of Default shall occur and be continuing, on the Business Day that the Borrower Representative receives notice from the Administrative Agent or the Required Lenders (or, if the</w:t>
      </w:r>
    </w:p>
    <w:p>
      <w:pPr>
        <w:sectPr>
          <w:pgSz w:w="11900" w:h="16838" w:orient="portrait"/>
          <w:cols w:equalWidth="0" w:num="1">
            <w:col w:w="11420"/>
          </w:cols>
          <w:pgMar w:left="240" w:top="582" w:right="23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18"/>
          <w:szCs w:val="18"/>
          <w:color w:val="auto"/>
        </w:rPr>
        <w:t>maturity of the Loans has been accelerated, Revolving Lenders with LC Exposure representing greater than 50%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an amount in cash equal to 105% of the amount of the LC Exposure as of such date plus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Such Borrower also shall deposit cash collateral in accordance with this paragraph as and to the extent required by Sections 2.10(b), 2.11(b) or 2.20. Each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185" w:lineRule="exact"/>
        <w:rPr>
          <w:sz w:val="20"/>
          <w:szCs w:val="20"/>
          <w:color w:val="auto"/>
        </w:rPr>
      </w:pPr>
    </w:p>
    <w:p>
      <w:pPr>
        <w:jc w:val="both"/>
        <w:ind w:firstLine="656"/>
        <w:spacing w:after="0" w:line="271" w:lineRule="auto"/>
        <w:tabs>
          <w:tab w:leader="none" w:pos="105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Issuing Bank Reports to the Administrative Agent</w:t>
      </w:r>
      <w:r>
        <w:rPr>
          <w:rFonts w:ascii="Arial" w:cs="Arial" w:eastAsia="Arial" w:hAnsi="Arial"/>
          <w:sz w:val="18"/>
          <w:szCs w:val="18"/>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70" w:lineRule="exact"/>
        <w:rPr>
          <w:rFonts w:ascii="Arial" w:cs="Arial" w:eastAsia="Arial" w:hAnsi="Arial"/>
          <w:sz w:val="18"/>
          <w:szCs w:val="18"/>
          <w:color w:val="auto"/>
        </w:rPr>
      </w:pPr>
    </w:p>
    <w:p>
      <w:pPr>
        <w:jc w:val="both"/>
        <w:ind w:firstLine="656"/>
        <w:spacing w:after="0" w:line="246" w:lineRule="auto"/>
        <w:tabs>
          <w:tab w:leader="none" w:pos="1029"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LC Exposure Determination</w:t>
      </w:r>
      <w:r>
        <w:rPr>
          <w:rFonts w:ascii="Arial" w:cs="Arial" w:eastAsia="Arial" w:hAnsi="Arial"/>
          <w:sz w:val="20"/>
          <w:szCs w:val="20"/>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91" w:lineRule="exact"/>
        <w:rPr>
          <w:rFonts w:ascii="Arial" w:cs="Arial" w:eastAsia="Arial" w:hAnsi="Arial"/>
          <w:sz w:val="20"/>
          <w:szCs w:val="20"/>
          <w:color w:val="auto"/>
        </w:rPr>
      </w:pPr>
    </w:p>
    <w:p>
      <w:pPr>
        <w:jc w:val="both"/>
        <w:ind w:firstLine="656"/>
        <w:spacing w:after="0" w:line="272" w:lineRule="auto"/>
        <w:tabs>
          <w:tab w:leader="none" w:pos="124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sectPr>
          <w:pgSz w:w="11900" w:h="16838" w:orient="portrait"/>
          <w:cols w:equalWidth="0" w:num="1">
            <w:col w:w="11420"/>
          </w:cols>
          <w:pgMar w:left="240" w:top="582" w:right="239" w:bottom="1440" w:gutter="0" w:footer="0" w:header="0"/>
        </w:sectPr>
      </w:pPr>
    </w:p>
    <w:bookmarkStart w:id="84" w:name="page85"/>
    <w:bookmarkEnd w:id="84"/>
    <w:p>
      <w:pPr>
        <w:jc w:val="both"/>
        <w:ind w:firstLine="648"/>
        <w:spacing w:after="0" w:line="242" w:lineRule="auto"/>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Funding of Borrowings.</w:t>
      </w:r>
      <w:r>
        <w:rPr>
          <w:rFonts w:ascii="Arial" w:cs="Arial" w:eastAsia="Arial" w:hAnsi="Arial"/>
          <w:sz w:val="20"/>
          <w:szCs w:val="20"/>
          <w:color w:val="auto"/>
        </w:rPr>
        <w:t xml:space="preserve"> (a) Each Lender shall make each Loan to be made by such Lender hereunder on the proposed date thereof solely by wire transfer of immediately available funds by 2:00 p.m., Chicago time, to the account of the Administrative Agent most recently designated by it for such purpose by notice to the Lenders in an amount equal to such Lender’s Applicable Percentage;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Swingline Loans shall be made as provided in Section 2.05. The Administrative Agent will make such Loans available to the Borrower Representative by promptly crediting the funds so received in the aforesaid account of the Administrative Agent to the Funding Account;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CBFR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98" w:lineRule="exact"/>
        <w:rPr>
          <w:sz w:val="20"/>
          <w:szCs w:val="20"/>
          <w:color w:val="auto"/>
        </w:rPr>
      </w:pPr>
    </w:p>
    <w:p>
      <w:pPr>
        <w:jc w:val="both"/>
        <w:ind w:firstLine="656"/>
        <w:spacing w:after="0" w:line="270" w:lineRule="auto"/>
        <w:tabs>
          <w:tab w:leader="none" w:pos="1086"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NYFRB Rate and a rate determined by the Administrative Agent in accordance with banking industry rules on interbank compensation and (ii) in the case of the Borrowers, the interest rate applicable to CBFR Loans. If such Lender pays such amount to the Administrative Agent, then such amount shall constitute such Lender's Loan included in such Borrowing, provided,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 xml:space="preserve"> (a) Each Borrowing initially shall be of the Type specified in the applicable Borrowing Request and, in the case of a Eurodollar Borrowing, shall have an initial Interest Period as specified in such Borrowing Request. Thereafter, the Borrower Representative may elect to convert such Borrowing to a different Type or to continue such Borrowing and, in the case of a Eurodollar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69" w:lineRule="exact"/>
        <w:rPr>
          <w:sz w:val="20"/>
          <w:szCs w:val="20"/>
          <w:color w:val="auto"/>
        </w:rPr>
      </w:pPr>
    </w:p>
    <w:p>
      <w:pPr>
        <w:jc w:val="both"/>
        <w:ind w:firstLine="656"/>
        <w:spacing w:after="0" w:line="273" w:lineRule="auto"/>
        <w:tabs>
          <w:tab w:leader="none" w:pos="108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(or if an Extenuating Circumstance shall exist, by telephone) by the time that a Borrowing Request would be required under Section 2.03 if the Borrowers were requesting a Borrowing of the Type resulting from such election to be made on the effective date of such election. Each such Interest Election Request shall be irrevocable and each such telephonic Interest Election Request, if permitted, shall be confirmed immediately upon the cessation of the Extenuating Circumstance by hand delivery, Electronic System or facsimile to the Administrative Agent of a written Interest Election Request in a form approved by the Administrative Agent and signed by a Responsible Officer of the Borrower Representative.</w:t>
      </w:r>
    </w:p>
    <w:p>
      <w:pPr>
        <w:spacing w:after="0" w:line="169" w:lineRule="exact"/>
        <w:rPr>
          <w:rFonts w:ascii="Arial" w:cs="Arial" w:eastAsia="Arial" w:hAnsi="Arial"/>
          <w:sz w:val="18"/>
          <w:szCs w:val="18"/>
          <w:color w:val="auto"/>
        </w:rPr>
      </w:pPr>
    </w:p>
    <w:p>
      <w:pPr>
        <w:ind w:firstLine="656"/>
        <w:spacing w:after="0" w:line="260" w:lineRule="auto"/>
        <w:tabs>
          <w:tab w:leader="none" w:pos="1048"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written (or if permitted, telephonic) Interest Election Request (including requests submitted through Electronic System) shall specify the following information in compliance with Section 2.02:</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16"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w:t>
      </w:r>
    </w:p>
    <w:p>
      <w:pPr>
        <w:sectPr>
          <w:pgSz w:w="11900" w:h="16838" w:orient="portrait"/>
          <w:cols w:equalWidth="0" w:num="1">
            <w:col w:w="11420"/>
          </w:cols>
          <w:pgMar w:left="240" w:top="798"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20"/>
          <w:szCs w:val="20"/>
          <w:color w:val="auto"/>
        </w:rPr>
        <w:t>clauses (iii) and (iv) below shall be specified for each resulting Borrowing);</w:t>
      </w:r>
    </w:p>
    <w:p>
      <w:pPr>
        <w:spacing w:after="0" w:line="216" w:lineRule="exact"/>
        <w:rPr>
          <w:sz w:val="20"/>
          <w:szCs w:val="20"/>
          <w:color w:val="auto"/>
        </w:rPr>
      </w:pPr>
    </w:p>
    <w:p>
      <w:pPr>
        <w:ind w:left="1720" w:hanging="415"/>
        <w:spacing w:after="0"/>
        <w:tabs>
          <w:tab w:leader="none" w:pos="17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 Day;</w:t>
      </w:r>
    </w:p>
    <w:p>
      <w:pPr>
        <w:spacing w:after="0" w:line="227" w:lineRule="exact"/>
        <w:rPr>
          <w:rFonts w:ascii="Arial" w:cs="Arial" w:eastAsia="Arial" w:hAnsi="Arial"/>
          <w:sz w:val="19"/>
          <w:szCs w:val="19"/>
          <w:color w:val="auto"/>
        </w:rPr>
      </w:pPr>
    </w:p>
    <w:p>
      <w:pPr>
        <w:ind w:left="1780" w:hanging="475"/>
        <w:spacing w:after="0"/>
        <w:tabs>
          <w:tab w:leader="none" w:pos="17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whether the resulting Borrowing is to be an CBFR Borrowing or a Eurodollar Borrowing; and</w:t>
      </w:r>
    </w:p>
    <w:p>
      <w:pPr>
        <w:spacing w:after="0" w:line="215" w:lineRule="exact"/>
        <w:rPr>
          <w:rFonts w:ascii="Arial" w:cs="Arial" w:eastAsia="Arial" w:hAnsi="Arial"/>
          <w:sz w:val="20"/>
          <w:szCs w:val="20"/>
          <w:color w:val="auto"/>
        </w:rPr>
      </w:pPr>
    </w:p>
    <w:p>
      <w:pPr>
        <w:ind w:left="660" w:firstLine="645"/>
        <w:spacing w:after="0" w:line="260" w:lineRule="auto"/>
        <w:tabs>
          <w:tab w:leader="none" w:pos="18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Borrowers shall be deemed to have selected an Interest Period of one month's duration.</w:t>
      </w:r>
    </w:p>
    <w:p>
      <w:pPr>
        <w:spacing w:after="0" w:line="177" w:lineRule="exact"/>
        <w:rPr>
          <w:sz w:val="20"/>
          <w:szCs w:val="20"/>
          <w:color w:val="auto"/>
        </w:rPr>
      </w:pPr>
    </w:p>
    <w:p>
      <w:pPr>
        <w:ind w:firstLine="656"/>
        <w:spacing w:after="0" w:line="260" w:lineRule="auto"/>
        <w:tabs>
          <w:tab w:leader="none" w:pos="1153"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76" w:lineRule="exact"/>
        <w:rPr>
          <w:rFonts w:ascii="Arial" w:cs="Arial" w:eastAsia="Arial" w:hAnsi="Arial"/>
          <w:sz w:val="20"/>
          <w:szCs w:val="20"/>
          <w:color w:val="auto"/>
        </w:rPr>
      </w:pPr>
    </w:p>
    <w:p>
      <w:pPr>
        <w:jc w:val="both"/>
        <w:ind w:firstLine="656"/>
        <w:spacing w:after="0" w:line="276" w:lineRule="auto"/>
        <w:tabs>
          <w:tab w:leader="none" w:pos="10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Borrower Representative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CBFR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Eurodollar Borrowing and (ii) unless repaid, each Eurodollar Borrowing shall be converted to an CBFR Borrowing at the end of the Interest Period applicable thereto.</w:t>
      </w:r>
    </w:p>
    <w:p>
      <w:pPr>
        <w:spacing w:after="0" w:line="1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Termination and Reduction of Commitments; Increase in Revolving Commitments.</w:t>
      </w:r>
      <w:r>
        <w:rPr>
          <w:rFonts w:ascii="Arial" w:cs="Arial" w:eastAsia="Arial" w:hAnsi="Arial"/>
          <w:sz w:val="20"/>
          <w:szCs w:val="20"/>
          <w:color w:val="auto"/>
        </w:rPr>
        <w:t xml:space="preserve"> (a) Unless previously terminated, the Revolving Commitments shall terminate on the Maturity Date.</w:t>
      </w:r>
    </w:p>
    <w:p>
      <w:pPr>
        <w:spacing w:after="0" w:line="177" w:lineRule="exact"/>
        <w:rPr>
          <w:sz w:val="20"/>
          <w:szCs w:val="20"/>
          <w:color w:val="auto"/>
        </w:rPr>
      </w:pPr>
    </w:p>
    <w:p>
      <w:pPr>
        <w:ind w:left="1060" w:hanging="40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Borrowers may at any time terminate the Revolving Commitments upon the Payment in Full of the Secured Obligations.</w:t>
      </w:r>
    </w:p>
    <w:p>
      <w:pPr>
        <w:spacing w:after="0" w:line="238" w:lineRule="exact"/>
        <w:rPr>
          <w:rFonts w:ascii="Arial" w:cs="Arial" w:eastAsia="Arial" w:hAnsi="Arial"/>
          <w:sz w:val="18"/>
          <w:szCs w:val="18"/>
          <w:color w:val="auto"/>
        </w:rPr>
      </w:pPr>
    </w:p>
    <w:p>
      <w:pPr>
        <w:jc w:val="both"/>
        <w:ind w:firstLine="656"/>
        <w:spacing w:after="0" w:line="244" w:lineRule="auto"/>
        <w:tabs>
          <w:tab w:leader="none" w:pos="11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The Borrowers may from time to time reduce the Revolving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each reduction of the Revolving Commitments shall be in an amount that is an integral multiple of $500,000 and not less than $2,500,000 and (ii) the Borrowers shall not terminate or reduce the Revolving Commitments if, after giving effect to any concurrent prepayment of the Revolving Loans in accordance with Section 2.11, the Aggregate Revolving Exposure would exceed the lesser of the Aggregate Revolving Commitment and the Borrowing Base.</w:t>
      </w:r>
    </w:p>
    <w:p>
      <w:pPr>
        <w:spacing w:after="0" w:line="194" w:lineRule="exact"/>
        <w:rPr>
          <w:rFonts w:ascii="Arial" w:cs="Arial" w:eastAsia="Arial" w:hAnsi="Arial"/>
          <w:sz w:val="20"/>
          <w:szCs w:val="20"/>
          <w:color w:val="auto"/>
        </w:rPr>
      </w:pPr>
    </w:p>
    <w:p>
      <w:pPr>
        <w:jc w:val="both"/>
        <w:ind w:firstLine="656"/>
        <w:spacing w:after="0" w:line="273" w:lineRule="auto"/>
        <w:tabs>
          <w:tab w:leader="none" w:pos="12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Borrower Representative shall notify the Administrative Agent of any election to terminate the Commitments under paragraph (b) of this Section at least three (3) Business Days prior to the effective date of such termination, specifying such election and the effective date thereof. Promptly following receipt of any notice, the Administrative Agent shall advise the Lenders of the contents thereof. Each notice delivered by the Borrower Representative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of the Commitments shall be permanent. Each reduction of the Commitments shall be made ratably among the Lenders in accordance with their respective Commitments.</w:t>
      </w:r>
    </w:p>
    <w:p>
      <w:pPr>
        <w:spacing w:after="0" w:line="169" w:lineRule="exact"/>
        <w:rPr>
          <w:rFonts w:ascii="Arial" w:cs="Arial" w:eastAsia="Arial" w:hAnsi="Arial"/>
          <w:sz w:val="18"/>
          <w:szCs w:val="18"/>
          <w:color w:val="auto"/>
        </w:rPr>
      </w:pPr>
    </w:p>
    <w:p>
      <w:pPr>
        <w:jc w:val="both"/>
        <w:ind w:firstLine="656"/>
        <w:spacing w:after="0" w:line="246" w:lineRule="auto"/>
        <w:tabs>
          <w:tab w:leader="none" w:pos="11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The Borrowers shall have the right to increase the Revolving Commitments by obtaining additional Revolving Commitments, either from one or more of the Lenders or another lending institution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request for an increase shall be in a minimum amount of $5,000,000, (ii) the Borrower Representative, on behalf of the Borrowers, may make a maximum of 3 such requests, (iii) after giving effect thereto, the sum of the total of the</w:t>
      </w:r>
    </w:p>
    <w:p>
      <w:pPr>
        <w:sectPr>
          <w:pgSz w:w="11900" w:h="16838" w:orient="portrait"/>
          <w:cols w:equalWidth="0" w:num="1">
            <w:col w:w="11420"/>
          </w:cols>
          <w:pgMar w:left="240" w:top="582" w:right="239" w:bottom="1440" w:gutter="0" w:footer="0" w:header="0"/>
        </w:sectPr>
      </w:pPr>
    </w:p>
    <w:bookmarkStart w:id="86" w:name="page87"/>
    <w:bookmarkEnd w:id="86"/>
    <w:p>
      <w:pPr>
        <w:jc w:val="both"/>
        <w:spacing w:after="0" w:line="282" w:lineRule="auto"/>
        <w:rPr>
          <w:sz w:val="20"/>
          <w:szCs w:val="20"/>
          <w:color w:val="auto"/>
        </w:rPr>
      </w:pPr>
      <w:r>
        <w:rPr>
          <w:rFonts w:ascii="Arial" w:cs="Arial" w:eastAsia="Arial" w:hAnsi="Arial"/>
          <w:sz w:val="18"/>
          <w:szCs w:val="18"/>
          <w:color w:val="auto"/>
        </w:rPr>
        <w:t>additional Commitments does not exceed $25,000,000, (iv) the Administrative Agent and the Issuing Bank have approved the identity of any such new Lender, such approvals not to be unreasonably withheld, (v) any such new Lender assumes all of the rights and obligations of a “Lender” hereunder, and (vi) the procedure described in Section 2.09(f) have been satisfied. Nothing contained in this Section 2.09 shall constitute, or otherwise be deemed to be, a commitment on the part of any Lender to increase its Commitment hereunder at any time.</w:t>
      </w:r>
    </w:p>
    <w:p>
      <w:pPr>
        <w:spacing w:after="0" w:line="162" w:lineRule="exact"/>
        <w:rPr>
          <w:sz w:val="20"/>
          <w:szCs w:val="20"/>
          <w:color w:val="auto"/>
        </w:rPr>
      </w:pPr>
    </w:p>
    <w:p>
      <w:pPr>
        <w:jc w:val="both"/>
        <w:ind w:firstLine="656"/>
        <w:spacing w:after="0" w:line="268"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amendment hereto for such an increase or addition shall be in form and substance satisfactory to the Administrative Agent and shall only require the written signatures of the Administrative Agent, the Borrowers and each Lender being added or increasing its Commitment, subject only to the approval of all Lenders if any such increase or addition would cause the Revolving Commitments to exceed $100,000,000.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Article III and the other Loan Documents are true and correct, except to the extent that such representations and warranties specifically refer to an earlier date, in which case they are true and correct as of such earlier date, and</w:t>
      </w:r>
    </w:p>
    <w:p>
      <w:pPr>
        <w:spacing w:after="0" w:line="3" w:lineRule="exact"/>
        <w:rPr>
          <w:rFonts w:ascii="Arial" w:cs="Arial" w:eastAsia="Arial" w:hAnsi="Arial"/>
          <w:sz w:val="18"/>
          <w:szCs w:val="18"/>
          <w:color w:val="auto"/>
        </w:rPr>
      </w:pPr>
    </w:p>
    <w:p>
      <w:pPr>
        <w:ind w:firstLine="8"/>
        <w:spacing w:after="0" w:line="244" w:lineRule="auto"/>
        <w:tabs>
          <w:tab w:leader="none" w:pos="2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 Default exists and (ii) legal opinions and documents consistent with those delivered on the Effective Date, to the extent requested by the Administrative Agent.</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Eurodollar Loan,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and Amortization of Loans; Evidence of Debt.</w:t>
      </w:r>
      <w:r>
        <w:rPr>
          <w:rFonts w:ascii="Arial" w:cs="Arial" w:eastAsia="Arial" w:hAnsi="Arial"/>
          <w:sz w:val="18"/>
          <w:szCs w:val="18"/>
          <w:color w:val="auto"/>
        </w:rPr>
        <w:t xml:space="preserve"> (a) The Borrowers hereby unconditionally promise to pay</w:t>
      </w:r>
    </w:p>
    <w:p>
      <w:pPr>
        <w:spacing w:after="0" w:line="39" w:lineRule="exact"/>
        <w:rPr>
          <w:sz w:val="20"/>
          <w:szCs w:val="20"/>
          <w:color w:val="auto"/>
        </w:rPr>
      </w:pPr>
    </w:p>
    <w:p>
      <w:pPr>
        <w:jc w:val="both"/>
        <w:ind w:firstLine="8"/>
        <w:spacing w:after="0" w:line="264" w:lineRule="auto"/>
        <w:tabs>
          <w:tab w:leader="none" w:pos="242"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the Administrative Agent for the account of each Revolving Lender the then unpaid principal amount of each Revolving Loan (including Swingline Loans) on the Maturity Date, (ii) to the Administrative Agent the then unpaid amount of each Protective Advance on the earlier of the Maturity Date and demand by the Administrative Agent, and (iii) to the Administrative Agent the then unpaid principal amount of each Overadvance on the earlier of the Maturity Date and the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after such Overadvance is made.</w:t>
      </w:r>
    </w:p>
    <w:p>
      <w:pPr>
        <w:spacing w:after="0" w:line="93" w:lineRule="exact"/>
        <w:rPr>
          <w:rFonts w:ascii="Arial" w:cs="Arial" w:eastAsia="Arial" w:hAnsi="Arial"/>
          <w:sz w:val="19"/>
          <w:szCs w:val="19"/>
          <w:color w:val="auto"/>
        </w:rPr>
      </w:pPr>
    </w:p>
    <w:p>
      <w:pPr>
        <w:jc w:val="both"/>
        <w:ind w:firstLine="656"/>
        <w:spacing w:after="0" w:line="259" w:lineRule="auto"/>
        <w:tabs>
          <w:tab w:leader="none" w:pos="1126"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At all times that full cash dominion is in effect pursuant to Section 7.3 of the Security Agreement, on each Business Day, the Administrative Agent shall apply all funds credited to the Collection Account on such Business Day or the immediately preceding Business Day (at the discretion of the Administrative Agent, whether or not immediately available)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prepay any Protective Advances and Overadvances that may be outstanding, pro rata, and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prepay the Revolving Loans (including Swingline Loans) and to cash collateralize outstanding LC Exposure. Notwithstanding the foregoing, to the extent any funds credited to the Collection Account constitute Net Proceeds, the application of such Net Proceeds shall be subject to Section 2.11(c).</w:t>
      </w:r>
    </w:p>
    <w:p>
      <w:pPr>
        <w:sectPr>
          <w:pgSz w:w="11900" w:h="16838" w:orient="portrait"/>
          <w:cols w:equalWidth="0" w:num="1">
            <w:col w:w="11420"/>
          </w:cols>
          <w:pgMar w:left="240" w:top="582" w:right="239" w:bottom="1440" w:gutter="0" w:footer="0" w:header="0"/>
        </w:sectPr>
      </w:pPr>
    </w:p>
    <w:bookmarkStart w:id="87" w:name="page88"/>
    <w:bookmarkEnd w:id="87"/>
    <w:p>
      <w:pPr>
        <w:jc w:val="both"/>
        <w:ind w:firstLine="656"/>
        <w:spacing w:after="0" w:line="250" w:lineRule="auto"/>
        <w:tabs>
          <w:tab w:leader="none" w:pos="1156"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07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075"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 (c) or (d) of this Section shall be </w:t>
      </w:r>
      <w:r>
        <w:rPr>
          <w:rFonts w:ascii="Arial" w:cs="Arial" w:eastAsia="Arial" w:hAnsi="Arial"/>
          <w:sz w:val="20"/>
          <w:szCs w:val="20"/>
          <w:u w:val="single" w:color="auto"/>
          <w:color w:val="auto"/>
        </w:rPr>
        <w:t>prima facie</w:t>
      </w:r>
      <w:r>
        <w:rPr>
          <w:rFonts w:ascii="Arial" w:cs="Arial" w:eastAsia="Arial" w:hAnsi="Arial"/>
          <w:sz w:val="20"/>
          <w:szCs w:val="20"/>
          <w:color w:val="auto"/>
        </w:rPr>
        <w:t xml:space="preserv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91" w:lineRule="exact"/>
        <w:rPr>
          <w:rFonts w:ascii="Arial" w:cs="Arial" w:eastAsia="Arial" w:hAnsi="Arial"/>
          <w:sz w:val="20"/>
          <w:szCs w:val="20"/>
          <w:color w:val="auto"/>
        </w:rPr>
      </w:pPr>
    </w:p>
    <w:p>
      <w:pPr>
        <w:jc w:val="both"/>
        <w:ind w:firstLine="656"/>
        <w:spacing w:after="0" w:line="282" w:lineRule="auto"/>
        <w:tabs>
          <w:tab w:leader="none" w:pos="10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Lender may request that Loans made by it be evidenced by a promissory note. In such event, the Borrowers shall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Prepayment of Loans.</w:t>
      </w:r>
      <w:r>
        <w:rPr>
          <w:rFonts w:ascii="Arial" w:cs="Arial" w:eastAsia="Arial" w:hAnsi="Arial"/>
          <w:sz w:val="20"/>
          <w:szCs w:val="20"/>
          <w:color w:val="auto"/>
        </w:rPr>
        <w:t xml:space="preserve"> (a) The Borrowers shall have the right at any time and from time to time to prepay any Borrowing in whole or in part, subject to prior notice in accordance with paragraph (f) of this Section and, if applicable, payment of any break funding expenses under Section 2.16.</w:t>
      </w:r>
    </w:p>
    <w:p>
      <w:pPr>
        <w:spacing w:after="0" w:line="186" w:lineRule="exact"/>
        <w:rPr>
          <w:sz w:val="20"/>
          <w:szCs w:val="20"/>
          <w:color w:val="auto"/>
        </w:rPr>
      </w:pPr>
    </w:p>
    <w:p>
      <w:pPr>
        <w:jc w:val="both"/>
        <w:ind w:firstLine="656"/>
        <w:spacing w:after="0" w:line="250" w:lineRule="auto"/>
        <w:tabs>
          <w:tab w:leader="none" w:pos="1113" w:val="left"/>
        </w:tabs>
        <w:numPr>
          <w:ilvl w:val="0"/>
          <w:numId w:val="70"/>
        </w:numPr>
        <w:rPr>
          <w:rFonts w:ascii="Arial" w:cs="Arial" w:eastAsia="Arial" w:hAnsi="Arial"/>
          <w:sz w:val="20"/>
          <w:szCs w:val="20"/>
          <w:color w:val="auto"/>
        </w:rPr>
      </w:pPr>
      <w:r>
        <w:rPr>
          <w:rFonts w:ascii="Arial" w:cs="Arial" w:eastAsia="Arial" w:hAnsi="Arial"/>
          <w:sz w:val="20"/>
          <w:szCs w:val="20"/>
          <w:color w:val="auto"/>
        </w:rPr>
        <w:t>Except Overadvances permitted under Section 2.05, in the event and on such occasion that the Aggregate Revolving Exposure exceeds the lesser of (A) the Aggregate Revolving Commitment and (B) the Borrowing Base, the Borrowers shall prepay the Revolving Loans, LC Exposure and/or Swingline Loans in an aggregate amount equal to such excess.</w:t>
      </w:r>
    </w:p>
    <w:p>
      <w:pPr>
        <w:spacing w:after="0" w:line="186" w:lineRule="exact"/>
        <w:rPr>
          <w:rFonts w:ascii="Arial" w:cs="Arial" w:eastAsia="Arial" w:hAnsi="Arial"/>
          <w:sz w:val="20"/>
          <w:szCs w:val="20"/>
          <w:color w:val="auto"/>
        </w:rPr>
      </w:pPr>
    </w:p>
    <w:p>
      <w:pPr>
        <w:jc w:val="both"/>
        <w:ind w:firstLine="656"/>
        <w:spacing w:after="0" w:line="269" w:lineRule="auto"/>
        <w:tabs>
          <w:tab w:leader="none" w:pos="10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the event and on each occasion that Borrower has Availability of less than 17.5% of the Aggregate Revolving Commitment or any Event of Default exists and any Net Proceeds are received by or on behalf of any Loan Party in respect of any Prepayment Event, the Borrowers shall, immediately after such Net Proceeds are received by any Loan Party, prepay the Obligations and cash collateralize the LC Exposure as set forth in Section 2.11(d) below in an aggregate amount equal to 100% of such Net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event described in clause (a) or (b) of the definition of the term “Prepayment Event”, if the Borrower Representative shall deliver to the Administrative Agent a certificate of a Financial Officer to the effect that the Loan Parties intend to apply the Net Proceeds from such event (or a portion thereof specified in such certificate), within 90 days after receipt of such Net Proceeds, to acquire (or replace or rebuild) real property, equipment or other tangible assets (excluding inventory) to be used in the business of the Loan Parties, and certifying that no Default has occurred and is continuing, then either (i) so long as full cash dominion is not in effect, no prepayment shall be required pursuant to this paragraph in respect of the Net Proceeds specified in such certificate or (ii) if full cash dominion is in effect, then, if the Net Proceeds specified in such certificate are to be applied to acquire, replace or rebuild such assets by (A) the Borrowers,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(B) any Loan Party that is not a Borrower, such Net Proceeds shall be deposited in a cash collateral account, and in the case of either (A) or (B), thereafter, such funds shall be made available to the applicable Loan Party as follows:</w:t>
      </w:r>
    </w:p>
    <w:p>
      <w:pPr>
        <w:spacing w:after="0" w:line="179" w:lineRule="exact"/>
        <w:rPr>
          <w:rFonts w:ascii="Arial" w:cs="Arial" w:eastAsia="Arial" w:hAnsi="Arial"/>
          <w:sz w:val="18"/>
          <w:szCs w:val="18"/>
          <w:color w:val="auto"/>
        </w:rPr>
      </w:pPr>
    </w:p>
    <w:p>
      <w:pPr>
        <w:jc w:val="both"/>
        <w:ind w:left="660" w:firstLine="645"/>
        <w:spacing w:after="0" w:line="250" w:lineRule="auto"/>
        <w:tabs>
          <w:tab w:leader="none" w:pos="18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Borrower Representative shall request a Revolving Borrowing (specifying that the request is to use Net Proceeds pursuant to this Section) or the applicable Loan Party shall request a release from the cash collateral account be made in the amount needed;</w:t>
      </w:r>
    </w:p>
    <w:p>
      <w:pPr>
        <w:sectPr>
          <w:pgSz w:w="11900" w:h="16838" w:orient="portrait"/>
          <w:cols w:equalWidth="0" w:num="1">
            <w:col w:w="11420"/>
          </w:cols>
          <w:pgMar w:left="240" w:top="798" w:right="239" w:bottom="1440" w:gutter="0" w:footer="0" w:header="0"/>
        </w:sectPr>
      </w:pPr>
    </w:p>
    <w:bookmarkStart w:id="88" w:name="page89"/>
    <w:bookmarkEnd w:id="88"/>
    <w:p>
      <w:pPr>
        <w:ind w:left="660" w:firstLine="645"/>
        <w:spacing w:after="0" w:line="260" w:lineRule="auto"/>
        <w:tabs>
          <w:tab w:leader="none" w:pos="18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so long as the conditions set forth in Section 4.02 have been met, the Revolving Lenders shall make such Revolving Borrowing or the Administrative Agent shall release funds from the cash collateral account; and</w:t>
      </w:r>
    </w:p>
    <w:p>
      <w:pPr>
        <w:spacing w:after="0" w:line="176" w:lineRule="exact"/>
        <w:rPr>
          <w:rFonts w:ascii="Arial" w:cs="Arial" w:eastAsia="Arial" w:hAnsi="Arial"/>
          <w:sz w:val="20"/>
          <w:szCs w:val="20"/>
          <w:color w:val="auto"/>
        </w:rPr>
      </w:pPr>
    </w:p>
    <w:p>
      <w:pPr>
        <w:ind w:left="1840" w:hanging="535"/>
        <w:spacing w:after="0"/>
        <w:tabs>
          <w:tab w:leader="none" w:pos="1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Reserve established with respect to such insurance proceeds shall be reduced by the amount of such Revolving</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Borrowing;</w:t>
      </w:r>
    </w:p>
    <w:p>
      <w:pPr>
        <w:spacing w:after="0" w:line="200" w:lineRule="exact"/>
        <w:rPr>
          <w:sz w:val="20"/>
          <w:szCs w:val="20"/>
          <w:color w:val="auto"/>
        </w:rPr>
      </w:pPr>
    </w:p>
    <w:p>
      <w:pPr>
        <w:spacing w:after="0" w:line="240" w:lineRule="exact"/>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of any such Net Proceeds therefrom that have not been so applied by the end of such 90</w:t>
      </w:r>
      <w:r>
        <w:rPr>
          <w:rFonts w:ascii="MS PGothic" w:cs="MS PGothic" w:eastAsia="MS PGothic" w:hAnsi="MS PGothic"/>
          <w:sz w:val="20"/>
          <w:szCs w:val="20"/>
          <w:color w:val="auto"/>
        </w:rPr>
        <w:t>‑</w:t>
      </w:r>
      <w:r>
        <w:rPr>
          <w:rFonts w:ascii="Arial" w:cs="Arial" w:eastAsia="Arial" w:hAnsi="Arial"/>
          <w:sz w:val="20"/>
          <w:szCs w:val="20"/>
          <w:color w:val="auto"/>
        </w:rPr>
        <w:t>day period, a prepayment shall be required at such time in an amount equal to such Net Proceeds that have not been so applied.</w:t>
      </w:r>
    </w:p>
    <w:p>
      <w:pPr>
        <w:spacing w:after="0" w:line="196" w:lineRule="exact"/>
        <w:rPr>
          <w:sz w:val="20"/>
          <w:szCs w:val="20"/>
          <w:color w:val="auto"/>
        </w:rPr>
      </w:pPr>
    </w:p>
    <w:p>
      <w:pPr>
        <w:jc w:val="both"/>
        <w:ind w:firstLine="656"/>
        <w:spacing w:after="0" w:line="272" w:lineRule="auto"/>
        <w:tabs>
          <w:tab w:leader="none" w:pos="10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All such amounts pursuant to Section 2.11(c) and (d)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prepay any Protective Advances and Overadvances that may be outstanding, pro rata,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[Reserved] and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prepay the Revolving Loans (including Swingline Loans) without a corresponding reduction in the Revolving Commitments and to cash collateralize outstanding LC Exposure. Notwithstanding the foregoing, all prepayments required to be made pursuant to Section 2.11(c) with respect to the Net Proceeds of any insurance or condemnation proceeds, arising from casualties or losses to cash or Inventory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prepay any Protective Advances and Overadvances that may be outstanding, pro rata,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prepay the Revolving Loans (including Swingline Loans) without a corresponding reduction in the Revolving Commitments and to cash collateralize outstanding LC Exposure. If the precise amount of insurance or condemnation proceeds allocable to Inventory as compared to Equipment, Fixtures and real property is not otherwise determined, the allocation and application of those proceeds shall be determined by the Administrative Agent, in its Permitted Discretion.</w:t>
      </w:r>
    </w:p>
    <w:p>
      <w:pPr>
        <w:spacing w:after="0" w:line="171" w:lineRule="exact"/>
        <w:rPr>
          <w:rFonts w:ascii="Arial" w:cs="Arial" w:eastAsia="Arial" w:hAnsi="Arial"/>
          <w:sz w:val="18"/>
          <w:szCs w:val="18"/>
          <w:color w:val="auto"/>
        </w:rPr>
      </w:pPr>
    </w:p>
    <w:p>
      <w:pPr>
        <w:jc w:val="both"/>
        <w:ind w:firstLine="656"/>
        <w:spacing w:after="0" w:line="272" w:lineRule="auto"/>
        <w:tabs>
          <w:tab w:leader="none" w:pos="118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Borrower Representative shall notify the Administrative Agent by telephone (confirmed by fax) or through Electronic System, if arrangements for doing so have been approved by the Administrative Agent, of any prepayment hereunder not later than 10:00 a.m., Chicago time, (A) in the case of prepayment of a Eurodollar Revolving Borrowing, three (3) Business Days before the date of prepayment, or</w:t>
      </w:r>
    </w:p>
    <w:p>
      <w:pPr>
        <w:spacing w:after="0" w:line="1" w:lineRule="exact"/>
        <w:rPr>
          <w:rFonts w:ascii="Arial" w:cs="Arial" w:eastAsia="Arial" w:hAnsi="Arial"/>
          <w:sz w:val="18"/>
          <w:szCs w:val="18"/>
          <w:color w:val="auto"/>
        </w:rPr>
      </w:pPr>
    </w:p>
    <w:p>
      <w:pPr>
        <w:jc w:val="both"/>
        <w:ind w:firstLine="8"/>
        <w:spacing w:after="0" w:line="254" w:lineRule="auto"/>
        <w:tabs>
          <w:tab w:leader="none" w:pos="315"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in the case of prepayment of a CBFR Revolving Borrowing, one (1) Business Day before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(i) accrued interest to the extent required by Section 2.13 and (ii) break funding payments pursuant to Section 2.16.</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Borrowers agree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the Revolving Commitments terminate. Accrued commitment fees shall be payable in arrears on the first day of each calendar month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65" w:lineRule="exact"/>
        <w:rPr>
          <w:sz w:val="20"/>
          <w:szCs w:val="20"/>
          <w:color w:val="auto"/>
        </w:rPr>
      </w:pPr>
    </w:p>
    <w:p>
      <w:pPr>
        <w:jc w:val="both"/>
        <w:ind w:firstLine="656"/>
        <w:spacing w:after="0" w:line="276" w:lineRule="auto"/>
        <w:tabs>
          <w:tab w:leader="none" w:pos="11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Borrowers agree to pay (i) to the Administrative Agent for the account of each Revolving Lender a participation fee with respect to its participations in Letters of Credit, which shall accrue at the same Applicable Rate used to determine the interest rate applicable to Eurodollar Revolving Loans on the average daily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Issuing Bank a fronting fee, which shall accrue at the rate or rates per annum separately agreed upon between the Borrowers</w:t>
      </w:r>
    </w:p>
    <w:p>
      <w:pPr>
        <w:sectPr>
          <w:pgSz w:w="11900" w:h="16838" w:orient="portrait"/>
          <w:cols w:equalWidth="0" w:num="1">
            <w:col w:w="11420"/>
          </w:cols>
          <w:pgMar w:left="240" w:top="798" w:right="239" w:bottom="1440" w:gutter="0" w:footer="0" w:header="0"/>
        </w:sectPr>
      </w:pPr>
    </w:p>
    <w:bookmarkStart w:id="89" w:name="page90"/>
    <w:bookmarkEnd w:id="89"/>
    <w:p>
      <w:pPr>
        <w:jc w:val="both"/>
        <w:spacing w:after="0" w:line="255" w:lineRule="auto"/>
        <w:rPr>
          <w:sz w:val="20"/>
          <w:szCs w:val="20"/>
          <w:color w:val="auto"/>
        </w:rPr>
      </w:pPr>
      <w:r>
        <w:rPr>
          <w:rFonts w:ascii="Arial" w:cs="Arial" w:eastAsia="Arial" w:hAnsi="Arial"/>
          <w:sz w:val="19"/>
          <w:szCs w:val="19"/>
          <w:color w:val="auto"/>
        </w:rPr>
        <w:t xml:space="preserve">and the Issuing Bank on the average daily amount of the LC Exposure (excluding any portion thereof attributable to unreimbursed LC Disbursements) attributable to Letters of Credit issued by the Issuing Bank during the period from and including the Effective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each calendar month shall be payable on the first day of each calendar month following such last day,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88" w:lineRule="exact"/>
        <w:rPr>
          <w:sz w:val="20"/>
          <w:szCs w:val="20"/>
          <w:color w:val="auto"/>
        </w:rPr>
      </w:pPr>
    </w:p>
    <w:p>
      <w:pPr>
        <w:ind w:right="20" w:firstLine="656"/>
        <w:spacing w:after="0" w:line="260" w:lineRule="auto"/>
        <w:tabs>
          <w:tab w:leader="none" w:pos="1142"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Borrowers agree to pay to the Administrative Agent, for its own account, fees payable in the amounts and at the times separately agreed upon between the Borrowers and the Administrative Agent.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86" w:val="left"/>
        </w:tabs>
        <w:numPr>
          <w:ilvl w:val="0"/>
          <w:numId w:val="75"/>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Fees paid shall not be refundable under any circumstances.</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(a) The Loans comprising CBFR Borrowings (including Swingline Loans) shall bear interest at the CBFR plus the Applicable Rate.</w:t>
      </w:r>
    </w:p>
    <w:p>
      <w:pPr>
        <w:spacing w:after="0" w:line="177" w:lineRule="exact"/>
        <w:rPr>
          <w:sz w:val="20"/>
          <w:szCs w:val="20"/>
          <w:color w:val="auto"/>
        </w:rPr>
      </w:pPr>
    </w:p>
    <w:p>
      <w:pPr>
        <w:ind w:firstLine="656"/>
        <w:spacing w:after="0" w:line="260" w:lineRule="auto"/>
        <w:tabs>
          <w:tab w:leader="none" w:pos="1099"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Loans comprising each Eurodollar Borrowing shall bear interest at the Adjusted LIBO Rate for the Interest Period in effect for such Borrowing plus the Applicable Rate.</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Protective Advance and Overadvance shall bear interest at the CBFR plus the Applicable Rate for Revolving Loans plus 2%.</w:t>
      </w:r>
    </w:p>
    <w:p>
      <w:pPr>
        <w:spacing w:after="0" w:line="261" w:lineRule="exact"/>
        <w:rPr>
          <w:rFonts w:ascii="Arial" w:cs="Arial" w:eastAsia="Arial" w:hAnsi="Arial"/>
          <w:sz w:val="16"/>
          <w:szCs w:val="16"/>
          <w:color w:val="auto"/>
        </w:rPr>
      </w:pPr>
    </w:p>
    <w:p>
      <w:pPr>
        <w:jc w:val="both"/>
        <w:ind w:firstLine="656"/>
        <w:spacing w:after="0" w:line="271" w:lineRule="auto"/>
        <w:tabs>
          <w:tab w:leader="none" w:pos="11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 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CBFR Loans as provided in paragraph (a) of this Section.</w:t>
      </w:r>
    </w:p>
    <w:p>
      <w:pPr>
        <w:spacing w:after="0" w:line="174" w:lineRule="exact"/>
        <w:rPr>
          <w:rFonts w:ascii="Arial" w:cs="Arial" w:eastAsia="Arial" w:hAnsi="Arial"/>
          <w:sz w:val="18"/>
          <w:szCs w:val="18"/>
          <w:color w:val="auto"/>
        </w:rPr>
      </w:pPr>
    </w:p>
    <w:p>
      <w:pPr>
        <w:jc w:val="both"/>
        <w:ind w:firstLine="656"/>
        <w:spacing w:after="0" w:line="276" w:lineRule="auto"/>
        <w:tabs>
          <w:tab w:leader="none" w:pos="110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Accrued interest on each Loan (for CBFR Loans, accrued through the last day of the prior calendar month) shall be payable in arrears on each Interest Payment Date for such Loan and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(d) of this Section shall be payable on demand, (ii) in the event of any repayment or prepayment of any Loan (other than a prepayment of a CBFR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65" w:lineRule="exact"/>
        <w:rPr>
          <w:rFonts w:ascii="Arial" w:cs="Arial" w:eastAsia="Arial" w:hAnsi="Arial"/>
          <w:sz w:val="18"/>
          <w:szCs w:val="18"/>
          <w:color w:val="auto"/>
        </w:rPr>
      </w:pPr>
    </w:p>
    <w:p>
      <w:pPr>
        <w:ind w:firstLine="656"/>
        <w:spacing w:after="0" w:line="260" w:lineRule="auto"/>
        <w:tabs>
          <w:tab w:leader="none" w:pos="1053" w:val="left"/>
        </w:tabs>
        <w:numPr>
          <w:ilvl w:val="0"/>
          <w:numId w:val="76"/>
        </w:numPr>
        <w:rPr>
          <w:rFonts w:ascii="Arial" w:cs="Arial" w:eastAsia="Arial" w:hAnsi="Arial"/>
          <w:sz w:val="20"/>
          <w:szCs w:val="20"/>
          <w:color w:val="auto"/>
        </w:rPr>
      </w:pPr>
      <w:r>
        <w:rPr>
          <w:rFonts w:ascii="Arial" w:cs="Arial" w:eastAsia="Arial" w:hAnsi="Arial"/>
          <w:sz w:val="20"/>
          <w:szCs w:val="20"/>
          <w:color w:val="auto"/>
        </w:rPr>
        <w:t>All interest hereunder shall be computed on the basis of a year of 360 days, except that interest computed by reference to the CB Floating Rate shall be computed on the basis of a year of 365 days (or 366 days in a leap year),</w:t>
      </w:r>
    </w:p>
    <w:p>
      <w:pPr>
        <w:sectPr>
          <w:pgSz w:w="11900" w:h="16838" w:orient="portrait"/>
          <w:cols w:equalWidth="0" w:num="1">
            <w:col w:w="11420"/>
          </w:cols>
          <w:pgMar w:left="240" w:top="582" w:right="239" w:bottom="1440" w:gutter="0" w:footer="0" w:header="0"/>
        </w:sectPr>
      </w:pPr>
    </w:p>
    <w:bookmarkStart w:id="90" w:name="page91"/>
    <w:bookmarkEnd w:id="90"/>
    <w:p>
      <w:pPr>
        <w:jc w:val="both"/>
        <w:spacing w:after="0" w:line="250" w:lineRule="auto"/>
        <w:rPr>
          <w:sz w:val="20"/>
          <w:szCs w:val="20"/>
          <w:color w:val="auto"/>
        </w:rPr>
      </w:pPr>
      <w:r>
        <w:rPr>
          <w:rFonts w:ascii="Arial" w:cs="Arial" w:eastAsia="Arial" w:hAnsi="Arial"/>
          <w:sz w:val="20"/>
          <w:szCs w:val="20"/>
          <w:color w:val="auto"/>
        </w:rPr>
        <w:t>and in each case shall be payable for the actual number of days elapsed (including the first day but excluding the last day). The applicable CB Floating Rate, Adjusted LIBO Rate or LIBO Rate shall be determined by the Administrative Agent, and such determination shall be conclusive absent manifest error.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Alternate Rate of Interest; Illegality.</w:t>
      </w:r>
    </w:p>
    <w:p>
      <w:pPr>
        <w:spacing w:after="0" w:line="216"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If prior to the commencement of any Interest Period for a Eurodollar Borrowing:</w:t>
      </w:r>
    </w:p>
    <w:p>
      <w:pPr>
        <w:spacing w:after="0" w:line="215" w:lineRule="exact"/>
        <w:rPr>
          <w:rFonts w:ascii="Arial" w:cs="Arial" w:eastAsia="Arial" w:hAnsi="Arial"/>
          <w:sz w:val="20"/>
          <w:szCs w:val="20"/>
          <w:color w:val="auto"/>
        </w:rPr>
      </w:pPr>
    </w:p>
    <w:p>
      <w:pPr>
        <w:jc w:val="both"/>
        <w:ind w:left="660" w:firstLine="1293"/>
        <w:spacing w:after="0" w:line="246" w:lineRule="auto"/>
        <w:tabs>
          <w:tab w:leader="none" w:pos="2337"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and binding absent manifest error) that adequate and reasonable means do not exist for ascertaining the Adjusted LIBO Rate or the LIBO Rate, as applicable (including, without limitation, by means of an Interpolated Rate or because the LIBO Screen Rate is not available or published on a current basis) for such Interest Period; or</w:t>
      </w:r>
    </w:p>
    <w:p>
      <w:pPr>
        <w:spacing w:after="0" w:line="191" w:lineRule="exact"/>
        <w:rPr>
          <w:rFonts w:ascii="Arial" w:cs="Arial" w:eastAsia="Arial" w:hAnsi="Arial"/>
          <w:sz w:val="20"/>
          <w:szCs w:val="20"/>
          <w:color w:val="auto"/>
        </w:rPr>
      </w:pPr>
    </w:p>
    <w:p>
      <w:pPr>
        <w:jc w:val="both"/>
        <w:ind w:left="660" w:firstLine="1293"/>
        <w:spacing w:after="0" w:line="250" w:lineRule="auto"/>
        <w:tabs>
          <w:tab w:leader="none" w:pos="2405"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then the Administrative Agent shall give notice thereof to the Borrower Representative and the Lenders through Electronic System as provided in Section 9.01 as promptly as practicable thereafter and, until the Administrative Agent notifies the Borrower Representative and the Lenders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 CBFR Borrowing on the last day of the then current Interest Period applicable thereto, and (B) if any Borrowing Request requests a Eurodollar Borrowing, such Borrowing shall be made as a CBFR Borrowing.</w:t>
      </w:r>
    </w:p>
    <w:p>
      <w:pPr>
        <w:spacing w:after="0" w:line="179" w:lineRule="exact"/>
        <w:rPr>
          <w:sz w:val="20"/>
          <w:szCs w:val="20"/>
          <w:color w:val="auto"/>
        </w:rPr>
      </w:pPr>
    </w:p>
    <w:p>
      <w:pPr>
        <w:jc w:val="both"/>
        <w:ind w:firstLine="332"/>
        <w:spacing w:after="0" w:line="255" w:lineRule="auto"/>
        <w:tabs>
          <w:tab w:leader="none" w:pos="748"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any Lender determines that any Requirement of Law has made it unlawful, or if any Governmental Authority has asserted that it is unlawful, for any Lender or its applicable lending office to make, maintain, fund or continue any Eurodollar Borrowing, or any Governmental Authority has imposed material restrictions on the authority of such Lender to purchase or sell, or to take deposits of, dollars in the London interbank market, then, on notice thereof by such Lender to the Borrower Representative through the Administrative Agent, any obligations of such Lender to make, maintain, fund or continue Eurodollar Loans or to convert CBFR Borrowings to Eurodollar Borrowings will be suspended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convert or prepay all Eurodollar Borrowings of such Lender to CBFR Borrowings, either on the last day of the Interest Period therefor, if such Lender may lawfully continue to maintain such Eurodollar Borrowings to such day, or immediately, if such Lender may not lawfully continue to maintain such Loans. Upon any such conversion or prepayment, the Borrowers will also pay accrued interest on the amount so converted or prepaid.</w:t>
      </w:r>
    </w:p>
    <w:p>
      <w:pPr>
        <w:spacing w:after="0" w:line="187" w:lineRule="exact"/>
        <w:rPr>
          <w:rFonts w:ascii="Arial" w:cs="Arial" w:eastAsia="Arial" w:hAnsi="Arial"/>
          <w:sz w:val="19"/>
          <w:szCs w:val="19"/>
          <w:color w:val="auto"/>
        </w:rPr>
      </w:pPr>
    </w:p>
    <w:p>
      <w:pPr>
        <w:jc w:val="both"/>
        <w:ind w:firstLine="332"/>
        <w:spacing w:after="0" w:line="270" w:lineRule="auto"/>
        <w:tabs>
          <w:tab w:leader="none" w:pos="8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 Screen Rate has made a public statement that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the LIBO Screen Rate may no longer be used for determining interest rates for loans, then the Administrative Agent and the Borrower Representative shall endeavor to establish an alternate rate of interest to the LIBO Rate that gives due consideration to the then prevailing market convention for determining a rate of interest for syndicated loans in the</w:t>
      </w:r>
    </w:p>
    <w:p>
      <w:pPr>
        <w:sectPr>
          <w:pgSz w:w="11900" w:h="16838" w:orient="portrait"/>
          <w:cols w:equalWidth="0" w:num="1">
            <w:col w:w="11420"/>
          </w:cols>
          <w:pgMar w:left="240" w:top="582" w:right="239" w:bottom="1440" w:gutter="0" w:footer="0" w:header="0"/>
        </w:sectPr>
      </w:pPr>
    </w:p>
    <w:bookmarkStart w:id="91" w:name="page92"/>
    <w:bookmarkEnd w:id="91"/>
    <w:p>
      <w:pPr>
        <w:jc w:val="both"/>
        <w:spacing w:after="0" w:line="270" w:lineRule="auto"/>
        <w:rPr>
          <w:sz w:val="20"/>
          <w:szCs w:val="20"/>
          <w:color w:val="auto"/>
        </w:rPr>
      </w:pPr>
      <w:r>
        <w:rPr>
          <w:rFonts w:ascii="Arial" w:cs="Arial" w:eastAsia="Arial" w:hAnsi="Arial"/>
          <w:sz w:val="18"/>
          <w:szCs w:val="18"/>
          <w:color w:val="auto"/>
        </w:rPr>
        <w:t>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9.02,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(c) (but, in the case of the circumstances described in clause (ii) of the first sentence of this Section 2.14(c),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any such Eurodollar Borrowing shall be repaid or converted into a CBFR Borrowing on the last day of the then current Interest Period applicable thereto, and (y) if any Borrowing Request requests a Eurodollar Borrowing, such Borrowing shall be made as a CBFR Borrowing; provided that, if such alternate rate of interest shall be less than zero, such rate shall be deemed to be zero for the purposes of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Increased Costs.</w:t>
      </w:r>
      <w:r>
        <w:rPr>
          <w:rFonts w:ascii="Arial" w:cs="Arial" w:eastAsia="Arial" w:hAnsi="Arial"/>
          <w:sz w:val="20"/>
          <w:szCs w:val="20"/>
          <w:color w:val="auto"/>
        </w:rPr>
        <w:t xml:space="preserve"> (a) If any Change in Law shall:</w:t>
      </w:r>
    </w:p>
    <w:p>
      <w:pPr>
        <w:spacing w:after="0" w:line="216" w:lineRule="exact"/>
        <w:rPr>
          <w:sz w:val="20"/>
          <w:szCs w:val="20"/>
          <w:color w:val="auto"/>
        </w:rPr>
      </w:pPr>
    </w:p>
    <w:p>
      <w:pPr>
        <w:jc w:val="both"/>
        <w:ind w:left="660" w:firstLine="645"/>
        <w:spacing w:after="0" w:line="269" w:lineRule="auto"/>
        <w:tabs>
          <w:tab w:leader="none" w:pos="1878" w:val="left"/>
        </w:tabs>
        <w:numPr>
          <w:ilvl w:val="0"/>
          <w:numId w:val="79"/>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the Issuing Bank;</w:t>
      </w:r>
    </w:p>
    <w:p>
      <w:pPr>
        <w:spacing w:after="0" w:line="170" w:lineRule="exact"/>
        <w:rPr>
          <w:rFonts w:ascii="Arial" w:cs="Arial" w:eastAsia="Arial" w:hAnsi="Arial"/>
          <w:sz w:val="19"/>
          <w:szCs w:val="19"/>
          <w:color w:val="auto"/>
        </w:rPr>
      </w:pPr>
    </w:p>
    <w:p>
      <w:pPr>
        <w:ind w:left="660" w:firstLine="1293"/>
        <w:spacing w:after="0" w:line="316" w:lineRule="auto"/>
        <w:tabs>
          <w:tab w:leader="none" w:pos="24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30" w:lineRule="exact"/>
        <w:rPr>
          <w:sz w:val="20"/>
          <w:szCs w:val="20"/>
          <w:color w:val="auto"/>
        </w:rPr>
      </w:pPr>
    </w:p>
    <w:p>
      <w:pPr>
        <w:jc w:val="both"/>
        <w:ind w:left="660" w:firstLine="645"/>
        <w:spacing w:after="0" w:line="250" w:lineRule="auto"/>
        <w:tabs>
          <w:tab w:leader="none" w:pos="1848" w:val="left"/>
        </w:tabs>
        <w:numPr>
          <w:ilvl w:val="0"/>
          <w:numId w:val="80"/>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65" w:lineRule="exact"/>
        <w:rPr>
          <w:sz w:val="20"/>
          <w:szCs w:val="20"/>
          <w:color w:val="auto"/>
        </w:rPr>
      </w:pPr>
    </w:p>
    <w:p>
      <w:pPr>
        <w:jc w:val="both"/>
        <w:ind w:firstLine="1305"/>
        <w:spacing w:after="0" w:line="256" w:lineRule="auto"/>
        <w:tabs>
          <w:tab w:leader="none" w:pos="1748" w:val="left"/>
        </w:tabs>
        <w:numPr>
          <w:ilvl w:val="0"/>
          <w:numId w:val="81"/>
        </w:numPr>
        <w:rPr>
          <w:rFonts w:ascii="Arial" w:cs="Arial" w:eastAsia="Arial" w:hAnsi="Arial"/>
          <w:sz w:val="19"/>
          <w:szCs w:val="19"/>
          <w:color w:val="auto"/>
        </w:rPr>
      </w:pPr>
      <w:r>
        <w:rPr>
          <w:rFonts w:ascii="Arial" w:cs="Arial" w:eastAsia="Arial" w:hAnsi="Arial"/>
          <w:sz w:val="19"/>
          <w:szCs w:val="19"/>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84" w:lineRule="exact"/>
        <w:rPr>
          <w:rFonts w:ascii="Arial" w:cs="Arial" w:eastAsia="Arial" w:hAnsi="Arial"/>
          <w:sz w:val="19"/>
          <w:szCs w:val="19"/>
          <w:color w:val="auto"/>
        </w:rPr>
      </w:pPr>
    </w:p>
    <w:p>
      <w:pPr>
        <w:ind w:left="1700" w:hanging="395"/>
        <w:spacing w:after="0"/>
        <w:tabs>
          <w:tab w:leader="none" w:pos="17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 certificate of a Lender or the Issuing Bank setting forth the amount or amounts necessary</w:t>
      </w:r>
    </w:p>
    <w:p>
      <w:pPr>
        <w:sectPr>
          <w:pgSz w:w="11900" w:h="16838" w:orient="portrait"/>
          <w:cols w:equalWidth="0" w:num="1">
            <w:col w:w="11420"/>
          </w:cols>
          <w:pgMar w:left="240" w:top="582" w:right="239" w:bottom="1440" w:gutter="0" w:footer="0" w:header="0"/>
        </w:sectPr>
      </w:pPr>
    </w:p>
    <w:bookmarkStart w:id="92" w:name="page93"/>
    <w:bookmarkEnd w:id="92"/>
    <w:p>
      <w:pPr>
        <w:jc w:val="both"/>
        <w:spacing w:after="0" w:line="269" w:lineRule="auto"/>
        <w:rPr>
          <w:sz w:val="20"/>
          <w:szCs w:val="20"/>
          <w:color w:val="auto"/>
        </w:rPr>
      </w:pPr>
      <w:r>
        <w:rPr>
          <w:rFonts w:ascii="Arial" w:cs="Arial" w:eastAsia="Arial" w:hAnsi="Arial"/>
          <w:sz w:val="19"/>
          <w:szCs w:val="19"/>
          <w:color w:val="auto"/>
        </w:rPr>
        <w:t>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20 days after receipt thereof.</w:t>
      </w:r>
    </w:p>
    <w:p>
      <w:pPr>
        <w:spacing w:after="0" w:line="170" w:lineRule="exact"/>
        <w:rPr>
          <w:sz w:val="20"/>
          <w:szCs w:val="20"/>
          <w:color w:val="auto"/>
        </w:rPr>
      </w:pPr>
    </w:p>
    <w:p>
      <w:pPr>
        <w:jc w:val="both"/>
        <w:ind w:firstLine="1305"/>
        <w:spacing w:after="0" w:line="258" w:lineRule="auto"/>
        <w:tabs>
          <w:tab w:leader="none" w:pos="1721"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(a) the payment of any principal of any Eurodollar Loan other than on the last day of an Interest 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2.09(c) and is revoked in accordance therewith), or (d) the assignment of any Eurodollar Loan other than on the last day of the Interest Period applicable thereto as a result of a request by the Borrower Representative pursuant to Section 2.19 or 9.02(d), then, in any such event, the Borrowers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Withholding of Taxes; Gross-Up.</w:t>
      </w:r>
      <w:r>
        <w:rPr>
          <w:rFonts w:ascii="Arial" w:cs="Arial" w:eastAsia="Arial" w:hAnsi="Arial"/>
          <w:sz w:val="19"/>
          <w:szCs w:val="19"/>
          <w:color w:val="auto"/>
        </w:rPr>
        <w:t xml:space="preserve"> (a) </w:t>
      </w: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5" w:lineRule="exact"/>
        <w:rPr>
          <w:sz w:val="20"/>
          <w:szCs w:val="20"/>
          <w:color w:val="auto"/>
        </w:rPr>
      </w:pPr>
    </w:p>
    <w:p>
      <w:pPr>
        <w:ind w:right="20" w:firstLine="656"/>
        <w:spacing w:after="0" w:line="260" w:lineRule="auto"/>
        <w:tabs>
          <w:tab w:leader="none" w:pos="969"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xml:space="preserve"> The Loan Parties shall timely pay to the relevant Governmental Authority in accordance with applicable law, or at the option of the Administrative Agent timely reimburse it for, Other Taxes.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91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Evidence of Payment.</w:t>
      </w:r>
      <w:r>
        <w:rPr>
          <w:rFonts w:ascii="Arial" w:cs="Arial" w:eastAsia="Arial" w:hAnsi="Arial"/>
          <w:sz w:val="20"/>
          <w:szCs w:val="20"/>
          <w:color w:val="auto"/>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w:t>
      </w:r>
    </w:p>
    <w:p>
      <w:pPr>
        <w:sectPr>
          <w:pgSz w:w="11900" w:h="16838" w:orient="portrait"/>
          <w:cols w:equalWidth="0" w:num="1">
            <w:col w:w="11420"/>
          </w:cols>
          <w:pgMar w:left="240" w:top="582" w:right="2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the return reporting such payment or other evidence of such payment reasonably satisfactory to the Administrative Agent.</w:t>
      </w:r>
    </w:p>
    <w:p>
      <w:pPr>
        <w:spacing w:after="0" w:line="216" w:lineRule="exact"/>
        <w:rPr>
          <w:sz w:val="20"/>
          <w:szCs w:val="20"/>
          <w:color w:val="auto"/>
        </w:rPr>
      </w:pPr>
    </w:p>
    <w:p>
      <w:pPr>
        <w:jc w:val="both"/>
        <w:ind w:firstLine="656"/>
        <w:spacing w:after="0" w:line="243" w:lineRule="auto"/>
        <w:tabs>
          <w:tab w:leader="none" w:pos="942"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Indemnification by the Loan Parties.</w:t>
      </w:r>
      <w:r>
        <w:rPr>
          <w:rFonts w:ascii="Arial" w:cs="Arial" w:eastAsia="Arial" w:hAnsi="Arial"/>
          <w:sz w:val="20"/>
          <w:szCs w:val="20"/>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93" w:lineRule="exact"/>
        <w:rPr>
          <w:rFonts w:ascii="Arial" w:cs="Arial" w:eastAsia="Arial" w:hAnsi="Arial"/>
          <w:sz w:val="20"/>
          <w:szCs w:val="20"/>
          <w:color w:val="auto"/>
        </w:rPr>
      </w:pPr>
    </w:p>
    <w:p>
      <w:pPr>
        <w:jc w:val="both"/>
        <w:ind w:firstLine="656"/>
        <w:spacing w:after="0" w:line="271" w:lineRule="auto"/>
        <w:tabs>
          <w:tab w:leader="none" w:pos="91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74" w:lineRule="exact"/>
        <w:rPr>
          <w:rFonts w:ascii="Arial" w:cs="Arial" w:eastAsia="Arial" w:hAnsi="Arial"/>
          <w:sz w:val="18"/>
          <w:szCs w:val="18"/>
          <w:color w:val="auto"/>
        </w:rPr>
      </w:pPr>
    </w:p>
    <w:p>
      <w:pPr>
        <w:jc w:val="both"/>
        <w:ind w:firstLine="656"/>
        <w:spacing w:after="0" w:line="271" w:lineRule="auto"/>
        <w:tabs>
          <w:tab w:leader="none" w:pos="90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(ii) Without limiting the generality of the foregoing, in the event that any Borrower is a U.S. Person,</w:t>
      </w:r>
    </w:p>
    <w:p>
      <w:pPr>
        <w:spacing w:after="0" w:line="216" w:lineRule="exact"/>
        <w:rPr>
          <w:sz w:val="20"/>
          <w:szCs w:val="20"/>
          <w:color w:val="auto"/>
        </w:rPr>
      </w:pPr>
    </w:p>
    <w:p>
      <w:pPr>
        <w:jc w:val="both"/>
        <w:ind w:firstLine="1305"/>
        <w:spacing w:after="0" w:line="246" w:lineRule="auto"/>
        <w:tabs>
          <w:tab w:leader="none" w:pos="163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642"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ectPr>
          <w:pgSz w:w="11900" w:h="16838" w:orient="portrait"/>
          <w:cols w:equalWidth="0" w:num="1">
            <w:col w:w="11420"/>
          </w:cols>
          <w:pgMar w:left="240" w:top="582" w:right="239" w:bottom="1440" w:gutter="0" w:footer="0" w:header="0"/>
        </w:sectPr>
      </w:pPr>
    </w:p>
    <w:bookmarkStart w:id="94" w:name="page95"/>
    <w:bookmarkEnd w:id="94"/>
    <w:p>
      <w:pPr>
        <w:ind w:left="2240" w:hanging="287"/>
        <w:spacing w:after="0"/>
        <w:tabs>
          <w:tab w:leader="none" w:pos="2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w:t>
      </w:r>
    </w:p>
    <w:p>
      <w:pPr>
        <w:spacing w:after="0" w:line="38" w:lineRule="exact"/>
        <w:rPr>
          <w:rFonts w:ascii="Arial" w:cs="Arial" w:eastAsia="Arial" w:hAnsi="Arial"/>
          <w:sz w:val="18"/>
          <w:szCs w:val="18"/>
          <w:color w:val="auto"/>
        </w:rPr>
      </w:pPr>
    </w:p>
    <w:p>
      <w:pPr>
        <w:jc w:val="both"/>
        <w:ind w:left="1300" w:firstLine="5"/>
        <w:spacing w:after="0" w:line="256" w:lineRule="auto"/>
        <w:tabs>
          <w:tab w:leader="none" w:pos="1589" w:val="left"/>
        </w:tabs>
        <w:numPr>
          <w:ilvl w:val="0"/>
          <w:numId w:val="87"/>
        </w:numPr>
        <w:rPr>
          <w:rFonts w:ascii="Arial" w:cs="Arial" w:eastAsia="Arial" w:hAnsi="Arial"/>
          <w:sz w:val="19"/>
          <w:szCs w:val="19"/>
          <w:color w:val="auto"/>
        </w:rPr>
      </w:pPr>
      <w:r>
        <w:rPr>
          <w:rFonts w:ascii="Arial" w:cs="Arial" w:eastAsia="Arial" w:hAnsi="Arial"/>
          <w:sz w:val="19"/>
          <w:szCs w:val="19"/>
          <w:color w:val="auto"/>
        </w:rPr>
        <w:t>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2" w:lineRule="exact"/>
        <w:rPr>
          <w:rFonts w:ascii="Arial" w:cs="Arial" w:eastAsia="Arial" w:hAnsi="Arial"/>
          <w:sz w:val="19"/>
          <w:szCs w:val="19"/>
          <w:color w:val="auto"/>
        </w:rPr>
      </w:pPr>
    </w:p>
    <w:p>
      <w:pPr>
        <w:ind w:left="1300" w:firstLine="653"/>
        <w:spacing w:after="0" w:line="260" w:lineRule="auto"/>
        <w:tabs>
          <w:tab w:leader="none" w:pos="2255" w:val="left"/>
        </w:tabs>
        <w:numPr>
          <w:ilvl w:val="1"/>
          <w:numId w:val="87"/>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an executed copy of IRS Form W-8ECI;</w:t>
      </w:r>
    </w:p>
    <w:p>
      <w:pPr>
        <w:spacing w:after="0" w:line="176" w:lineRule="exact"/>
        <w:rPr>
          <w:rFonts w:ascii="Arial" w:cs="Arial" w:eastAsia="Arial" w:hAnsi="Arial"/>
          <w:sz w:val="20"/>
          <w:szCs w:val="20"/>
          <w:color w:val="auto"/>
        </w:rPr>
      </w:pPr>
    </w:p>
    <w:p>
      <w:pPr>
        <w:jc w:val="both"/>
        <w:ind w:left="1300" w:firstLine="653"/>
        <w:spacing w:after="0" w:line="278" w:lineRule="auto"/>
        <w:tabs>
          <w:tab w:leader="none" w:pos="2231"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C-1 to the effect that such Foreign Lender is not a “bank” within the meaning of Section 881(c)(3)(A) of the Code, a “10 percent shareholder” of a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and (y) an executed copy of IRS Form W-8BEN or IRS Form W-8BEN-E, as applicable; or</w:t>
      </w:r>
    </w:p>
    <w:p>
      <w:pPr>
        <w:spacing w:after="0" w:line="165" w:lineRule="exact"/>
        <w:rPr>
          <w:rFonts w:ascii="Arial" w:cs="Arial" w:eastAsia="Arial" w:hAnsi="Arial"/>
          <w:sz w:val="18"/>
          <w:szCs w:val="18"/>
          <w:color w:val="auto"/>
        </w:rPr>
      </w:pPr>
    </w:p>
    <w:p>
      <w:pPr>
        <w:jc w:val="both"/>
        <w:ind w:left="1300" w:firstLine="653"/>
        <w:spacing w:after="0" w:line="276" w:lineRule="auto"/>
        <w:tabs>
          <w:tab w:leader="none" w:pos="2241"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an executed copy of IRS Form W-8IMY, accompanied by IRS Form W-8ECI, IRS Form W-8BEN or IRS Form W-8BEN-E, as applicable, a U.S. Tax Compliance Certificate substantially in the form of Exhibit C-2 or Exhibit C-3,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C-4 on behalf of each such direct and indirect partner;</w:t>
      </w:r>
    </w:p>
    <w:p>
      <w:pPr>
        <w:spacing w:after="0" w:line="165" w:lineRule="exact"/>
        <w:rPr>
          <w:sz w:val="20"/>
          <w:szCs w:val="20"/>
          <w:color w:val="auto"/>
        </w:rPr>
      </w:pPr>
    </w:p>
    <w:p>
      <w:pPr>
        <w:jc w:val="both"/>
        <w:ind w:firstLine="1305"/>
        <w:spacing w:after="0" w:line="276" w:lineRule="auto"/>
        <w:tabs>
          <w:tab w:leader="none" w:pos="163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65" w:lineRule="exact"/>
        <w:rPr>
          <w:rFonts w:ascii="Arial" w:cs="Arial" w:eastAsia="Arial" w:hAnsi="Arial"/>
          <w:sz w:val="18"/>
          <w:szCs w:val="18"/>
          <w:color w:val="auto"/>
        </w:rPr>
      </w:pPr>
    </w:p>
    <w:p>
      <w:pPr>
        <w:jc w:val="both"/>
        <w:ind w:firstLine="1305"/>
        <w:spacing w:after="0" w:line="272" w:lineRule="auto"/>
        <w:tabs>
          <w:tab w:leader="none" w:pos="16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86" w:lineRule="exact"/>
        <w:rPr>
          <w:sz w:val="20"/>
          <w:szCs w:val="20"/>
          <w:color w:val="auto"/>
        </w:rPr>
      </w:pPr>
    </w:p>
    <w:p>
      <w:pPr>
        <w:ind w:firstLine="656"/>
        <w:spacing w:after="0" w:line="260" w:lineRule="auto"/>
        <w:tabs>
          <w:tab w:leader="none" w:pos="92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If any party determines, in its sole discretion exercised in good faith, that it has received a refund of any Taxes as to which it has been indemnified pursuant to this Section (including by the</w:t>
      </w:r>
    </w:p>
    <w:p>
      <w:pPr>
        <w:sectPr>
          <w:pgSz w:w="11900" w:h="16838" w:orient="portrait"/>
          <w:cols w:equalWidth="0" w:num="1">
            <w:col w:w="11420"/>
          </w:cols>
          <w:pgMar w:left="240" w:top="582" w:right="2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9"/>
          <w:szCs w:val="19"/>
          <w:color w:val="auto"/>
        </w:rPr>
        <w:t>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5" w:lineRule="exact"/>
        <w:rPr>
          <w:sz w:val="20"/>
          <w:szCs w:val="20"/>
          <w:color w:val="auto"/>
        </w:rPr>
      </w:pPr>
    </w:p>
    <w:p>
      <w:pPr>
        <w:jc w:val="both"/>
        <w:ind w:firstLine="656"/>
        <w:spacing w:after="0" w:line="250" w:lineRule="auto"/>
        <w:tabs>
          <w:tab w:leader="none" w:pos="929"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86" w:lineRule="exact"/>
        <w:rPr>
          <w:rFonts w:ascii="Arial" w:cs="Arial" w:eastAsia="Arial" w:hAnsi="Arial"/>
          <w:sz w:val="20"/>
          <w:szCs w:val="20"/>
          <w:color w:val="auto"/>
        </w:rPr>
      </w:pPr>
    </w:p>
    <w:p>
      <w:pPr>
        <w:ind w:firstLine="656"/>
        <w:spacing w:after="0" w:line="260" w:lineRule="auto"/>
        <w:tabs>
          <w:tab w:leader="none" w:pos="911"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2.17, the term “Lender” includes any Issuing Bank and the term “applicable law” includes FATCA.</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Payments Generally; Allocation of Proceeds; Sharing of Setoffs.</w:t>
      </w:r>
      <w:r>
        <w:rPr>
          <w:rFonts w:ascii="Arial" w:cs="Arial" w:eastAsia="Arial" w:hAnsi="Arial"/>
          <w:sz w:val="16"/>
          <w:szCs w:val="16"/>
          <w:color w:val="auto"/>
        </w:rPr>
        <w:t xml:space="preserve"> (a) The Borrowers shall make each payment required to be made by them hereunder (whether of principal, interest, fees or reimbursement of LC Disbursements, or of amounts payable under Section 2.15, 2.16 or 2.17, or otherwise) prior to 2:00 p.m., Chicago time, on the date when due,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380" w:lineRule="exact"/>
        <w:rPr>
          <w:sz w:val="20"/>
          <w:szCs w:val="20"/>
          <w:color w:val="auto"/>
        </w:rPr>
      </w:pPr>
    </w:p>
    <w:p>
      <w:pPr>
        <w:jc w:val="both"/>
        <w:ind w:firstLine="656"/>
        <w:spacing w:after="0" w:line="270" w:lineRule="auto"/>
        <w:tabs>
          <w:tab w:leader="none" w:pos="1099"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when full cash dominion is in effect (which shall be applied in accordance with Section 2.10(b)) or (ii) after an Event of Default has occurred and is continuing and the Administrative Agent so elects or the Required Lenders so direct, shall be applied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then due to the Administrative Agent and the Issuing Bank from the Borrowers (other than in connection with Banking Services Obligations or Swap Agreement Obligations),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due in respect of the Protective Advances and Overadvances,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 the principal of the Protective Advances and Overadvances,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 interest then due and payable on the Loans (other than the Protective Advances and Overadvances) ratably,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prepay principal on the Loans (other than the Protective Advances and Overadvances) and unreimbursed LC Disbursements and to pay any amounts owing in respect of Swap Agreement Obligations up to and including the amount most recently provided to the Administrative Agent pursuant to Section 2.22, for which Reserves have been established, ratably, </w:t>
      </w:r>
      <w:r>
        <w:rPr>
          <w:rFonts w:ascii="Arial" w:cs="Arial" w:eastAsia="Arial" w:hAnsi="Arial"/>
          <w:sz w:val="18"/>
          <w:szCs w:val="18"/>
          <w:u w:val="single" w:color="auto"/>
          <w:color w:val="auto"/>
        </w:rPr>
        <w:t>seventh</w:t>
      </w:r>
      <w:r>
        <w:rPr>
          <w:rFonts w:ascii="Arial" w:cs="Arial" w:eastAsia="Arial" w:hAnsi="Arial"/>
          <w:sz w:val="18"/>
          <w:szCs w:val="18"/>
          <w:color w:val="auto"/>
        </w:rPr>
        <w:t>, to pay an amount to the Administrative Agent equal to one hundred five percent (105%) of the aggregate LC Exposure,</w:t>
      </w:r>
    </w:p>
    <w:p>
      <w:pPr>
        <w:sectPr>
          <w:pgSz w:w="11900" w:h="16838" w:orient="portrait"/>
          <w:cols w:equalWidth="0" w:num="1">
            <w:col w:w="11420"/>
          </w:cols>
          <w:pgMar w:left="240" w:top="582" w:right="239" w:bottom="1440" w:gutter="0" w:footer="0" w:header="0"/>
        </w:sectPr>
      </w:pPr>
    </w:p>
    <w:bookmarkStart w:id="96" w:name="page97"/>
    <w:bookmarkEnd w:id="96"/>
    <w:p>
      <w:pPr>
        <w:jc w:val="both"/>
        <w:spacing w:after="0" w:line="271" w:lineRule="auto"/>
        <w:rPr>
          <w:sz w:val="20"/>
          <w:szCs w:val="20"/>
          <w:color w:val="auto"/>
        </w:rPr>
      </w:pPr>
      <w:r>
        <w:rPr>
          <w:rFonts w:ascii="Arial" w:cs="Arial" w:eastAsia="Arial" w:hAnsi="Arial"/>
          <w:sz w:val="18"/>
          <w:szCs w:val="18"/>
          <w:color w:val="auto"/>
        </w:rPr>
        <w:t xml:space="preserve">to be held as cash collateral for such Obligations,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payment of any amounts owing in respect of Banking Services Obligations and Swap Agreement Obligations up to and including the amount most recently provided to the Administrative Agent pursuant to Section 2.22 and to the extent not paid pursuant to clause sixth above, and </w:t>
      </w:r>
      <w:r>
        <w:rPr>
          <w:rFonts w:ascii="Arial" w:cs="Arial" w:eastAsia="Arial" w:hAnsi="Arial"/>
          <w:sz w:val="18"/>
          <w:szCs w:val="18"/>
          <w:u w:val="single" w:color="auto"/>
          <w:color w:val="auto"/>
        </w:rPr>
        <w:t>ninth</w:t>
      </w:r>
      <w:r>
        <w:rPr>
          <w:rFonts w:ascii="Arial" w:cs="Arial" w:eastAsia="Arial" w:hAnsi="Arial"/>
          <w:sz w:val="18"/>
          <w:szCs w:val="18"/>
          <w:color w:val="auto"/>
        </w:rPr>
        <w:t>, to the payment of any other Secured Obligation due to the Administrative Agent or any Lender by the Borrowers</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Eurodollar Loan of a Class, except (a) on the expiration date of the Interest Period applicable thereto or (b) in the event, and only to the extent, that there are no outstanding CBFR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75" w:lineRule="exact"/>
        <w:rPr>
          <w:sz w:val="20"/>
          <w:szCs w:val="20"/>
          <w:color w:val="auto"/>
        </w:rPr>
      </w:pPr>
    </w:p>
    <w:p>
      <w:pPr>
        <w:jc w:val="both"/>
        <w:ind w:firstLine="656"/>
        <w:spacing w:after="0" w:line="271" w:lineRule="auto"/>
        <w:tabs>
          <w:tab w:leader="none" w:pos="10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170" w:lineRule="exact"/>
        <w:rPr>
          <w:rFonts w:ascii="Arial" w:cs="Arial" w:eastAsia="Arial" w:hAnsi="Arial"/>
          <w:sz w:val="18"/>
          <w:szCs w:val="18"/>
          <w:color w:val="auto"/>
        </w:rPr>
      </w:pPr>
    </w:p>
    <w:p>
      <w:pPr>
        <w:jc w:val="both"/>
        <w:ind w:firstLine="656"/>
        <w:spacing w:after="0" w:line="269" w:lineRule="auto"/>
        <w:tabs>
          <w:tab w:leader="none" w:pos="10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7" w:lineRule="exact"/>
        <w:rPr>
          <w:rFonts w:ascii="Arial" w:cs="Arial" w:eastAsia="Arial" w:hAnsi="Arial"/>
          <w:sz w:val="18"/>
          <w:szCs w:val="18"/>
          <w:color w:val="auto"/>
        </w:rPr>
      </w:pPr>
    </w:p>
    <w:p>
      <w:pPr>
        <w:jc w:val="both"/>
        <w:ind w:firstLine="656"/>
        <w:spacing w:after="0" w:line="276" w:lineRule="auto"/>
        <w:tabs>
          <w:tab w:leader="none" w:pos="1129"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w:t>
      </w:r>
    </w:p>
    <w:p>
      <w:pPr>
        <w:sectPr>
          <w:pgSz w:w="11900" w:h="16838" w:orient="portrait"/>
          <w:cols w:equalWidth="0" w:num="1">
            <w:col w:w="11420"/>
          </w:cols>
          <w:pgMar w:left="240" w:top="582" w:right="2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0"/>
          <w:szCs w:val="20"/>
          <w:color w:val="auto"/>
        </w:rPr>
        <w:t>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86" w:lineRule="exact"/>
        <w:rPr>
          <w:sz w:val="20"/>
          <w:szCs w:val="20"/>
          <w:color w:val="auto"/>
        </w:rPr>
      </w:pPr>
    </w:p>
    <w:p>
      <w:pPr>
        <w:jc w:val="both"/>
        <w:ind w:firstLine="656"/>
        <w:spacing w:after="0" w:line="257" w:lineRule="auto"/>
        <w:tabs>
          <w:tab w:leader="none" w:pos="1026"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Administrative Agent may from time to time provide the Borrowers with account statements or invoices with respect to any of the Secured Obligations (the “</w:t>
      </w:r>
      <w:r>
        <w:rPr>
          <w:rFonts w:ascii="Arial" w:cs="Arial" w:eastAsia="Arial" w:hAnsi="Arial"/>
          <w:sz w:val="19"/>
          <w:szCs w:val="19"/>
          <w:u w:val="single" w:color="auto"/>
          <w:color w:val="auto"/>
        </w:rPr>
        <w:t>Statements</w:t>
      </w:r>
      <w:r>
        <w:rPr>
          <w:rFonts w:ascii="Arial" w:cs="Arial" w:eastAsia="Arial" w:hAnsi="Arial"/>
          <w:sz w:val="19"/>
          <w:szCs w:val="19"/>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2.19. </w:t>
      </w:r>
      <w:r>
        <w:rPr>
          <w:rFonts w:ascii="Arial" w:cs="Arial" w:eastAsia="Arial" w:hAnsi="Arial"/>
          <w:sz w:val="20"/>
          <w:szCs w:val="20"/>
          <w:u w:val="single" w:color="auto"/>
          <w:color w:val="auto"/>
        </w:rPr>
        <w:t>Mitigation Obligations; Replacement of Lenders.</w:t>
      </w:r>
    </w:p>
    <w:p>
      <w:pPr>
        <w:spacing w:after="0" w:line="216" w:lineRule="exact"/>
        <w:rPr>
          <w:sz w:val="20"/>
          <w:szCs w:val="20"/>
          <w:color w:val="auto"/>
        </w:rPr>
      </w:pPr>
    </w:p>
    <w:p>
      <w:pPr>
        <w:jc w:val="both"/>
        <w:ind w:firstLine="656"/>
        <w:spacing w:after="0" w:line="274" w:lineRule="auto"/>
        <w:tabs>
          <w:tab w:leader="none" w:pos="115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69" w:lineRule="exact"/>
        <w:rPr>
          <w:rFonts w:ascii="Arial" w:cs="Arial" w:eastAsia="Arial" w:hAnsi="Arial"/>
          <w:sz w:val="18"/>
          <w:szCs w:val="18"/>
          <w:color w:val="auto"/>
        </w:rPr>
      </w:pPr>
    </w:p>
    <w:p>
      <w:pPr>
        <w:jc w:val="both"/>
        <w:ind w:firstLine="656"/>
        <w:spacing w:after="0" w:line="268" w:lineRule="auto"/>
        <w:tabs>
          <w:tab w:leader="none" w:pos="116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Section 2.15, or if the Borrowers are required to pay any Indemnified Taxes or additional amounts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Borrowers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2.20. </w:t>
      </w:r>
      <w:r>
        <w:rPr>
          <w:rFonts w:ascii="Arial" w:cs="Arial" w:eastAsia="Arial" w:hAnsi="Arial"/>
          <w:sz w:val="20"/>
          <w:szCs w:val="20"/>
          <w:u w:val="single" w:color="auto"/>
          <w:color w:val="auto"/>
        </w:rPr>
        <w:t>Defaulting Lenders</w:t>
      </w:r>
      <w:r>
        <w:rPr>
          <w:rFonts w:ascii="Arial" w:cs="Arial" w:eastAsia="Arial" w:hAnsi="Arial"/>
          <w:sz w:val="20"/>
          <w:szCs w:val="20"/>
          <w:color w:val="auto"/>
        </w:rPr>
        <w:t>. Notwithstanding any provision of this Agreement to the contrary, if</w:t>
      </w:r>
    </w:p>
    <w:p>
      <w:pPr>
        <w:sectPr>
          <w:pgSz w:w="11900" w:h="16838" w:orient="portrait"/>
          <w:cols w:equalWidth="0" w:num="1">
            <w:col w:w="11420"/>
          </w:cols>
          <w:pgMar w:left="240" w:top="582" w:right="239" w:bottom="1440" w:gutter="0" w:footer="0" w:header="0"/>
        </w:sectPr>
      </w:pPr>
    </w:p>
    <w:bookmarkStart w:id="98" w:name="page99"/>
    <w:bookmarkEnd w:id="98"/>
    <w:p>
      <w:pPr>
        <w:spacing w:after="0"/>
        <w:rPr>
          <w:sz w:val="20"/>
          <w:szCs w:val="20"/>
          <w:color w:val="auto"/>
        </w:rPr>
      </w:pPr>
      <w:r>
        <w:rPr>
          <w:rFonts w:ascii="Arial" w:cs="Arial" w:eastAsia="Arial" w:hAnsi="Arial"/>
          <w:sz w:val="19"/>
          <w:szCs w:val="19"/>
          <w:color w:val="auto"/>
        </w:rPr>
        <w:t>any Lender becomes a Defaulting Lender, then the following provisions shall apply for so long as such Lender is a Defaulting Lender:</w:t>
      </w:r>
    </w:p>
    <w:p>
      <w:pPr>
        <w:spacing w:after="0" w:line="241" w:lineRule="exact"/>
        <w:rPr>
          <w:sz w:val="20"/>
          <w:szCs w:val="20"/>
          <w:color w:val="auto"/>
        </w:rPr>
      </w:pPr>
    </w:p>
    <w:p>
      <w:pPr>
        <w:ind w:left="1100" w:hanging="444"/>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Revolving Commitment of such Defaulting Lender pursuant to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2.12(a);</w:t>
      </w:r>
    </w:p>
    <w:p>
      <w:pPr>
        <w:spacing w:after="0" w:line="213" w:lineRule="exact"/>
        <w:rPr>
          <w:sz w:val="20"/>
          <w:szCs w:val="20"/>
          <w:color w:val="auto"/>
        </w:rPr>
      </w:pPr>
    </w:p>
    <w:p>
      <w:pPr>
        <w:jc w:val="both"/>
        <w:ind w:firstLine="656"/>
        <w:spacing w:after="0" w:line="268" w:lineRule="auto"/>
        <w:tabs>
          <w:tab w:leader="none" w:pos="10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any Issuing Bank or Swingline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Issuing Bank’s LC Exposure with respect to such Defaulting Lender in accordance with this Section;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Arial" w:cs="Arial" w:eastAsia="Arial" w:hAnsi="Arial"/>
          <w:sz w:val="18"/>
          <w:szCs w:val="18"/>
          <w:i w:val="1"/>
          <w:iCs w:val="1"/>
          <w:color w:val="auto"/>
        </w:rPr>
        <w:t>eighth</w:t>
      </w:r>
      <w:r>
        <w:rPr>
          <w:rFonts w:ascii="Arial" w:cs="Arial" w:eastAsia="Arial" w:hAnsi="Arial"/>
          <w:sz w:val="18"/>
          <w:szCs w:val="18"/>
          <w:color w:val="auto"/>
        </w:rPr>
        <w:t>,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89" w:lineRule="exact"/>
        <w:rPr>
          <w:rFonts w:ascii="Arial" w:cs="Arial" w:eastAsia="Arial" w:hAnsi="Arial"/>
          <w:sz w:val="18"/>
          <w:szCs w:val="18"/>
          <w:color w:val="auto"/>
        </w:rPr>
      </w:pPr>
    </w:p>
    <w:p>
      <w:pPr>
        <w:jc w:val="both"/>
        <w:ind w:firstLine="656"/>
        <w:spacing w:after="0" w:line="243" w:lineRule="auto"/>
        <w:tabs>
          <w:tab w:leader="none" w:pos="1070" w:val="left"/>
        </w:tabs>
        <w:numPr>
          <w:ilvl w:val="0"/>
          <w:numId w:val="96"/>
        </w:numPr>
        <w:rPr>
          <w:rFonts w:ascii="Arial" w:cs="Arial" w:eastAsia="Arial" w:hAnsi="Arial"/>
          <w:sz w:val="20"/>
          <w:szCs w:val="20"/>
          <w:color w:val="auto"/>
        </w:rPr>
      </w:pPr>
      <w:r>
        <w:rPr>
          <w:rFonts w:ascii="Arial" w:cs="Arial" w:eastAsia="Arial" w:hAnsi="Arial"/>
          <w:sz w:val="20"/>
          <w:szCs w:val="20"/>
          <w:color w:val="auto"/>
        </w:rPr>
        <w:t>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(including any consent to any amendment, waiver or other modification pursuant to Section 9.02)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210" w:lineRule="exact"/>
        <w:rPr>
          <w:rFonts w:ascii="Arial" w:cs="Arial" w:eastAsia="Arial" w:hAnsi="Arial"/>
          <w:sz w:val="20"/>
          <w:szCs w:val="20"/>
          <w:color w:val="auto"/>
        </w:rPr>
      </w:pPr>
    </w:p>
    <w:p>
      <w:pPr>
        <w:ind w:left="1140" w:hanging="484"/>
        <w:spacing w:after="0"/>
        <w:tabs>
          <w:tab w:leader="none" w:pos="11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if any Swingline Exposure or LC Exposure exists at the time a Lender becomes a Defaulting Lender then:</w:t>
      </w:r>
    </w:p>
    <w:p>
      <w:pPr>
        <w:spacing w:after="0" w:line="229" w:lineRule="exact"/>
        <w:rPr>
          <w:rFonts w:ascii="Arial" w:cs="Arial" w:eastAsia="Arial" w:hAnsi="Arial"/>
          <w:sz w:val="20"/>
          <w:szCs w:val="20"/>
          <w:color w:val="auto"/>
        </w:rPr>
      </w:pPr>
    </w:p>
    <w:p>
      <w:pPr>
        <w:jc w:val="both"/>
        <w:ind w:left="660" w:firstLine="645"/>
        <w:spacing w:after="0" w:line="291" w:lineRule="auto"/>
        <w:tabs>
          <w:tab w:leader="none" w:pos="169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ectPr>
          <w:pgSz w:w="11900" w:h="16838" w:orient="portrait"/>
          <w:cols w:equalWidth="0" w:num="1">
            <w:col w:w="11420"/>
          </w:cols>
          <w:pgMar w:left="240" w:top="582" w:right="239" w:bottom="1440" w:gutter="0" w:footer="0" w:header="0"/>
        </w:sectPr>
      </w:pPr>
    </w:p>
    <w:bookmarkStart w:id="99" w:name="page100"/>
    <w:bookmarkEnd w:id="99"/>
    <w:p>
      <w:pPr>
        <w:ind w:left="1780" w:hanging="475"/>
        <w:spacing w:after="0"/>
        <w:tabs>
          <w:tab w:leader="none" w:pos="17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Borrowers shall within one</w:t>
      </w:r>
    </w:p>
    <w:p>
      <w:pPr>
        <w:spacing w:after="0" w:line="38" w:lineRule="exact"/>
        <w:rPr>
          <w:rFonts w:ascii="Arial" w:cs="Arial" w:eastAsia="Arial" w:hAnsi="Arial"/>
          <w:sz w:val="18"/>
          <w:szCs w:val="18"/>
          <w:color w:val="auto"/>
        </w:rPr>
      </w:pPr>
    </w:p>
    <w:p>
      <w:pPr>
        <w:jc w:val="both"/>
        <w:ind w:left="660" w:hanging="4"/>
        <w:spacing w:after="0" w:line="241" w:lineRule="auto"/>
        <w:tabs>
          <w:tab w:leader="none" w:pos="9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Business Day following notice by the Administrative Agent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such Swingline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208" w:lineRule="exact"/>
        <w:rPr>
          <w:rFonts w:ascii="Arial" w:cs="Arial" w:eastAsia="Arial" w:hAnsi="Arial"/>
          <w:sz w:val="20"/>
          <w:szCs w:val="20"/>
          <w:color w:val="auto"/>
        </w:rPr>
      </w:pPr>
    </w:p>
    <w:p>
      <w:pPr>
        <w:jc w:val="both"/>
        <w:ind w:left="660" w:firstLine="645"/>
        <w:spacing w:after="0" w:line="269" w:lineRule="auto"/>
        <w:tabs>
          <w:tab w:leader="none" w:pos="1847" w:val="left"/>
        </w:tabs>
        <w:numPr>
          <w:ilvl w:val="1"/>
          <w:numId w:val="98"/>
        </w:numPr>
        <w:rPr>
          <w:rFonts w:ascii="Arial" w:cs="Arial" w:eastAsia="Arial" w:hAnsi="Arial"/>
          <w:sz w:val="19"/>
          <w:szCs w:val="19"/>
          <w:color w:val="auto"/>
        </w:rPr>
      </w:pPr>
      <w:r>
        <w:rPr>
          <w:rFonts w:ascii="Arial" w:cs="Arial" w:eastAsia="Arial" w:hAnsi="Arial"/>
          <w:sz w:val="19"/>
          <w:szCs w:val="19"/>
          <w:color w:val="auto"/>
        </w:rPr>
        <w:t>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183" w:lineRule="exact"/>
        <w:rPr>
          <w:rFonts w:ascii="Arial" w:cs="Arial" w:eastAsia="Arial" w:hAnsi="Arial"/>
          <w:sz w:val="19"/>
          <w:szCs w:val="19"/>
          <w:color w:val="auto"/>
        </w:rPr>
      </w:pPr>
    </w:p>
    <w:p>
      <w:pPr>
        <w:jc w:val="both"/>
        <w:ind w:left="660" w:firstLine="645"/>
        <w:spacing w:after="0" w:line="250" w:lineRule="auto"/>
        <w:tabs>
          <w:tab w:leader="none" w:pos="1803" w:val="left"/>
        </w:tabs>
        <w:numPr>
          <w:ilvl w:val="1"/>
          <w:numId w:val="98"/>
        </w:numPr>
        <w:rPr>
          <w:rFonts w:ascii="Arial" w:cs="Arial" w:eastAsia="Arial" w:hAnsi="Arial"/>
          <w:sz w:val="20"/>
          <w:szCs w:val="20"/>
          <w:color w:val="auto"/>
        </w:rPr>
      </w:pPr>
      <w:r>
        <w:rPr>
          <w:rFonts w:ascii="Arial" w:cs="Arial" w:eastAsia="Arial" w:hAnsi="Arial"/>
          <w:sz w:val="20"/>
          <w:szCs w:val="20"/>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99" w:lineRule="exact"/>
        <w:rPr>
          <w:rFonts w:ascii="Arial" w:cs="Arial" w:eastAsia="Arial" w:hAnsi="Arial"/>
          <w:sz w:val="20"/>
          <w:szCs w:val="20"/>
          <w:color w:val="auto"/>
        </w:rPr>
      </w:pPr>
    </w:p>
    <w:p>
      <w:pPr>
        <w:jc w:val="both"/>
        <w:ind w:left="660" w:firstLine="645"/>
        <w:spacing w:after="0" w:line="263" w:lineRule="auto"/>
        <w:tabs>
          <w:tab w:leader="none" w:pos="1794" w:val="left"/>
        </w:tabs>
        <w:numPr>
          <w:ilvl w:val="1"/>
          <w:numId w:val="98"/>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90" w:lineRule="exact"/>
        <w:rPr>
          <w:sz w:val="20"/>
          <w:szCs w:val="20"/>
          <w:color w:val="auto"/>
        </w:rPr>
      </w:pPr>
    </w:p>
    <w:p>
      <w:pPr>
        <w:jc w:val="both"/>
        <w:ind w:firstLine="656"/>
        <w:spacing w:after="0" w:line="260" w:lineRule="auto"/>
        <w:tabs>
          <w:tab w:leader="none" w:pos="1101" w:val="left"/>
        </w:tabs>
        <w:numPr>
          <w:ilvl w:val="0"/>
          <w:numId w:val="99"/>
        </w:numPr>
        <w:rPr>
          <w:rFonts w:ascii="Arial" w:cs="Arial" w:eastAsia="Arial" w:hAnsi="Arial"/>
          <w:sz w:val="19"/>
          <w:szCs w:val="19"/>
          <w:color w:val="auto"/>
        </w:rPr>
      </w:pPr>
      <w:r>
        <w:rPr>
          <w:rFonts w:ascii="Arial" w:cs="Arial" w:eastAsia="Arial" w:hAnsi="Arial"/>
          <w:sz w:val="19"/>
          <w:szCs w:val="19"/>
          <w:color w:val="auto"/>
        </w:rPr>
        <w:t>so long as such Lender is a Defaulting Lender, the Issuing Bank shall not be required to issue, amend, renew, extend or increase any Letter of Credit, unless it is satisfied that such Defaulting Lender’s then outstanding LC Exposure will be 100% covered by the Commitments of the non-Defaulting Lenders and/or cash collateral will be provided by the Borrowers in accordance with Section 2.20(d), and LC Exposure related to any newly issued or increased Letter of Credit shall be allocated among non-Defaulting Lenders in a manner consistent with Section 2.20(d)(i) (and such Defaulting Lender shall not participate therein).</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Borrowers or such Lender, satisfactory to the Swingline Lender or the Issuing Bank, as the case may be, to defease any risk to it in respect of such Lender hereunder.</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Returned Payments</w:t>
      </w:r>
      <w:r>
        <w:rPr>
          <w:rFonts w:ascii="Arial" w:cs="Arial" w:eastAsia="Arial" w:hAnsi="Arial"/>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w:t>
      </w:r>
    </w:p>
    <w:p>
      <w:pPr>
        <w:sectPr>
          <w:pgSz w:w="11900" w:h="16838" w:orient="portrait"/>
          <w:cols w:equalWidth="0" w:num="1">
            <w:col w:w="11420"/>
          </w:cols>
          <w:pgMar w:left="240" w:top="811" w:right="239" w:bottom="1440" w:gutter="0" w:footer="0" w:header="0"/>
        </w:sectPr>
      </w:pPr>
    </w:p>
    <w:bookmarkStart w:id="100" w:name="page101"/>
    <w:bookmarkEnd w:id="100"/>
    <w:p>
      <w:pPr>
        <w:jc w:val="both"/>
        <w:spacing w:after="0" w:line="291" w:lineRule="auto"/>
        <w:rPr>
          <w:sz w:val="20"/>
          <w:szCs w:val="20"/>
          <w:color w:val="auto"/>
        </w:rPr>
      </w:pPr>
      <w:r>
        <w:rPr>
          <w:rFonts w:ascii="Arial" w:cs="Arial" w:eastAsia="Arial" w:hAnsi="Arial"/>
          <w:sz w:val="18"/>
          <w:szCs w:val="18"/>
          <w:color w:val="auto"/>
        </w:rPr>
        <w:t>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2.22. </w:t>
      </w:r>
      <w:r>
        <w:rPr>
          <w:rFonts w:ascii="Arial" w:cs="Arial" w:eastAsia="Arial" w:hAnsi="Arial"/>
          <w:sz w:val="20"/>
          <w:szCs w:val="20"/>
          <w:u w:val="single" w:color="auto"/>
          <w:color w:val="auto"/>
        </w:rPr>
        <w:t>Banking Services and Swap Agreements</w:t>
      </w:r>
      <w:r>
        <w:rPr>
          <w:rFonts w:ascii="Arial" w:cs="Arial" w:eastAsia="Arial" w:hAnsi="Arial"/>
          <w:sz w:val="20"/>
          <w:szCs w:val="20"/>
          <w:color w:val="auto"/>
        </w:rPr>
        <w:t>. Each Lender or Affiliate thereof providing Banking Services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ind w:left="4440"/>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Loan Party represents and warrants to the Lenders that: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xml:space="preserve"> Each Loan Party and each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Authorization; Enforceability.</w:t>
      </w:r>
      <w:r>
        <w:rPr>
          <w:rFonts w:ascii="Arial" w:cs="Arial" w:eastAsia="Arial" w:hAnsi="Arial"/>
          <w:sz w:val="20"/>
          <w:szCs w:val="20"/>
          <w:color w:val="auto"/>
        </w:rPr>
        <w:t xml:space="preserve">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the requirement to create, any Lien on any asset of any Loan Party or any Subsidiary, except Liens created pursuant to the Loan Documents.</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 xml:space="preserve"> (a) The Company has heretofore furnished to the Lenders the consolidated balance sheet of Holdings and related statements of income, stockholders equity and cash flows (i) as of and for the fiscal year ended February 3, 2018, reported on by Deloitte &amp; Touche LLP, independent public accountants, and (ii) as of and for the fiscal quarter and the portion of the fiscal year ended May 5, 2018, certified by its Financial Officer. Such financial statements present fairly, in all material respects, the financial position and results of operations and cash flows of Holdings and its consolidated Subsidiaries as of such dates and</w:t>
      </w:r>
    </w:p>
    <w:p>
      <w:pPr>
        <w:sectPr>
          <w:pgSz w:w="11900" w:h="16838" w:orient="portrait"/>
          <w:cols w:equalWidth="0" w:num="1">
            <w:col w:w="11420"/>
          </w:cols>
          <w:pgMar w:left="240" w:top="582" w:right="239" w:bottom="1440" w:gutter="0" w:footer="0" w:header="0"/>
        </w:sectPr>
      </w:pPr>
    </w:p>
    <w:bookmarkStart w:id="101" w:name="page102"/>
    <w:bookmarkEnd w:id="101"/>
    <w:p>
      <w:pPr>
        <w:spacing w:after="0" w:line="240" w:lineRule="exact"/>
        <w:rPr>
          <w:sz w:val="20"/>
          <w:szCs w:val="20"/>
          <w:color w:val="auto"/>
        </w:rPr>
      </w:pPr>
      <w:r>
        <w:rPr>
          <w:rFonts w:ascii="Arial" w:cs="Arial" w:eastAsia="Arial" w:hAnsi="Arial"/>
          <w:sz w:val="20"/>
          <w:szCs w:val="20"/>
          <w:color w:val="auto"/>
        </w:rPr>
        <w:t>for such periods in accordance with GAAP, subject to normal year</w:t>
      </w:r>
      <w:r>
        <w:rPr>
          <w:rFonts w:ascii="MS PGothic" w:cs="MS PGothic" w:eastAsia="MS PGothic" w:hAnsi="MS PGothic"/>
          <w:sz w:val="20"/>
          <w:szCs w:val="20"/>
          <w:color w:val="auto"/>
        </w:rPr>
        <w:t>‑</w:t>
      </w:r>
      <w:r>
        <w:rPr>
          <w:rFonts w:ascii="Arial" w:cs="Arial" w:eastAsia="Arial" w:hAnsi="Arial"/>
          <w:sz w:val="20"/>
          <w:szCs w:val="20"/>
          <w:color w:val="auto"/>
        </w:rPr>
        <w:t>end audit adjustments and the absence of footnotes in the case of the statements referred to in clause (ii) above.</w:t>
      </w:r>
    </w:p>
    <w:p>
      <w:pPr>
        <w:spacing w:after="0" w:line="196" w:lineRule="exact"/>
        <w:rPr>
          <w:sz w:val="20"/>
          <w:szCs w:val="20"/>
          <w:color w:val="auto"/>
        </w:rPr>
      </w:pPr>
    </w:p>
    <w:p>
      <w:pPr>
        <w:ind w:firstLine="656"/>
        <w:spacing w:after="0" w:line="260" w:lineRule="auto"/>
        <w:tabs>
          <w:tab w:leader="none" w:pos="112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No event, change or condition has occurred that has had, or could reasonably be expected to have, a Material Adverse Effect, since May 5, 2018.</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Properties.</w:t>
      </w:r>
      <w:r>
        <w:rPr>
          <w:rFonts w:ascii="Arial" w:cs="Arial" w:eastAsia="Arial" w:hAnsi="Arial"/>
          <w:sz w:val="20"/>
          <w:szCs w:val="20"/>
          <w:color w:val="auto"/>
        </w:rPr>
        <w:t xml:space="preserve"> (a) As of the date of this Agreement, </w:t>
      </w:r>
      <w:r>
        <w:rPr>
          <w:rFonts w:ascii="Arial" w:cs="Arial" w:eastAsia="Arial" w:hAnsi="Arial"/>
          <w:sz w:val="20"/>
          <w:szCs w:val="20"/>
          <w:u w:val="single" w:color="auto"/>
          <w:color w:val="auto"/>
        </w:rPr>
        <w:t>Schedule 3.05</w:t>
      </w:r>
      <w:r>
        <w:rPr>
          <w:rFonts w:ascii="Arial" w:cs="Arial" w:eastAsia="Arial" w:hAnsi="Arial"/>
          <w:sz w:val="20"/>
          <w:szCs w:val="20"/>
          <w:color w:val="auto"/>
        </w:rPr>
        <w:t xml:space="preserve"> sets forth the address of each parcel of real property that is owned or leased by any Loan Party. Each of such leases and subleases is valid and enforceable in accordance with its terms and is in full force and effect, and, to the Loan Parties’ knowledge, no default by any party to any such lease or sublease exists. Each of the Loan Parties and each of its Subsidiaries has good and indefeasible title to, or valid leasehold interests in, all of its real and personal property, free of all Liens other than those permitted by Section 6.02.</w:t>
      </w:r>
    </w:p>
    <w:p>
      <w:pPr>
        <w:spacing w:after="0" w:line="195" w:lineRule="exact"/>
        <w:rPr>
          <w:sz w:val="20"/>
          <w:szCs w:val="20"/>
          <w:color w:val="auto"/>
        </w:rPr>
      </w:pPr>
    </w:p>
    <w:p>
      <w:pPr>
        <w:jc w:val="both"/>
        <w:ind w:firstLine="656"/>
        <w:spacing w:after="0" w:line="260" w:lineRule="auto"/>
        <w:tabs>
          <w:tab w:leader="none" w:pos="112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Each Loan Party and each Subsidiary owns, or is licensed to use, all material trademarks, tradenames, copyrights, patents and other intellectual property necessary to its business as currently conducted, a materially correct and complete list of which, as of the date of this Agreement, is set forth on </w:t>
      </w:r>
      <w:r>
        <w:rPr>
          <w:rFonts w:ascii="Arial" w:cs="Arial" w:eastAsia="Arial" w:hAnsi="Arial"/>
          <w:sz w:val="19"/>
          <w:szCs w:val="19"/>
          <w:u w:val="single" w:color="auto"/>
          <w:color w:val="auto"/>
        </w:rPr>
        <w:t>Schedule 3.05</w:t>
      </w:r>
      <w:r>
        <w:rPr>
          <w:rFonts w:ascii="Arial" w:cs="Arial" w:eastAsia="Arial" w:hAnsi="Arial"/>
          <w:sz w:val="19"/>
          <w:szCs w:val="19"/>
          <w:color w:val="auto"/>
        </w:rPr>
        <w:t xml:space="preserve">, and the use thereof by each Loan Party and each Subsidiary does not infringe in any material respect upon the rights of any other Person, and each Loan Party’s and each Subsidiary’s rights thereto are not subject to any licensing agreement or similar arrangement, except as disclosed on </w:t>
      </w:r>
      <w:r>
        <w:rPr>
          <w:rFonts w:ascii="Arial" w:cs="Arial" w:eastAsia="Arial" w:hAnsi="Arial"/>
          <w:sz w:val="19"/>
          <w:szCs w:val="19"/>
          <w:u w:val="single" w:color="auto"/>
          <w:color w:val="auto"/>
        </w:rPr>
        <w:t>Schedule 3.05</w:t>
      </w:r>
      <w:r>
        <w:rPr>
          <w:rFonts w:ascii="Arial" w:cs="Arial" w:eastAsia="Arial" w:hAnsi="Arial"/>
          <w:sz w:val="19"/>
          <w:szCs w:val="19"/>
          <w:color w:val="auto"/>
        </w:rPr>
        <w:t>.</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Litigation and Environmental Matters.</w:t>
      </w:r>
      <w:r>
        <w:rPr>
          <w:rFonts w:ascii="Arial" w:cs="Arial" w:eastAsia="Arial" w:hAnsi="Arial"/>
          <w:sz w:val="20"/>
          <w:szCs w:val="20"/>
          <w:color w:val="auto"/>
        </w:rPr>
        <w:t xml:space="preserve"> (a) 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(other than the Disclosed Matters) or (ii) that involve any Loan Document or the Transactions.</w:t>
      </w:r>
    </w:p>
    <w:p>
      <w:pPr>
        <w:spacing w:after="0" w:line="195" w:lineRule="exact"/>
        <w:rPr>
          <w:sz w:val="20"/>
          <w:szCs w:val="20"/>
          <w:color w:val="auto"/>
        </w:rPr>
      </w:pPr>
    </w:p>
    <w:p>
      <w:pPr>
        <w:jc w:val="both"/>
        <w:ind w:firstLine="656"/>
        <w:spacing w:after="0" w:line="272" w:lineRule="auto"/>
        <w:tabs>
          <w:tab w:leader="none" w:pos="116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Except for the Disclosed Matters (i) no Loan Party or any Subsidiary has received notice of any claim with respect to any Environmental Liability or knows of any basis for any Environmental Liability and (ii) and except with respect to any other matters that, individually or in the aggregate, could not reasonably be expected to result in a Material Adverse Effect, no Loan Party or any Subsidiary</w:t>
      </w:r>
    </w:p>
    <w:p>
      <w:pPr>
        <w:spacing w:after="0" w:line="1" w:lineRule="exact"/>
        <w:rPr>
          <w:rFonts w:ascii="Arial" w:cs="Arial" w:eastAsia="Arial" w:hAnsi="Arial"/>
          <w:sz w:val="18"/>
          <w:szCs w:val="18"/>
          <w:color w:val="auto"/>
        </w:rPr>
      </w:pPr>
    </w:p>
    <w:p>
      <w:pPr>
        <w:jc w:val="both"/>
        <w:ind w:firstLine="8"/>
        <w:spacing w:after="0" w:line="241" w:lineRule="auto"/>
        <w:tabs>
          <w:tab w:leader="none" w:pos="34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96" w:lineRule="exact"/>
        <w:rPr>
          <w:rFonts w:ascii="Arial" w:cs="Arial" w:eastAsia="Arial" w:hAnsi="Arial"/>
          <w:sz w:val="20"/>
          <w:szCs w:val="20"/>
          <w:color w:val="auto"/>
        </w:rPr>
      </w:pPr>
    </w:p>
    <w:p>
      <w:pPr>
        <w:ind w:firstLine="656"/>
        <w:spacing w:after="0" w:line="260" w:lineRule="auto"/>
        <w:tabs>
          <w:tab w:leader="none" w:pos="1129" w:val="left"/>
        </w:tabs>
        <w:numPr>
          <w:ilvl w:val="1"/>
          <w:numId w:val="103"/>
        </w:numPr>
        <w:rPr>
          <w:rFonts w:ascii="Arial" w:cs="Arial" w:eastAsia="Arial" w:hAnsi="Arial"/>
          <w:sz w:val="20"/>
          <w:szCs w:val="20"/>
          <w:color w:val="auto"/>
        </w:rPr>
      </w:pPr>
      <w:r>
        <w:rPr>
          <w:rFonts w:ascii="Arial" w:cs="Arial" w:eastAsia="Arial" w:hAnsi="Arial"/>
          <w:sz w:val="20"/>
          <w:szCs w:val="20"/>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77"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 No Default.</w:t>
      </w:r>
      <w:r>
        <w:rPr>
          <w:rFonts w:ascii="Arial" w:cs="Arial" w:eastAsia="Arial" w:hAnsi="Arial"/>
          <w:sz w:val="18"/>
          <w:szCs w:val="18"/>
          <w:color w:val="auto"/>
        </w:rPr>
        <w:t xml:space="preserve"> Except where the failure to do so, individually or in the aggregate, could not reasonably be expected to result in a Material Adverse Effect, each Loan Party and each Subsidiary is in compliance with</w:t>
      </w:r>
    </w:p>
    <w:p>
      <w:pPr>
        <w:spacing w:after="0" w:line="1" w:lineRule="exact"/>
        <w:rPr>
          <w:sz w:val="20"/>
          <w:szCs w:val="20"/>
          <w:color w:val="auto"/>
        </w:rPr>
      </w:pPr>
    </w:p>
    <w:p>
      <w:pPr>
        <w:ind w:firstLine="8"/>
        <w:spacing w:after="0" w:line="244" w:lineRule="auto"/>
        <w:tabs>
          <w:tab w:leader="none" w:pos="26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all Requirement of Law applicable to it or its property and (ii) all indentures, agreements and other instruments binding upon it or its property. No Default has occurred and is continuing.</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Investment Company Status.</w:t>
      </w:r>
      <w:r>
        <w:rPr>
          <w:rFonts w:ascii="Arial" w:cs="Arial" w:eastAsia="Arial" w:hAnsi="Arial"/>
          <w:sz w:val="20"/>
          <w:szCs w:val="20"/>
          <w:color w:val="auto"/>
        </w:rPr>
        <w:t xml:space="preserve"> No Loan Party or any Subsidiary is an “investment company” as defined in, or subject to regulation under, the Investment Company Act of 1940.</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Each Loan Party and each Subsidiary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 No tax liens have been filed and no claims are being asserted with respect to any such taxes.</w:t>
      </w:r>
    </w:p>
    <w:p>
      <w:pPr>
        <w:sectPr>
          <w:pgSz w:w="11900" w:h="16838" w:orient="portrait"/>
          <w:cols w:equalWidth="0" w:num="1">
            <w:col w:w="11420"/>
          </w:cols>
          <w:pgMar w:left="240" w:top="582" w:right="239" w:bottom="1440" w:gutter="0" w:footer="0" w:header="0"/>
        </w:sectPr>
      </w:pPr>
    </w:p>
    <w:bookmarkStart w:id="102" w:name="page103"/>
    <w:bookmarkEnd w:id="102"/>
    <w:p>
      <w:pPr>
        <w:jc w:val="both"/>
        <w:ind w:firstLine="648"/>
        <w:spacing w:after="0" w:line="242"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ERISA.</w:t>
      </w:r>
      <w:r>
        <w:rPr>
          <w:rFonts w:ascii="Arial" w:cs="Arial" w:eastAsia="Arial" w:hAnsi="Arial"/>
          <w:sz w:val="20"/>
          <w:szCs w:val="20"/>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by more than $5,000,000 the fair market value of the assets of such Plan., and the present value of all accumulated benefit obligations of all underfunded Plans (based on the assumptions used for purposes of Statement of Financial Accounting Standards No. 87) did not, as of the date of the most recent financial statements reflecting such amounts, exceed by more than $5,000,000 the fair market value of the assets of all such underfunded Plans.</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(a) 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85" w:lineRule="exact"/>
        <w:rPr>
          <w:sz w:val="20"/>
          <w:szCs w:val="20"/>
          <w:color w:val="auto"/>
        </w:rPr>
      </w:pPr>
    </w:p>
    <w:p>
      <w:pPr>
        <w:ind w:firstLine="656"/>
        <w:spacing w:after="0" w:line="287" w:lineRule="auto"/>
        <w:tabs>
          <w:tab w:leader="none" w:pos="92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As of the Effective Date, to the best knowledge of any Borrower, the information included in the Beneficial Ownership Certification provided on or prior to the Effective Date to any Lender in connection with this Agreement is true and correct in all respects.</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Material Agreements</w:t>
      </w:r>
      <w:r>
        <w:rPr>
          <w:rFonts w:ascii="Arial" w:cs="Arial" w:eastAsia="Arial" w:hAnsi="Arial"/>
          <w:sz w:val="20"/>
          <w:szCs w:val="20"/>
          <w:color w:val="auto"/>
        </w:rPr>
        <w:t xml:space="preserve">. All Material Agreements to which any Loan Party is a party or is bound as of the date of this Agreement are listed on </w:t>
      </w:r>
      <w:r>
        <w:rPr>
          <w:rFonts w:ascii="Arial" w:cs="Arial" w:eastAsia="Arial" w:hAnsi="Arial"/>
          <w:sz w:val="20"/>
          <w:szCs w:val="20"/>
          <w:u w:val="single" w:color="auto"/>
          <w:color w:val="auto"/>
        </w:rPr>
        <w:t>Schedule 3.12</w:t>
      </w:r>
      <w:r>
        <w:rPr>
          <w:rFonts w:ascii="Arial" w:cs="Arial" w:eastAsia="Arial" w:hAnsi="Arial"/>
          <w:sz w:val="20"/>
          <w:szCs w:val="20"/>
          <w:color w:val="auto"/>
        </w:rPr>
        <w:t>. No Loan Party is in default in any material respect in the performance, observance or fulfillment of any of the obligations, covenants or conditions contained in (i) any Material Agreement to which it is a party or (ii) any agreement or instrument evidencing or governing material Indebtedness.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Solvency</w:t>
      </w:r>
      <w:r>
        <w:rPr>
          <w:rFonts w:ascii="Arial" w:cs="Arial" w:eastAsia="Arial" w:hAnsi="Arial"/>
          <w:sz w:val="19"/>
          <w:szCs w:val="19"/>
          <w:color w:val="auto"/>
        </w:rPr>
        <w:t>. (a) Immediately after the consummation of the Transactions to occur on the Effective Date,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their debts and other liabilities, subordinated, contingent or otherwise, as such debts and other liabilities become absolute and matured; (iii) the Loan Parties, taken as a whole, will be able to pay their debts and liabilities, subordinated, contingent or otherwise, as such debts and liabilities become absolute and matured; and (iv) the Loan Parties, taken as a whole, will not have unreasonably small capital with which to conduct the business in which they are engaged as such business is now conducted and is proposed to be conducted after the Effective Date.</w:t>
      </w:r>
    </w:p>
    <w:p>
      <w:pPr>
        <w:spacing w:after="0" w:line="181" w:lineRule="exact"/>
        <w:rPr>
          <w:sz w:val="20"/>
          <w:szCs w:val="20"/>
          <w:color w:val="auto"/>
        </w:rPr>
      </w:pPr>
    </w:p>
    <w:p>
      <w:pPr>
        <w:jc w:val="both"/>
        <w:ind w:firstLine="656"/>
        <w:spacing w:after="0" w:line="342" w:lineRule="auto"/>
        <w:tabs>
          <w:tab w:leader="none" w:pos="107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1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Insurance. Schedule 3.14</w:t>
      </w:r>
      <w:r>
        <w:rPr>
          <w:rFonts w:ascii="Arial" w:cs="Arial" w:eastAsia="Arial" w:hAnsi="Arial"/>
          <w:sz w:val="18"/>
          <w:szCs w:val="18"/>
          <w:color w:val="auto"/>
        </w:rPr>
        <w:t xml:space="preserve"> sets forth a description of all insurance maintained by or on behalf of the Loan Parties and their Subsidiaries as of the Effective Date. As of the Effective Date, all premiums in respect of such insurance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ectPr>
          <w:pgSz w:w="11900" w:h="16838" w:orient="portrait"/>
          <w:cols w:equalWidth="0" w:num="1">
            <w:col w:w="11420"/>
          </w:cols>
          <w:pgMar w:left="240" w:top="582" w:right="239" w:bottom="1440" w:gutter="0" w:footer="0" w:header="0"/>
        </w:sectPr>
      </w:pPr>
    </w:p>
    <w:bookmarkStart w:id="103" w:name="page104"/>
    <w:bookmarkEnd w:id="103"/>
    <w:p>
      <w:pPr>
        <w:jc w:val="both"/>
        <w:ind w:firstLine="648"/>
        <w:spacing w:after="0" w:line="272"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Capitalization and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sets forth (a) a correct and complete list of the name and relationship to the Company of each and all of the Company’s Subsidiaries, (b) a true and complete listing of each class of each Borrower’s authorized Equity Interests, all of which issued Equity Interests are validly issued, outstanding, fully paid and non-assessable, and owned beneficially and of record by the Persons identified on </w:t>
      </w:r>
      <w:r>
        <w:rPr>
          <w:rFonts w:ascii="Arial" w:cs="Arial" w:eastAsia="Arial" w:hAnsi="Arial"/>
          <w:sz w:val="18"/>
          <w:szCs w:val="18"/>
          <w:u w:val="single" w:color="auto"/>
          <w:color w:val="auto"/>
        </w:rPr>
        <w:t>Schedule 3.15</w:t>
      </w:r>
      <w:r>
        <w:rPr>
          <w:rFonts w:ascii="Arial" w:cs="Arial" w:eastAsia="Arial" w:hAnsi="Arial"/>
          <w:sz w:val="18"/>
          <w:szCs w:val="18"/>
          <w:color w:val="auto"/>
        </w:rPr>
        <w:t>, and (c) the type of entity of the Company and each of its Subsidiaries. All of the issued and outstanding Equity Interests owned by any Loan Party have been (to the extent such concepts are relevant with respect to such ownership interests) duly authorized and issued and are fully paid and non-assessable. Other than the Long-Term Incentive Program, there are no outstanding commitments or other obligations of any Loan Party to issue, and no options, warrants or other rights of any Person to acquire, any shares of any class of capital stock or other equity interests of any Loan Party. No Loan Party has any obligation to repurchase Equity Interests under the Long-Term Incentive Program, nor any monetary obligations under the Long-Term Incentive Program.</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xml:space="preserve"> The provisions of this Agreement and the other Loan Documents create legal and valid Liens on all of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w:t>
      </w:r>
    </w:p>
    <w:p>
      <w:pPr>
        <w:spacing w:after="0" w:line="4" w:lineRule="exact"/>
        <w:rPr>
          <w:sz w:val="20"/>
          <w:szCs w:val="20"/>
          <w:color w:val="auto"/>
        </w:rPr>
      </w:pPr>
    </w:p>
    <w:p>
      <w:pPr>
        <w:ind w:firstLine="8"/>
        <w:spacing w:after="0" w:line="244" w:lineRule="auto"/>
        <w:tabs>
          <w:tab w:leader="none" w:pos="28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Liens perfected only by possession (including possession of any certificate of title) to the extent the Administrative Agent has not obtained or does not maintain possession of such Collateral.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3.17. </w:t>
      </w:r>
      <w:r>
        <w:rPr>
          <w:rFonts w:ascii="Arial" w:cs="Arial" w:eastAsia="Arial" w:hAnsi="Arial"/>
          <w:sz w:val="19"/>
          <w:szCs w:val="19"/>
          <w:u w:val="single" w:color="auto"/>
          <w:color w:val="auto"/>
        </w:rPr>
        <w:t>Employment Matters</w:t>
      </w:r>
      <w:r>
        <w:rPr>
          <w:rFonts w:ascii="Arial" w:cs="Arial" w:eastAsia="Arial" w:hAnsi="Arial"/>
          <w:sz w:val="19"/>
          <w:szCs w:val="19"/>
          <w:color w:val="auto"/>
        </w:rPr>
        <w:t>. As of the Effective Date, there are no strikes, lockouts or slowdowns against any Loan Party or any Subsidiary pending or, to the knowledge of any Loan Party, threatened. The hours worked by and payments made to employees of the Loan Parties and their Subsidiaries have not been in violation of the Fair Labor Standards Act or any other applicable Federal, state, local or foreign law dealing with such matters, in any material respect.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Margin Regulations</w:t>
      </w:r>
      <w:r>
        <w:rPr>
          <w:rFonts w:ascii="Arial" w:cs="Arial" w:eastAsia="Arial" w:hAnsi="Arial"/>
          <w:sz w:val="19"/>
          <w:szCs w:val="19"/>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Loans have been used and will be used, whether directly or indirectly as set forth in Section 5.08.</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3.20. </w:t>
      </w:r>
      <w:r>
        <w:rPr>
          <w:rFonts w:ascii="Arial" w:cs="Arial" w:eastAsia="Arial" w:hAnsi="Arial"/>
          <w:sz w:val="20"/>
          <w:szCs w:val="20"/>
          <w:u w:val="single" w:color="auto"/>
          <w:color w:val="auto"/>
        </w:rPr>
        <w:t>No Burdensome Restrictions</w:t>
      </w:r>
      <w:r>
        <w:rPr>
          <w:rFonts w:ascii="Arial" w:cs="Arial" w:eastAsia="Arial" w:hAnsi="Arial"/>
          <w:sz w:val="20"/>
          <w:szCs w:val="20"/>
          <w:color w:val="auto"/>
        </w:rPr>
        <w:t>. No Loan Party is subject to any Burdensome Restrictions except Burdensome Restrictions permitted under Section 6.10.</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ectPr>
          <w:pgSz w:w="11900" w:h="16838" w:orient="portrait"/>
          <w:cols w:equalWidth="0" w:num="1">
            <w:col w:w="11420"/>
          </w:cols>
          <w:pgMar w:left="240" w:top="798" w:right="239" w:bottom="1440" w:gutter="0" w:footer="0" w:header="0"/>
        </w:sectPr>
      </w:pPr>
    </w:p>
    <w:bookmarkStart w:id="104" w:name="page105"/>
    <w:bookmarkEnd w:id="104"/>
    <w:p>
      <w:pPr>
        <w:jc w:val="both"/>
        <w:ind w:firstLine="648"/>
        <w:spacing w:after="0" w:line="256" w:lineRule="auto"/>
        <w:rPr>
          <w:sz w:val="20"/>
          <w:szCs w:val="20"/>
          <w:color w:val="auto"/>
        </w:rPr>
      </w:pPr>
      <w:r>
        <w:rPr>
          <w:rFonts w:ascii="Arial" w:cs="Arial" w:eastAsia="Arial" w:hAnsi="Arial"/>
          <w:sz w:val="19"/>
          <w:szCs w:val="19"/>
          <w:color w:val="auto"/>
        </w:rPr>
        <w:t xml:space="preserve">SECTION 3.22. </w:t>
      </w:r>
      <w:r>
        <w:rPr>
          <w:rFonts w:ascii="Arial" w:cs="Arial" w:eastAsia="Arial" w:hAnsi="Arial"/>
          <w:sz w:val="19"/>
          <w:szCs w:val="19"/>
          <w:u w:val="single" w:color="auto"/>
          <w:color w:val="auto"/>
        </w:rPr>
        <w:t>Affiliate Transactions</w:t>
      </w:r>
      <w:r>
        <w:rPr>
          <w:rFonts w:ascii="Arial" w:cs="Arial" w:eastAsia="Arial" w:hAnsi="Arial"/>
          <w:sz w:val="19"/>
          <w:szCs w:val="19"/>
          <w:color w:val="auto"/>
        </w:rPr>
        <w:t>. Except as set forth on Schedule 3.22, as of the date of this Agreement, there are no existing or proposed agreements, arrangements, understandings or transactions between any Loan Party and any of the officers, members, managers, directors, stockholders, parents, holders of other Equity Interests, employees or Affiliates (other than Subsidiaries) of any Loan Party or any members of their respective immediate families, other than the Long-Term Incentive Program, and transactions which are entered into in the ordinary course of business on fair and reasonable terms and conditions substantially as favorable to such Loan Party as would be obtainable by it in a comparable arm’s length transaction with a Person other than an officer, member, manager, director, stockholder, parent, holder of other Equity Interests, employee or Affiliate, and none of the foregoing Persons are directly or indirectly indebted to or have any direct or indirect ownership, partnership, or voting interest in any Affiliate of any Loan Party or any Person with which any Loan Party has a business relationship or which competes with any Loan Party.</w:t>
      </w:r>
    </w:p>
    <w:p>
      <w:pPr>
        <w:spacing w:after="0" w:line="18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color w:val="auto"/>
        </w:rPr>
        <w:t>SECTION 3.23.</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No Loan Party is an EEA Financial Institution.</w:t>
      </w:r>
    </w:p>
    <w:p>
      <w:pPr>
        <w:spacing w:after="0" w:line="216" w:lineRule="exact"/>
        <w:rPr>
          <w:sz w:val="20"/>
          <w:szCs w:val="20"/>
          <w:color w:val="auto"/>
        </w:rPr>
      </w:pPr>
    </w:p>
    <w:p>
      <w:pPr>
        <w:ind w:right="580" w:firstLine="648"/>
        <w:spacing w:after="0" w:line="247" w:lineRule="auto"/>
        <w:rPr>
          <w:sz w:val="20"/>
          <w:szCs w:val="20"/>
          <w:color w:val="auto"/>
        </w:rPr>
      </w:pPr>
      <w:r>
        <w:rPr>
          <w:rFonts w:ascii="Arial" w:cs="Arial" w:eastAsia="Arial" w:hAnsi="Arial"/>
          <w:sz w:val="20"/>
          <w:szCs w:val="20"/>
          <w:color w:val="auto"/>
        </w:rPr>
        <w:t xml:space="preserve">SECTION 3.24. </w:t>
      </w:r>
      <w:r>
        <w:rPr>
          <w:rFonts w:ascii="Arial" w:cs="Arial" w:eastAsia="Arial" w:hAnsi="Arial"/>
          <w:sz w:val="20"/>
          <w:szCs w:val="20"/>
          <w:u w:val="single" w:color="auto"/>
          <w:color w:val="auto"/>
        </w:rPr>
        <w:t>Plan Assets; Prohibited Transactions</w:t>
      </w:r>
      <w:r>
        <w:rPr>
          <w:rFonts w:ascii="Arial" w:cs="Arial" w:eastAsia="Arial" w:hAnsi="Arial"/>
          <w:sz w:val="20"/>
          <w:szCs w:val="20"/>
          <w:color w:val="auto"/>
        </w:rPr>
        <w:t>. No Loan Party or any of its Subsidiaries is an entity deemed to hold “plan assets” (within the meaning of the Plan Asset Regulations), and neither the</w:t>
      </w:r>
    </w:p>
    <w:p>
      <w:pPr>
        <w:spacing w:after="0" w:line="2" w:lineRule="exact"/>
        <w:rPr>
          <w:sz w:val="20"/>
          <w:szCs w:val="20"/>
          <w:color w:val="auto"/>
        </w:rPr>
      </w:pPr>
    </w:p>
    <w:p>
      <w:pPr>
        <w:ind w:right="3120"/>
        <w:spacing w:after="0" w:line="260" w:lineRule="auto"/>
        <w:rPr>
          <w:sz w:val="20"/>
          <w:szCs w:val="20"/>
          <w:color w:val="auto"/>
        </w:rPr>
      </w:pPr>
      <w:r>
        <w:rPr>
          <w:rFonts w:ascii="Arial" w:cs="Arial" w:eastAsia="Arial" w:hAnsi="Arial"/>
          <w:sz w:val="19"/>
          <w:szCs w:val="19"/>
          <w:color w:val="auto"/>
        </w:rPr>
        <w:t>execution, delivery 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Credit Cards</w:t>
      </w:r>
      <w:r>
        <w:rPr>
          <w:rFonts w:ascii="Arial" w:cs="Arial" w:eastAsia="Arial" w:hAnsi="Arial"/>
          <w:sz w:val="18"/>
          <w:szCs w:val="18"/>
          <w:color w:val="auto"/>
        </w:rPr>
        <w:t>. All Credit Card Agreements relating to Eligible Credit Card Accounts are in full force and effect, currently binding upon each Loan Party that is a party thereto and, to the knowledge of the Loan Parties, binding upon other parties thereto in accordance with their terms. The Loan Parties are in compliance in all material respects with each such Credit Card Agreement.</w:t>
      </w:r>
    </w:p>
    <w:p>
      <w:pPr>
        <w:spacing w:after="0" w:line="1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Common Enterprise</w:t>
      </w:r>
      <w:r>
        <w:rPr>
          <w:rFonts w:ascii="Arial" w:cs="Arial" w:eastAsia="Arial" w:hAnsi="Arial"/>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186" w:lineRule="exact"/>
        <w:rPr>
          <w:sz w:val="20"/>
          <w:szCs w:val="20"/>
          <w:color w:val="auto"/>
        </w:rPr>
      </w:pPr>
    </w:p>
    <w:p>
      <w:pPr>
        <w:jc w:val="both"/>
        <w:ind w:left="660" w:firstLine="645"/>
        <w:spacing w:after="0" w:line="257" w:lineRule="auto"/>
        <w:tabs>
          <w:tab w:leader="none" w:pos="1776"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Credit Agreement and Other Loan Documents</w:t>
      </w:r>
      <w:r>
        <w:rPr>
          <w:rFonts w:ascii="Arial" w:cs="Arial" w:eastAsia="Arial" w:hAnsi="Arial"/>
          <w:sz w:val="19"/>
          <w:szCs w:val="19"/>
          <w:color w:val="auto"/>
        </w:rPr>
        <w:t>. The Administrative Agent (or its counsel) shall have received (i) from each party hereto either (A) a counterpart of this Agreement signed on behalf of such party or (B) written evidence satisfactory to the Administrative Agent (which may include facsimile or other electronic transmission of a signed signature page of this Agreement) that such party has signed a counterpart of this Agreement,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such other certificates, documents, instruments and agreements as the Administrative Agent shall reasonably request in connection with the transactions contemplated by this</w:t>
      </w:r>
    </w:p>
    <w:p>
      <w:pPr>
        <w:sectPr>
          <w:pgSz w:w="11900" w:h="16838" w:orient="portrait"/>
          <w:cols w:equalWidth="0" w:num="1">
            <w:col w:w="11420"/>
          </w:cols>
          <w:pgMar w:left="240" w:top="582" w:right="239" w:bottom="1440" w:gutter="0" w:footer="0" w:header="0"/>
        </w:sectPr>
      </w:pPr>
    </w:p>
    <w:bookmarkStart w:id="105" w:name="page106"/>
    <w:bookmarkEnd w:id="105"/>
    <w:p>
      <w:pPr>
        <w:jc w:val="both"/>
        <w:spacing w:after="0" w:line="263" w:lineRule="auto"/>
        <w:rPr>
          <w:sz w:val="20"/>
          <w:szCs w:val="20"/>
          <w:color w:val="auto"/>
        </w:rPr>
      </w:pPr>
      <w:r>
        <w:rPr>
          <w:rFonts w:ascii="Arial" w:cs="Arial" w:eastAsia="Arial" w:hAnsi="Arial"/>
          <w:sz w:val="19"/>
          <w:szCs w:val="19"/>
          <w:color w:val="auto"/>
        </w:rPr>
        <w:t xml:space="preserve">Agreement and the other Loan Documents, including any promissory notes requested by a Lender pursuant to Section 2.10 payable to the order of each such requesting Lender and a written opinion of the Loan Parties' counsel, addressed to the Administrative Agent, the Issuing Bank and the Lenders in substantially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(together with any other real estate related opinions separately described herein), all in form and substance satisfactory to the Administrative Agent and its counsel.</w:t>
      </w:r>
    </w:p>
    <w:p>
      <w:pPr>
        <w:spacing w:after="0" w:line="177" w:lineRule="exact"/>
        <w:rPr>
          <w:sz w:val="20"/>
          <w:szCs w:val="20"/>
          <w:color w:val="auto"/>
        </w:rPr>
      </w:pPr>
    </w:p>
    <w:p>
      <w:pPr>
        <w:jc w:val="both"/>
        <w:ind w:firstLine="645"/>
        <w:spacing w:after="0" w:line="276" w:lineRule="auto"/>
        <w:tabs>
          <w:tab w:leader="none" w:pos="112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Projections</w:t>
      </w:r>
      <w:r>
        <w:rPr>
          <w:rFonts w:ascii="Arial" w:cs="Arial" w:eastAsia="Arial" w:hAnsi="Arial"/>
          <w:sz w:val="18"/>
          <w:szCs w:val="18"/>
          <w:color w:val="auto"/>
        </w:rPr>
        <w:t>. The Lenders shall have received (i) audited consolidated financial statements of Holdings for the 2016, 2017 and 2018 fiscal years, (ii) unaudited interim consolidated financial statements of Holdings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Holdings, as reflected in the audited, consolidated financial statements described in clause (i) of this paragraph and (iii) satisfactory projections through 2019.</w:t>
      </w:r>
    </w:p>
    <w:p>
      <w:pPr>
        <w:spacing w:after="0" w:line="165" w:lineRule="exact"/>
        <w:rPr>
          <w:rFonts w:ascii="Arial" w:cs="Arial" w:eastAsia="Arial" w:hAnsi="Arial"/>
          <w:sz w:val="18"/>
          <w:szCs w:val="18"/>
          <w:color w:val="auto"/>
        </w:rPr>
      </w:pPr>
    </w:p>
    <w:p>
      <w:pPr>
        <w:jc w:val="both"/>
        <w:ind w:firstLine="645"/>
        <w:spacing w:after="0" w:line="232" w:lineRule="exact"/>
        <w:tabs>
          <w:tab w:leader="none" w:pos="110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Closing Certificates; Certified Certificate of Incorporation; Good Standing Certificates</w:t>
      </w:r>
      <w:r>
        <w:rPr>
          <w:rFonts w:ascii="Arial" w:cs="Arial" w:eastAsia="Arial" w:hAnsi="Arial"/>
          <w:sz w:val="19"/>
          <w:szCs w:val="19"/>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19"/>
          <w:szCs w:val="19"/>
          <w:color w:val="auto"/>
        </w:rPr>
        <w:t>‑</w:t>
      </w:r>
      <w:r>
        <w:rPr>
          <w:rFonts w:ascii="Arial" w:cs="Arial" w:eastAsia="Arial" w:hAnsi="Arial"/>
          <w:sz w:val="19"/>
          <w:szCs w:val="19"/>
          <w:color w:val="auto"/>
        </w:rPr>
        <w:t>laws or operating, management or partnership agreement, or other organizational or governing documents,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199" w:lineRule="exact"/>
        <w:rPr>
          <w:rFonts w:ascii="Arial" w:cs="Arial" w:eastAsia="Arial" w:hAnsi="Arial"/>
          <w:sz w:val="19"/>
          <w:szCs w:val="19"/>
          <w:color w:val="auto"/>
        </w:rPr>
      </w:pPr>
    </w:p>
    <w:p>
      <w:pPr>
        <w:jc w:val="both"/>
        <w:ind w:firstLine="645"/>
        <w:spacing w:after="0" w:line="246" w:lineRule="auto"/>
        <w:tabs>
          <w:tab w:leader="none" w:pos="1086"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No Default Certificate</w:t>
      </w:r>
      <w:r>
        <w:rPr>
          <w:rFonts w:ascii="Arial" w:cs="Arial" w:eastAsia="Arial" w:hAnsi="Arial"/>
          <w:sz w:val="20"/>
          <w:szCs w:val="20"/>
          <w:color w:val="auto"/>
        </w:rPr>
        <w:t>. The Administrative Agent shall have received a certificate, signed by a Financial Officer of each Borrower,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191" w:lineRule="exact"/>
        <w:rPr>
          <w:rFonts w:ascii="Arial" w:cs="Arial" w:eastAsia="Arial" w:hAnsi="Arial"/>
          <w:sz w:val="20"/>
          <w:szCs w:val="20"/>
          <w:color w:val="auto"/>
        </w:rPr>
      </w:pPr>
    </w:p>
    <w:p>
      <w:pPr>
        <w:jc w:val="both"/>
        <w:ind w:firstLine="645"/>
        <w:spacing w:after="0" w:line="282" w:lineRule="auto"/>
        <w:tabs>
          <w:tab w:leader="none" w:pos="104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including pursuant to any fee letter, and all expenses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161" w:lineRule="exact"/>
        <w:rPr>
          <w:rFonts w:ascii="Arial" w:cs="Arial" w:eastAsia="Arial" w:hAnsi="Arial"/>
          <w:sz w:val="18"/>
          <w:szCs w:val="18"/>
          <w:color w:val="auto"/>
        </w:rPr>
      </w:pPr>
    </w:p>
    <w:p>
      <w:pPr>
        <w:jc w:val="both"/>
        <w:ind w:firstLine="645"/>
        <w:spacing w:after="0" w:line="246" w:lineRule="auto"/>
        <w:tabs>
          <w:tab w:leader="none" w:pos="104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Lien Searches</w:t>
      </w:r>
      <w:r>
        <w:rPr>
          <w:rFonts w:ascii="Arial" w:cs="Arial" w:eastAsia="Arial" w:hAnsi="Arial"/>
          <w:sz w:val="20"/>
          <w:szCs w:val="20"/>
          <w:color w:val="auto"/>
        </w:rPr>
        <w:t>. The Administrative Agent shall have received the results of a recent lien search in each jurisdiction where the Loan Parties are organized and where the assets of the Loan Parties are located,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91" w:lineRule="exact"/>
        <w:rPr>
          <w:rFonts w:ascii="Arial" w:cs="Arial" w:eastAsia="Arial" w:hAnsi="Arial"/>
          <w:sz w:val="20"/>
          <w:szCs w:val="20"/>
          <w:color w:val="auto"/>
        </w:rPr>
      </w:pPr>
    </w:p>
    <w:p>
      <w:pPr>
        <w:jc w:val="both"/>
        <w:ind w:firstLine="645"/>
        <w:spacing w:after="0" w:line="246" w:lineRule="auto"/>
        <w:tabs>
          <w:tab w:leader="none" w:pos="110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Pay-Off Letter</w:t>
      </w:r>
      <w:r>
        <w:rPr>
          <w:rFonts w:ascii="Arial" w:cs="Arial" w:eastAsia="Arial" w:hAnsi="Arial"/>
          <w:sz w:val="20"/>
          <w:szCs w:val="20"/>
          <w:color w:val="auto"/>
        </w:rPr>
        <w:t>. The Administrative Agent shall have received satisfactory pay-off letters for all existing Indebtedness to be repaid from the proceeds of the initial Borrowing, confirming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ectPr>
          <w:pgSz w:w="11900" w:h="16838" w:orient="portrait"/>
          <w:cols w:equalWidth="0" w:num="1">
            <w:col w:w="10760"/>
          </w:cols>
          <w:pgMar w:left="900" w:top="582" w:right="239" w:bottom="1440" w:gutter="0" w:footer="0" w:header="0"/>
        </w:sectPr>
      </w:pPr>
    </w:p>
    <w:bookmarkStart w:id="106" w:name="page107"/>
    <w:bookmarkEnd w:id="106"/>
    <w:p>
      <w:pPr>
        <w:jc w:val="both"/>
        <w:ind w:left="-540" w:firstLine="645"/>
        <w:spacing w:after="0" w:line="250" w:lineRule="auto"/>
        <w:tabs>
          <w:tab w:leader="none" w:pos="641"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Funding Account</w:t>
      </w:r>
      <w:r>
        <w:rPr>
          <w:rFonts w:ascii="Arial" w:cs="Arial" w:eastAsia="Arial" w:hAnsi="Arial"/>
          <w:sz w:val="20"/>
          <w:szCs w:val="20"/>
          <w:color w:val="auto"/>
        </w:rPr>
        <w:t>. The Administrative Agent shall have received a notice setting forth the deposit account(s) of the Borrowers (the “</w:t>
      </w:r>
      <w:r>
        <w:rPr>
          <w:rFonts w:ascii="Arial" w:cs="Arial" w:eastAsia="Arial" w:hAnsi="Arial"/>
          <w:sz w:val="20"/>
          <w:szCs w:val="20"/>
          <w:u w:val="single" w:color="auto"/>
          <w:color w:val="auto"/>
        </w:rPr>
        <w:t>Funding Account</w:t>
      </w:r>
      <w:r>
        <w:rPr>
          <w:rFonts w:ascii="Arial" w:cs="Arial" w:eastAsia="Arial" w:hAnsi="Arial"/>
          <w:sz w:val="20"/>
          <w:szCs w:val="20"/>
          <w:color w:val="auto"/>
        </w:rPr>
        <w:t>”) to which the Administrative Agent is authorized by the Borrowers to transfer the proceeds of any Borrowings requested or authorized pursuant to this Agreement.</w:t>
      </w:r>
    </w:p>
    <w:p>
      <w:pPr>
        <w:spacing w:after="0" w:line="186" w:lineRule="exact"/>
        <w:rPr>
          <w:rFonts w:ascii="Arial" w:cs="Arial" w:eastAsia="Arial" w:hAnsi="Arial"/>
          <w:sz w:val="20"/>
          <w:szCs w:val="20"/>
          <w:color w:val="auto"/>
        </w:rPr>
      </w:pPr>
    </w:p>
    <w:p>
      <w:pPr>
        <w:ind w:left="-540" w:firstLine="645"/>
        <w:spacing w:after="0" w:line="260" w:lineRule="auto"/>
        <w:tabs>
          <w:tab w:leader="none" w:pos="55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Solvency</w:t>
      </w:r>
      <w:r>
        <w:rPr>
          <w:rFonts w:ascii="Arial" w:cs="Arial" w:eastAsia="Arial" w:hAnsi="Arial"/>
          <w:sz w:val="20"/>
          <w:szCs w:val="20"/>
          <w:color w:val="auto"/>
        </w:rPr>
        <w:t>. The Administrative Agent shall have received a solvency certificate signed by a Financial Officer dated the Effective Date.</w:t>
      </w:r>
    </w:p>
    <w:p>
      <w:pPr>
        <w:spacing w:after="0" w:line="176" w:lineRule="exact"/>
        <w:rPr>
          <w:rFonts w:ascii="Arial" w:cs="Arial" w:eastAsia="Arial" w:hAnsi="Arial"/>
          <w:sz w:val="20"/>
          <w:szCs w:val="20"/>
          <w:color w:val="auto"/>
        </w:rPr>
      </w:pPr>
    </w:p>
    <w:p>
      <w:pPr>
        <w:ind w:left="-540" w:firstLine="645"/>
        <w:spacing w:after="0" w:line="260" w:lineRule="auto"/>
        <w:tabs>
          <w:tab w:leader="none" w:pos="489"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Borrowing Base Certificate</w:t>
      </w:r>
      <w:r>
        <w:rPr>
          <w:rFonts w:ascii="Arial" w:cs="Arial" w:eastAsia="Arial" w:hAnsi="Arial"/>
          <w:sz w:val="20"/>
          <w:szCs w:val="20"/>
          <w:color w:val="auto"/>
        </w:rPr>
        <w:t>. The Administrative Agent shall have received a Borrowing Base Certificate which calculates the Borrowing Base as of the end of the month immediately preceding the Effective Date.</w:t>
      </w:r>
    </w:p>
    <w:p>
      <w:pPr>
        <w:spacing w:after="0" w:line="176" w:lineRule="exact"/>
        <w:rPr>
          <w:rFonts w:ascii="Arial" w:cs="Arial" w:eastAsia="Arial" w:hAnsi="Arial"/>
          <w:sz w:val="20"/>
          <w:szCs w:val="20"/>
          <w:color w:val="auto"/>
        </w:rPr>
      </w:pPr>
    </w:p>
    <w:p>
      <w:pPr>
        <w:jc w:val="both"/>
        <w:ind w:left="-540" w:firstLine="645"/>
        <w:spacing w:after="0" w:line="250" w:lineRule="auto"/>
        <w:tabs>
          <w:tab w:leader="none" w:pos="519"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Closing Availability</w:t>
      </w:r>
      <w:r>
        <w:rPr>
          <w:rFonts w:ascii="Arial" w:cs="Arial" w:eastAsia="Arial" w:hAnsi="Arial"/>
          <w:sz w:val="20"/>
          <w:szCs w:val="20"/>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Availability shall not be less than $20,000,000.</w:t>
      </w:r>
    </w:p>
    <w:p>
      <w:pPr>
        <w:spacing w:after="0" w:line="186" w:lineRule="exact"/>
        <w:rPr>
          <w:rFonts w:ascii="Arial" w:cs="Arial" w:eastAsia="Arial" w:hAnsi="Arial"/>
          <w:sz w:val="20"/>
          <w:szCs w:val="20"/>
          <w:color w:val="auto"/>
        </w:rPr>
      </w:pPr>
    </w:p>
    <w:p>
      <w:pPr>
        <w:jc w:val="both"/>
        <w:ind w:left="-540" w:firstLine="645"/>
        <w:spacing w:after="0" w:line="244" w:lineRule="auto"/>
        <w:tabs>
          <w:tab w:leader="none" w:pos="502"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Pledged Equity Interests; Stock Powers; Pledged Notes</w:t>
      </w:r>
      <w:r>
        <w:rPr>
          <w:rFonts w:ascii="Arial" w:cs="Arial" w:eastAsia="Arial" w:hAnsi="Arial"/>
          <w:sz w:val="20"/>
          <w:szCs w:val="20"/>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94" w:lineRule="exact"/>
        <w:rPr>
          <w:rFonts w:ascii="Arial" w:cs="Arial" w:eastAsia="Arial" w:hAnsi="Arial"/>
          <w:sz w:val="20"/>
          <w:szCs w:val="20"/>
          <w:color w:val="auto"/>
        </w:rPr>
      </w:pPr>
    </w:p>
    <w:p>
      <w:pPr>
        <w:jc w:val="both"/>
        <w:ind w:left="-540" w:firstLine="645"/>
        <w:spacing w:after="0" w:line="260" w:lineRule="auto"/>
        <w:tabs>
          <w:tab w:leader="none" w:pos="871"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Filings, Registrations and Recordings</w:t>
      </w:r>
      <w:r>
        <w:rPr>
          <w:rFonts w:ascii="Arial" w:cs="Arial" w:eastAsia="Arial" w:hAnsi="Arial"/>
          <w:sz w:val="19"/>
          <w:szCs w:val="19"/>
          <w:color w:val="auto"/>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0" w:lineRule="exact"/>
        <w:rPr>
          <w:rFonts w:ascii="Arial" w:cs="Arial" w:eastAsia="Arial" w:hAnsi="Arial"/>
          <w:sz w:val="19"/>
          <w:szCs w:val="19"/>
          <w:color w:val="auto"/>
        </w:rPr>
      </w:pPr>
    </w:p>
    <w:p>
      <w:pPr>
        <w:jc w:val="both"/>
        <w:ind w:left="-540" w:firstLine="645"/>
        <w:spacing w:after="0" w:line="250" w:lineRule="auto"/>
        <w:tabs>
          <w:tab w:leader="none" w:pos="402"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Administrative Agent shall have received evidence of insurance coverage in form, scope, and substance reasonably satisfactory to the Administrative Agent and otherwise in compliance with the terms of Section 5.10 hereof and Section 4.12 of the Security Agreement.</w:t>
      </w:r>
    </w:p>
    <w:p>
      <w:pPr>
        <w:spacing w:after="0" w:line="186" w:lineRule="exact"/>
        <w:rPr>
          <w:rFonts w:ascii="Arial" w:cs="Arial" w:eastAsia="Arial" w:hAnsi="Arial"/>
          <w:sz w:val="20"/>
          <w:szCs w:val="20"/>
          <w:color w:val="auto"/>
        </w:rPr>
      </w:pPr>
    </w:p>
    <w:p>
      <w:pPr>
        <w:ind w:left="-540" w:firstLine="645"/>
        <w:spacing w:after="0" w:line="260" w:lineRule="auto"/>
        <w:tabs>
          <w:tab w:leader="none" w:pos="389"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The Administrative Agent shall have received a properly completed and signed IRS Form W-8 or W-9, as applicable, for each Loan Party.</w:t>
      </w:r>
    </w:p>
    <w:p>
      <w:pPr>
        <w:spacing w:after="0" w:line="176" w:lineRule="exact"/>
        <w:rPr>
          <w:rFonts w:ascii="Arial" w:cs="Arial" w:eastAsia="Arial" w:hAnsi="Arial"/>
          <w:sz w:val="20"/>
          <w:szCs w:val="20"/>
          <w:color w:val="auto"/>
        </w:rPr>
      </w:pPr>
    </w:p>
    <w:p>
      <w:pPr>
        <w:ind w:left="-540" w:firstLine="645"/>
        <w:spacing w:after="0" w:line="316" w:lineRule="auto"/>
        <w:tabs>
          <w:tab w:leader="none" w:pos="40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Corporate Structure</w:t>
      </w:r>
      <w:r>
        <w:rPr>
          <w:rFonts w:ascii="Arial" w:cs="Arial" w:eastAsia="Arial" w:hAnsi="Arial"/>
          <w:sz w:val="18"/>
          <w:szCs w:val="18"/>
          <w:color w:val="auto"/>
        </w:rPr>
        <w:t>. The corporate structure, capital structure and other material debt instruments, material accounts and governing documents of the Borrowers and their Affiliates shall be acceptable to the Administrative Agent in its sole discretion.</w:t>
      </w:r>
    </w:p>
    <w:p>
      <w:pPr>
        <w:spacing w:after="0" w:line="130" w:lineRule="exact"/>
        <w:rPr>
          <w:rFonts w:ascii="Arial" w:cs="Arial" w:eastAsia="Arial" w:hAnsi="Arial"/>
          <w:sz w:val="18"/>
          <w:szCs w:val="18"/>
          <w:color w:val="auto"/>
        </w:rPr>
      </w:pPr>
    </w:p>
    <w:p>
      <w:pPr>
        <w:jc w:val="both"/>
        <w:ind w:left="-540" w:firstLine="645"/>
        <w:spacing w:after="0" w:line="269" w:lineRule="auto"/>
        <w:tabs>
          <w:tab w:leader="none" w:pos="40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Field Examination</w:t>
      </w:r>
      <w:r>
        <w:rPr>
          <w:rFonts w:ascii="Arial" w:cs="Arial" w:eastAsia="Arial" w:hAnsi="Arial"/>
          <w:sz w:val="19"/>
          <w:szCs w:val="19"/>
          <w:color w:val="auto"/>
        </w:rPr>
        <w:t>. The Administrative Agent or its designee shall have conducted a field examination of the Borrowers’ Accounts, Credit Card Accounts, Inventory and related working capital matters and of the Borrowers’ related data processing and other systems, the results of which shall be satisfactory to the Administrative Agent in its sole discretion.</w:t>
      </w:r>
    </w:p>
    <w:p>
      <w:pPr>
        <w:spacing w:after="0" w:line="170" w:lineRule="exact"/>
        <w:rPr>
          <w:rFonts w:ascii="Arial" w:cs="Arial" w:eastAsia="Arial" w:hAnsi="Arial"/>
          <w:sz w:val="19"/>
          <w:szCs w:val="19"/>
          <w:color w:val="auto"/>
        </w:rPr>
      </w:pPr>
    </w:p>
    <w:p>
      <w:pPr>
        <w:ind w:left="-540" w:firstLine="645"/>
        <w:spacing w:after="0" w:line="260" w:lineRule="auto"/>
        <w:tabs>
          <w:tab w:leader="none" w:pos="355"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Legal Due Diligence</w:t>
      </w:r>
      <w:r>
        <w:rPr>
          <w:rFonts w:ascii="Arial" w:cs="Arial" w:eastAsia="Arial" w:hAnsi="Arial"/>
          <w:sz w:val="20"/>
          <w:szCs w:val="20"/>
          <w:color w:val="auto"/>
        </w:rPr>
        <w:t>. The Administrative Agent and its counsel shall have completed all legal due diligence, the results of which shall be satisfactory to Administrative Agent in its sole discretion.</w:t>
      </w:r>
    </w:p>
    <w:p>
      <w:pPr>
        <w:spacing w:after="0" w:line="176" w:lineRule="exact"/>
        <w:rPr>
          <w:rFonts w:ascii="Arial" w:cs="Arial" w:eastAsia="Arial" w:hAnsi="Arial"/>
          <w:sz w:val="20"/>
          <w:szCs w:val="20"/>
          <w:color w:val="auto"/>
        </w:rPr>
      </w:pPr>
    </w:p>
    <w:p>
      <w:pPr>
        <w:ind w:left="-540" w:firstLine="645"/>
        <w:spacing w:after="0" w:line="316" w:lineRule="auto"/>
        <w:tabs>
          <w:tab w:leader="none" w:pos="3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Appraisal(s)</w:t>
      </w:r>
      <w:r>
        <w:rPr>
          <w:rFonts w:ascii="Arial" w:cs="Arial" w:eastAsia="Arial" w:hAnsi="Arial"/>
          <w:sz w:val="18"/>
          <w:szCs w:val="18"/>
          <w:color w:val="auto"/>
        </w:rPr>
        <w:t>. The Administrative Agent shall have received an appraisal of the Borrowers’ Inventory from one or more firms satisfactory to the Administrative Agent, which appraisals shall be satisfactory to the Administrative Agent in its sole discretion.</w:t>
      </w:r>
    </w:p>
    <w:p>
      <w:pPr>
        <w:sectPr>
          <w:pgSz w:w="11900" w:h="16838" w:orient="portrait"/>
          <w:cols w:equalWidth="0" w:num="1">
            <w:col w:w="10220"/>
          </w:cols>
          <w:pgMar w:left="1440" w:top="582" w:right="239" w:bottom="1440" w:gutter="0" w:footer="0" w:header="0"/>
        </w:sectPr>
      </w:pPr>
    </w:p>
    <w:bookmarkStart w:id="107" w:name="page108"/>
    <w:bookmarkEnd w:id="107"/>
    <w:p>
      <w:pPr>
        <w:jc w:val="both"/>
        <w:ind w:left="660" w:firstLine="645"/>
        <w:spacing w:after="0" w:line="273" w:lineRule="auto"/>
        <w:tabs>
          <w:tab w:leader="none" w:pos="154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USA PATRIOT Act, Etc</w:t>
      </w:r>
      <w:r>
        <w:rPr>
          <w:rFonts w:ascii="Arial" w:cs="Arial" w:eastAsia="Arial" w:hAnsi="Arial"/>
          <w:sz w:val="18"/>
          <w:szCs w:val="18"/>
          <w:color w:val="auto"/>
        </w:rPr>
        <w:t>. (i) The Administrative Agent shall have received, at least five (5)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69" w:lineRule="exact"/>
        <w:rPr>
          <w:rFonts w:ascii="Arial" w:cs="Arial" w:eastAsia="Arial" w:hAnsi="Arial"/>
          <w:sz w:val="18"/>
          <w:szCs w:val="18"/>
          <w:color w:val="auto"/>
        </w:rPr>
      </w:pPr>
    </w:p>
    <w:p>
      <w:pPr>
        <w:ind w:left="660" w:firstLine="645"/>
        <w:spacing w:after="0" w:line="260" w:lineRule="auto"/>
        <w:tabs>
          <w:tab w:leader="none" w:pos="1589"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Credit Card Notifications</w:t>
      </w:r>
      <w:r>
        <w:rPr>
          <w:rFonts w:ascii="Arial" w:cs="Arial" w:eastAsia="Arial" w:hAnsi="Arial"/>
          <w:sz w:val="20"/>
          <w:szCs w:val="20"/>
          <w:color w:val="auto"/>
        </w:rPr>
        <w:t>. The Administrative Agent shall have received copies of duly executed Credit Card Notifications with respect to all Eligible Credit Card Accounts.</w:t>
      </w:r>
    </w:p>
    <w:p>
      <w:pPr>
        <w:spacing w:after="0" w:line="176" w:lineRule="exact"/>
        <w:rPr>
          <w:rFonts w:ascii="Arial" w:cs="Arial" w:eastAsia="Arial" w:hAnsi="Arial"/>
          <w:sz w:val="20"/>
          <w:szCs w:val="20"/>
          <w:color w:val="auto"/>
        </w:rPr>
      </w:pPr>
    </w:p>
    <w:p>
      <w:pPr>
        <w:ind w:left="660" w:firstLine="645"/>
        <w:spacing w:after="0" w:line="260" w:lineRule="auto"/>
        <w:tabs>
          <w:tab w:leader="none" w:pos="1602"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Other Documents</w:t>
      </w:r>
      <w:r>
        <w:rPr>
          <w:rFonts w:ascii="Arial" w:cs="Arial" w:eastAsia="Arial" w:hAnsi="Arial"/>
          <w:sz w:val="20"/>
          <w:szCs w:val="20"/>
          <w:color w:val="auto"/>
        </w:rPr>
        <w:t>. The Administrative Agent shall have received such other documents as the Administrative Agent, the Issuing Bank, any Lender or their respective counsel may have reasonably requested.</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Administrative Agent shall notify the Borrowers, the Lenders and the Issuing Bank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2:00 p.m., Chicago time, on September 12, 2018 (and, in the event such conditions are not so satisfied or waived, the Commitments shall terminate at such time).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Credit Event.</w:t>
      </w:r>
      <w:r>
        <w:rPr>
          <w:rFonts w:ascii="Arial" w:cs="Arial" w:eastAsia="Arial" w:hAnsi="Arial"/>
          <w:sz w:val="19"/>
          <w:szCs w:val="19"/>
          <w:color w:val="auto"/>
        </w:rPr>
        <w:t xml:space="preserve"> The obligation of each Lender to make a Loan on the occasion of any Borrowing, and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Issuing Bank to issue, amend, renew or extend any Letter of Credit, is subject to the satisfaction of the following conditions:</w:t>
      </w:r>
    </w:p>
    <w:p>
      <w:pPr>
        <w:spacing w:after="0" w:line="200" w:lineRule="exact"/>
        <w:rPr>
          <w:sz w:val="20"/>
          <w:szCs w:val="20"/>
          <w:color w:val="auto"/>
        </w:rPr>
      </w:pPr>
    </w:p>
    <w:p>
      <w:pPr>
        <w:jc w:val="both"/>
        <w:ind w:left="660" w:firstLine="1293"/>
        <w:spacing w:after="0" w:line="243" w:lineRule="auto"/>
        <w:tabs>
          <w:tab w:leader="none" w:pos="2226" w:val="left"/>
        </w:tabs>
        <w:numPr>
          <w:ilvl w:val="1"/>
          <w:numId w:val="112"/>
        </w:numPr>
        <w:rPr>
          <w:rFonts w:ascii="Arial" w:cs="Arial" w:eastAsia="Arial" w:hAnsi="Arial"/>
          <w:sz w:val="20"/>
          <w:szCs w:val="20"/>
          <w:color w:val="auto"/>
        </w:rPr>
      </w:pPr>
      <w:r>
        <w:rPr>
          <w:rFonts w:ascii="Arial" w:cs="Arial" w:eastAsia="Arial" w:hAnsi="Arial"/>
          <w:sz w:val="20"/>
          <w:szCs w:val="20"/>
          <w:color w:val="auto"/>
        </w:rPr>
        <w:t>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96" w:lineRule="exact"/>
        <w:rPr>
          <w:rFonts w:ascii="Arial" w:cs="Arial" w:eastAsia="Arial" w:hAnsi="Arial"/>
          <w:sz w:val="20"/>
          <w:szCs w:val="20"/>
          <w:color w:val="auto"/>
        </w:rPr>
      </w:pPr>
    </w:p>
    <w:p>
      <w:pPr>
        <w:jc w:val="both"/>
        <w:ind w:left="660" w:firstLine="1293"/>
        <w:spacing w:after="0" w:line="250" w:lineRule="auto"/>
        <w:tabs>
          <w:tab w:leader="none" w:pos="2327"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(i) no Default shall have occurred and be continuing and (ii) no Protective Advance shall be outstanding.</w:t>
      </w:r>
    </w:p>
    <w:p>
      <w:pPr>
        <w:spacing w:after="0" w:line="186" w:lineRule="exact"/>
        <w:rPr>
          <w:rFonts w:ascii="Arial" w:cs="Arial" w:eastAsia="Arial" w:hAnsi="Arial"/>
          <w:sz w:val="20"/>
          <w:szCs w:val="20"/>
          <w:color w:val="auto"/>
        </w:rPr>
      </w:pPr>
    </w:p>
    <w:p>
      <w:pPr>
        <w:ind w:left="660" w:firstLine="645"/>
        <w:spacing w:after="0" w:line="260" w:lineRule="auto"/>
        <w:tabs>
          <w:tab w:leader="none" w:pos="157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After giving effect to any Borrowing or the issuance, amendment, renewal or extension of any Letter of Credit, Availability shall not be less than zero.</w:t>
      </w:r>
    </w:p>
    <w:p>
      <w:pPr>
        <w:spacing w:after="0" w:line="176" w:lineRule="exact"/>
        <w:rPr>
          <w:rFonts w:ascii="Arial" w:cs="Arial" w:eastAsia="Arial" w:hAnsi="Arial"/>
          <w:sz w:val="20"/>
          <w:szCs w:val="20"/>
          <w:color w:val="auto"/>
        </w:rPr>
      </w:pPr>
    </w:p>
    <w:p>
      <w:pPr>
        <w:ind w:left="660" w:firstLine="1293"/>
        <w:spacing w:after="0" w:line="260" w:lineRule="auto"/>
        <w:tabs>
          <w:tab w:leader="none" w:pos="2258" w:val="left"/>
        </w:tabs>
        <w:numPr>
          <w:ilvl w:val="1"/>
          <w:numId w:val="113"/>
        </w:numPr>
        <w:rPr>
          <w:rFonts w:ascii="Arial" w:cs="Arial" w:eastAsia="Arial" w:hAnsi="Arial"/>
          <w:sz w:val="20"/>
          <w:szCs w:val="20"/>
          <w:color w:val="auto"/>
        </w:rPr>
      </w:pPr>
      <w:r>
        <w:rPr>
          <w:rFonts w:ascii="Arial" w:cs="Arial" w:eastAsia="Arial" w:hAnsi="Arial"/>
          <w:sz w:val="20"/>
          <w:szCs w:val="20"/>
          <w:color w:val="auto"/>
        </w:rPr>
        <w:t>No event shall have occurred and no condition shall exist which has or could be reasonably expected to have a Material Adverse Effect.</w:t>
      </w:r>
    </w:p>
    <w:p>
      <w:pPr>
        <w:spacing w:after="0" w:line="176" w:lineRule="exact"/>
        <w:rPr>
          <w:rFonts w:ascii="Arial" w:cs="Arial" w:eastAsia="Arial" w:hAnsi="Arial"/>
          <w:sz w:val="20"/>
          <w:szCs w:val="20"/>
          <w:color w:val="auto"/>
        </w:rPr>
      </w:pPr>
    </w:p>
    <w:p>
      <w:pPr>
        <w:ind w:left="660" w:firstLine="1293"/>
        <w:spacing w:after="0" w:line="260" w:lineRule="auto"/>
        <w:tabs>
          <w:tab w:leader="none" w:pos="2235" w:val="left"/>
        </w:tabs>
        <w:numPr>
          <w:ilvl w:val="1"/>
          <w:numId w:val="113"/>
        </w:numPr>
        <w:rPr>
          <w:rFonts w:ascii="Arial" w:cs="Arial" w:eastAsia="Arial" w:hAnsi="Arial"/>
          <w:sz w:val="20"/>
          <w:szCs w:val="20"/>
          <w:color w:val="auto"/>
        </w:rPr>
      </w:pPr>
      <w:r>
        <w:rPr>
          <w:rFonts w:ascii="Arial" w:cs="Arial" w:eastAsia="Arial" w:hAnsi="Arial"/>
          <w:sz w:val="20"/>
          <w:szCs w:val="20"/>
          <w:color w:val="auto"/>
        </w:rPr>
        <w:t>For the first Borrowing only, the Administrative Agent shall have received an updated Borrowing Base Certificate within 30 days prior to such Borrowing being made.</w:t>
      </w:r>
    </w:p>
    <w:p>
      <w:pPr>
        <w:spacing w:after="0" w:line="177"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Borrowers on the date thereof as to the matters specified in paragraphs (a), (b), (c) and (d) of this Section.</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failure to satisfy the conditions precedent set forth in paragraphs (a) or (b) of this Section, unless otherwise directed by the Required Lenders, the Administrative Agent may, but shall have no obligation to, continue</w:t>
      </w:r>
    </w:p>
    <w:p>
      <w:pPr>
        <w:sectPr>
          <w:pgSz w:w="11900" w:h="16838" w:orient="portrait"/>
          <w:cols w:equalWidth="0" w:num="1">
            <w:col w:w="11420"/>
          </w:cols>
          <w:pgMar w:left="240" w:top="582" w:right="239" w:bottom="1440" w:gutter="0" w:footer="0" w:header="0"/>
        </w:sectPr>
      </w:pPr>
    </w:p>
    <w:bookmarkStart w:id="108" w:name="page109"/>
    <w:bookmarkEnd w:id="108"/>
    <w:p>
      <w:pPr>
        <w:jc w:val="both"/>
        <w:spacing w:after="0" w:line="246" w:lineRule="auto"/>
        <w:rPr>
          <w:sz w:val="20"/>
          <w:szCs w:val="20"/>
          <w:color w:val="auto"/>
        </w:rPr>
      </w:pPr>
      <w:r>
        <w:rPr>
          <w:rFonts w:ascii="Arial" w:cs="Arial" w:eastAsia="Arial" w:hAnsi="Arial"/>
          <w:sz w:val="20"/>
          <w:szCs w:val="20"/>
          <w:color w:val="auto"/>
        </w:rPr>
        <w:t>to make Loans and an Issuing Bank may, but shall have no obligation to, issue, amend, renew or extend, or cause to be issued, amended, renewed or extended, any Letter of Credit for the ratable account and risk of Lenders from time to time if the Administrative Agent believes that making such Loans or issuing, amending, renewing or extending, or causing the issuance, amendment, renewal or extension of, any such Letter of Credit is in the best interests of the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16" w:lineRule="exact"/>
        <w:rPr>
          <w:sz w:val="20"/>
          <w:szCs w:val="20"/>
          <w:color w:val="auto"/>
        </w:rPr>
      </w:pPr>
    </w:p>
    <w:p>
      <w:pPr>
        <w:jc w:val="both"/>
        <w:ind w:right="20" w:firstLine="1297"/>
        <w:spacing w:after="0" w:line="244" w:lineRule="auto"/>
        <w:rPr>
          <w:sz w:val="20"/>
          <w:szCs w:val="20"/>
          <w:color w:val="auto"/>
        </w:rPr>
      </w:pPr>
      <w:r>
        <w:rPr>
          <w:rFonts w:ascii="Arial" w:cs="Arial" w:eastAsia="Arial" w:hAnsi="Arial"/>
          <w:sz w:val="20"/>
          <w:szCs w:val="20"/>
          <w:color w:val="auto"/>
        </w:rPr>
        <w:t>Until all of the Secured Obligations have been Paid in Full, each Loan Party executing this Agreement covenants and agrees, jointly and severally with all of the other Loan Parties, with the Lenders that: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Financial  Statements;  Borrowing  Base  and  Other  Information.</w:t>
      </w:r>
      <w:r>
        <w:rPr>
          <w:rFonts w:ascii="Arial" w:cs="Arial" w:eastAsia="Arial" w:hAnsi="Arial"/>
          <w:sz w:val="19"/>
          <w:szCs w:val="19"/>
          <w:color w:val="auto"/>
        </w:rPr>
        <w:t xml:space="preserve">  The  Borrowers  will  furnish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each Lender:</w:t>
      </w:r>
    </w:p>
    <w:p>
      <w:pPr>
        <w:spacing w:after="0" w:line="200" w:lineRule="exact"/>
        <w:rPr>
          <w:sz w:val="20"/>
          <w:szCs w:val="20"/>
          <w:color w:val="auto"/>
        </w:rPr>
      </w:pPr>
    </w:p>
    <w:p>
      <w:pPr>
        <w:jc w:val="both"/>
        <w:ind w:left="660" w:firstLine="1293"/>
        <w:spacing w:after="0" w:line="243" w:lineRule="auto"/>
        <w:tabs>
          <w:tab w:leader="none" w:pos="2397" w:val="left"/>
        </w:tabs>
        <w:numPr>
          <w:ilvl w:val="1"/>
          <w:numId w:val="114"/>
        </w:numPr>
        <w:rPr>
          <w:rFonts w:ascii="Arial" w:cs="Arial" w:eastAsia="Arial" w:hAnsi="Arial"/>
          <w:sz w:val="20"/>
          <w:szCs w:val="20"/>
          <w:color w:val="auto"/>
        </w:rPr>
      </w:pPr>
      <w:r>
        <w:rPr>
          <w:rFonts w:ascii="Arial" w:cs="Arial" w:eastAsia="Arial" w:hAnsi="Arial"/>
          <w:sz w:val="20"/>
          <w:szCs w:val="20"/>
          <w:color w:val="auto"/>
        </w:rPr>
        <w:t>within 120 days after the end of each fiscal year of Holdings,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acceptable to the Required Lenders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w:t>
      </w:r>
    </w:p>
    <w:p>
      <w:pPr>
        <w:spacing w:after="0" w:line="193" w:lineRule="exact"/>
        <w:rPr>
          <w:rFonts w:ascii="Arial" w:cs="Arial" w:eastAsia="Arial" w:hAnsi="Arial"/>
          <w:sz w:val="20"/>
          <w:szCs w:val="20"/>
          <w:color w:val="auto"/>
        </w:rPr>
      </w:pPr>
    </w:p>
    <w:p>
      <w:pPr>
        <w:jc w:val="both"/>
        <w:ind w:left="660" w:firstLine="1293"/>
        <w:spacing w:after="0" w:line="243" w:lineRule="auto"/>
        <w:tabs>
          <w:tab w:leader="none" w:pos="251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within 45 days after the end of each of the first three fiscal quarters of each fiscal year of Holdings,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93" w:lineRule="exact"/>
        <w:rPr>
          <w:rFonts w:ascii="Arial" w:cs="Arial" w:eastAsia="Arial" w:hAnsi="Arial"/>
          <w:sz w:val="20"/>
          <w:szCs w:val="20"/>
          <w:color w:val="auto"/>
        </w:rPr>
      </w:pPr>
    </w:p>
    <w:p>
      <w:pPr>
        <w:jc w:val="both"/>
        <w:ind w:left="660" w:firstLine="645"/>
        <w:spacing w:after="0" w:line="243" w:lineRule="auto"/>
        <w:tabs>
          <w:tab w:leader="none" w:pos="178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during any Additional Reporting Period, within 20 days after the end of each fiscal month of Holdings, its consolidated balance sheet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93" w:lineRule="exact"/>
        <w:rPr>
          <w:rFonts w:ascii="Arial" w:cs="Arial" w:eastAsia="Arial" w:hAnsi="Arial"/>
          <w:sz w:val="20"/>
          <w:szCs w:val="20"/>
          <w:color w:val="auto"/>
        </w:rPr>
      </w:pPr>
    </w:p>
    <w:p>
      <w:pPr>
        <w:jc w:val="both"/>
        <w:ind w:left="660" w:firstLine="1293"/>
        <w:spacing w:after="0" w:line="272" w:lineRule="auto"/>
        <w:tabs>
          <w:tab w:leader="none" w:pos="250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(b) or (c) above, a certificate of a Financial Officer of the Borrower Representative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 certifying, in the case of the financial statements delivered under clause (b) or (c),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ectPr>
          <w:pgSz w:w="11900" w:h="16838" w:orient="portrait"/>
          <w:cols w:equalWidth="0" w:num="1">
            <w:col w:w="11420"/>
          </w:cols>
          <w:pgMar w:left="240" w:top="582" w:right="239" w:bottom="1440" w:gutter="0" w:footer="0" w:header="0"/>
        </w:sectPr>
      </w:pPr>
    </w:p>
    <w:bookmarkStart w:id="109" w:name="page110"/>
    <w:bookmarkEnd w:id="109"/>
    <w:p>
      <w:pPr>
        <w:ind w:left="1160" w:hanging="407"/>
        <w:spacing w:after="0"/>
        <w:tabs>
          <w:tab w:leader="none" w:pos="116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540" w:firstLine="645"/>
        <w:spacing w:after="0" w:line="291" w:lineRule="auto"/>
        <w:tabs>
          <w:tab w:leader="none" w:pos="52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30 days after the beginning of each fiscal year of Holdings, a copy of the plan and forecast (including a projected consolidated and consolidating balance sheet, income statement and cash flow statement) of Holdings for each quarter of that fiscal year (the “</w:t>
      </w:r>
      <w:r>
        <w:rPr>
          <w:rFonts w:ascii="Arial" w:cs="Arial" w:eastAsia="Arial" w:hAnsi="Arial"/>
          <w:sz w:val="18"/>
          <w:szCs w:val="18"/>
          <w:u w:val="single" w:color="auto"/>
          <w:color w:val="auto"/>
        </w:rPr>
        <w:t>Projections</w:t>
      </w:r>
      <w:r>
        <w:rPr>
          <w:rFonts w:ascii="Arial" w:cs="Arial" w:eastAsia="Arial" w:hAnsi="Arial"/>
          <w:sz w:val="18"/>
          <w:szCs w:val="18"/>
          <w:color w:val="auto"/>
        </w:rPr>
        <w:t>”) in form reasonably satisfactory to the Administrative Agent;</w:t>
      </w:r>
    </w:p>
    <w:p>
      <w:pPr>
        <w:spacing w:after="0" w:line="151" w:lineRule="exact"/>
        <w:rPr>
          <w:rFonts w:ascii="Arial" w:cs="Arial" w:eastAsia="Arial" w:hAnsi="Arial"/>
          <w:sz w:val="18"/>
          <w:szCs w:val="18"/>
          <w:color w:val="auto"/>
        </w:rPr>
      </w:pPr>
    </w:p>
    <w:p>
      <w:pPr>
        <w:jc w:val="both"/>
        <w:ind w:left="-540" w:firstLine="645"/>
        <w:spacing w:after="0" w:line="258" w:lineRule="auto"/>
        <w:tabs>
          <w:tab w:leader="none" w:pos="58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Borrowing Base Certificate and supporting information in connection therewith, together with any additional reports and in such reasonable detail with respect to the Borrowing Base as the Administrative Agent may reasonably request, (i) during the Initial Period, as soon as available but in any event within 20 days of the end of each fiscal quarter, as of the period then ended, (ii) during any Additional Reporting Period, as soon as available but in any event within 3 Business Days of the end of each calendar week, as of the period then ended, (iii) during all other times, as soon as available but in any event within 20 days of the end of each calendar month, as of the period then ended, and (iv) at such other times as may be reasonably requested by the Administrative Agent and as required by Section 4.02, as of the period then ended;</w:t>
      </w:r>
    </w:p>
    <w:p>
      <w:pPr>
        <w:spacing w:after="0" w:line="179" w:lineRule="exact"/>
        <w:rPr>
          <w:rFonts w:ascii="Arial" w:cs="Arial" w:eastAsia="Arial" w:hAnsi="Arial"/>
          <w:sz w:val="19"/>
          <w:szCs w:val="19"/>
          <w:color w:val="auto"/>
        </w:rPr>
      </w:pPr>
    </w:p>
    <w:p>
      <w:pPr>
        <w:jc w:val="both"/>
        <w:ind w:left="-540" w:firstLine="645"/>
        <w:spacing w:after="0" w:line="282" w:lineRule="auto"/>
        <w:tabs>
          <w:tab w:leader="none" w:pos="51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during the Initial Period, as soon as available but in any event within 20 days of the end of each fiscal quarter, as of the period then ended, (ii) during all other times, as soon as available but in any event within 20 days of the end of each calendar month, as of the period then ended, and (iii) at such other times as may be requested by the Administrative Agent, as of the period then ended, the following information, all delivered electronically in a text formatted file acceptable to the Administrative Agent:</w:t>
      </w:r>
    </w:p>
    <w:p>
      <w:pPr>
        <w:spacing w:after="0" w:line="161" w:lineRule="exact"/>
        <w:rPr>
          <w:rFonts w:ascii="Arial" w:cs="Arial" w:eastAsia="Arial" w:hAnsi="Arial"/>
          <w:sz w:val="18"/>
          <w:szCs w:val="18"/>
          <w:color w:val="auto"/>
        </w:rPr>
      </w:pPr>
    </w:p>
    <w:p>
      <w:pPr>
        <w:jc w:val="both"/>
        <w:ind w:left="100" w:firstLine="653"/>
        <w:spacing w:after="0" w:line="269" w:lineRule="auto"/>
        <w:tabs>
          <w:tab w:leader="none" w:pos="1182"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 detailed aging of the Borrowers’ Accounts and Credit Card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170" w:lineRule="exact"/>
        <w:rPr>
          <w:sz w:val="20"/>
          <w:szCs w:val="20"/>
          <w:color w:val="auto"/>
        </w:rPr>
      </w:pPr>
    </w:p>
    <w:p>
      <w:pPr>
        <w:jc w:val="both"/>
        <w:ind w:left="100" w:firstLine="653"/>
        <w:spacing w:after="0" w:line="256" w:lineRule="auto"/>
        <w:tabs>
          <w:tab w:leader="none" w:pos="121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 schedule detailing the Borrowers’ Inventory, in form satisfactory to the Administrative Agent, (1) by location (showing Inventory in transit, any Inventory located with a third party under any consignment, bailee arrangement, or warehouse agreement, and showing any changes in locations on an updated Exhibit A to the Security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84" w:lineRule="exact"/>
        <w:rPr>
          <w:rFonts w:ascii="Arial" w:cs="Arial" w:eastAsia="Arial" w:hAnsi="Arial"/>
          <w:sz w:val="19"/>
          <w:szCs w:val="19"/>
          <w:color w:val="auto"/>
        </w:rPr>
      </w:pPr>
    </w:p>
    <w:p>
      <w:pPr>
        <w:jc w:val="both"/>
        <w:ind w:left="100" w:firstLine="653"/>
        <w:spacing w:after="0" w:line="250" w:lineRule="auto"/>
        <w:tabs>
          <w:tab w:leader="none" w:pos="131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 worksheet of calculations prepared by the Borrowers to determine Eligible Accounts, Eligible Credit Card Accounts, and Eligible Inventory, such worksheets detailing the Accounts and Inventory excluded from Eligible Accounts, Eligible Credit Card Accounts, and Eligible Inventory and the reason for such exclusion;</w:t>
      </w:r>
    </w:p>
    <w:p>
      <w:pPr>
        <w:spacing w:after="0" w:line="186" w:lineRule="exact"/>
        <w:rPr>
          <w:rFonts w:ascii="Arial" w:cs="Arial" w:eastAsia="Arial" w:hAnsi="Arial"/>
          <w:sz w:val="20"/>
          <w:szCs w:val="20"/>
          <w:color w:val="auto"/>
        </w:rPr>
      </w:pPr>
    </w:p>
    <w:p>
      <w:pPr>
        <w:jc w:val="both"/>
        <w:ind w:left="100" w:firstLine="653"/>
        <w:spacing w:after="0" w:line="246" w:lineRule="auto"/>
        <w:tabs>
          <w:tab w:leader="none" w:pos="130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 reconciliation of the Borrowers’ Accounts, Credit Card Accounts, and Inventory between (A) the amounts shown in the Borrowers’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191" w:lineRule="exact"/>
        <w:rPr>
          <w:rFonts w:ascii="Arial" w:cs="Arial" w:eastAsia="Arial" w:hAnsi="Arial"/>
          <w:sz w:val="20"/>
          <w:szCs w:val="20"/>
          <w:color w:val="auto"/>
        </w:rPr>
      </w:pPr>
    </w:p>
    <w:p>
      <w:pPr>
        <w:ind w:left="1160" w:hanging="40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reconciliation of the loan balance per the Borrowers’ general ledger to the loan balance under this Agreement;</w:t>
      </w:r>
    </w:p>
    <w:p>
      <w:pPr>
        <w:sectPr>
          <w:pgSz w:w="11900" w:h="16838" w:orient="portrait"/>
          <w:cols w:equalWidth="0" w:num="1">
            <w:col w:w="10220"/>
          </w:cols>
          <w:pgMar w:left="1440" w:top="798" w:right="239" w:bottom="1440" w:gutter="0" w:footer="0" w:header="0"/>
        </w:sectPr>
      </w:pPr>
    </w:p>
    <w:bookmarkStart w:id="110" w:name="page111"/>
    <w:bookmarkEnd w:id="110"/>
    <w:p>
      <w:pPr>
        <w:jc w:val="both"/>
        <w:ind w:left="-540" w:firstLine="645"/>
        <w:spacing w:after="0" w:line="291" w:lineRule="auto"/>
        <w:tabs>
          <w:tab w:leader="none" w:pos="48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as soon as available but in any event within 20 days of the end of each calendar month (or fiscal quarter during the Initial Period) and at such other times as may be requested by the Administrative Agent, as of the month then ended, a schedule and aging of the Borrowers’ accounts payable, delivered electronically in a text formatted file acceptable to the Administrative Agent;</w:t>
      </w:r>
    </w:p>
    <w:p>
      <w:pPr>
        <w:spacing w:after="0" w:line="151" w:lineRule="exact"/>
        <w:rPr>
          <w:rFonts w:ascii="Arial" w:cs="Arial" w:eastAsia="Arial" w:hAnsi="Arial"/>
          <w:sz w:val="18"/>
          <w:szCs w:val="18"/>
          <w:color w:val="auto"/>
        </w:rPr>
      </w:pPr>
    </w:p>
    <w:p>
      <w:pPr>
        <w:jc w:val="both"/>
        <w:ind w:left="-540" w:firstLine="645"/>
        <w:spacing w:after="0" w:line="250" w:lineRule="auto"/>
        <w:tabs>
          <w:tab w:leader="none" w:pos="50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upon the request of the Administrative Agent, an updated customer list for each Borrower and its Subsidiaries, which list shall state the customer’s name, mailing address and phone number, delivered electronically in a text formatted file acceptable to the Administrative Agent;</w:t>
      </w:r>
    </w:p>
    <w:p>
      <w:pPr>
        <w:spacing w:after="0" w:line="186" w:lineRule="exact"/>
        <w:rPr>
          <w:rFonts w:ascii="Arial" w:cs="Arial" w:eastAsia="Arial" w:hAnsi="Arial"/>
          <w:sz w:val="20"/>
          <w:szCs w:val="20"/>
          <w:color w:val="auto"/>
        </w:rPr>
      </w:pPr>
    </w:p>
    <w:p>
      <w:pPr>
        <w:ind w:left="420" w:hanging="410"/>
        <w:spacing w:after="0"/>
        <w:tabs>
          <w:tab w:leader="none" w:pos="4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promptly upon the Administrative Agent’s request:</w:t>
      </w:r>
    </w:p>
    <w:p>
      <w:pPr>
        <w:spacing w:after="0" w:line="215" w:lineRule="exact"/>
        <w:rPr>
          <w:rFonts w:ascii="Arial" w:cs="Arial" w:eastAsia="Arial" w:hAnsi="Arial"/>
          <w:sz w:val="20"/>
          <w:szCs w:val="20"/>
          <w:color w:val="auto"/>
        </w:rPr>
      </w:pPr>
    </w:p>
    <w:p>
      <w:pPr>
        <w:ind w:left="100" w:firstLine="653"/>
        <w:spacing w:after="0" w:line="260" w:lineRule="auto"/>
        <w:tabs>
          <w:tab w:leader="none" w:pos="1115" w:val="left"/>
        </w:tabs>
        <w:numPr>
          <w:ilvl w:val="2"/>
          <w:numId w:val="120"/>
        </w:numPr>
        <w:rPr>
          <w:rFonts w:ascii="Arial" w:cs="Arial" w:eastAsia="Arial" w:hAnsi="Arial"/>
          <w:sz w:val="20"/>
          <w:szCs w:val="20"/>
          <w:color w:val="auto"/>
        </w:rPr>
      </w:pPr>
      <w:r>
        <w:rPr>
          <w:rFonts w:ascii="Arial" w:cs="Arial" w:eastAsia="Arial" w:hAnsi="Arial"/>
          <w:sz w:val="20"/>
          <w:szCs w:val="20"/>
          <w:color w:val="auto"/>
        </w:rPr>
        <w:t>copies of invoices issued by the Borrowers in connection with any Accounts, Credit Card Accounts, credit memos, shipping and delivery documents, and other information related thereto;</w:t>
      </w:r>
    </w:p>
    <w:p>
      <w:pPr>
        <w:spacing w:after="0" w:line="176" w:lineRule="exact"/>
        <w:rPr>
          <w:rFonts w:ascii="Arial" w:cs="Arial" w:eastAsia="Arial" w:hAnsi="Arial"/>
          <w:sz w:val="20"/>
          <w:szCs w:val="20"/>
          <w:color w:val="auto"/>
        </w:rPr>
      </w:pPr>
    </w:p>
    <w:p>
      <w:pPr>
        <w:ind w:left="100" w:right="20" w:firstLine="653"/>
        <w:spacing w:after="0" w:line="260" w:lineRule="auto"/>
        <w:tabs>
          <w:tab w:leader="none" w:pos="1237" w:val="left"/>
        </w:tabs>
        <w:numPr>
          <w:ilvl w:val="2"/>
          <w:numId w:val="120"/>
        </w:numPr>
        <w:rPr>
          <w:rFonts w:ascii="Arial" w:cs="Arial" w:eastAsia="Arial" w:hAnsi="Arial"/>
          <w:sz w:val="20"/>
          <w:szCs w:val="20"/>
          <w:color w:val="auto"/>
        </w:rPr>
      </w:pPr>
      <w:r>
        <w:rPr>
          <w:rFonts w:ascii="Arial" w:cs="Arial" w:eastAsia="Arial" w:hAnsi="Arial"/>
          <w:sz w:val="20"/>
          <w:szCs w:val="20"/>
          <w:color w:val="auto"/>
        </w:rPr>
        <w:t>copies of purchase orders, invoices, and shipping and delivery documents in connection with any Inventory or equipment purchased by any Loan Party; and</w:t>
      </w:r>
    </w:p>
    <w:p>
      <w:pPr>
        <w:spacing w:after="0" w:line="176" w:lineRule="exact"/>
        <w:rPr>
          <w:rFonts w:ascii="Arial" w:cs="Arial" w:eastAsia="Arial" w:hAnsi="Arial"/>
          <w:sz w:val="20"/>
          <w:szCs w:val="20"/>
          <w:color w:val="auto"/>
        </w:rPr>
      </w:pPr>
    </w:p>
    <w:p>
      <w:pPr>
        <w:ind w:left="1220" w:hanging="467"/>
        <w:spacing w:after="0"/>
        <w:tabs>
          <w:tab w:leader="none" w:pos="1220" w:val="left"/>
        </w:tabs>
        <w:numPr>
          <w:ilvl w:val="2"/>
          <w:numId w:val="120"/>
        </w:numPr>
        <w:rPr>
          <w:rFonts w:ascii="Arial" w:cs="Arial" w:eastAsia="Arial" w:hAnsi="Arial"/>
          <w:sz w:val="20"/>
          <w:szCs w:val="20"/>
          <w:color w:val="auto"/>
        </w:rPr>
      </w:pPr>
      <w:r>
        <w:rPr>
          <w:rFonts w:ascii="Arial" w:cs="Arial" w:eastAsia="Arial" w:hAnsi="Arial"/>
          <w:sz w:val="20"/>
          <w:szCs w:val="20"/>
          <w:color w:val="auto"/>
        </w:rPr>
        <w:t>a schedule detailing the balance of all intercompany accounts of the Loan Parties;</w:t>
      </w:r>
    </w:p>
    <w:p>
      <w:pPr>
        <w:spacing w:after="0" w:line="215" w:lineRule="exact"/>
        <w:rPr>
          <w:rFonts w:ascii="Arial" w:cs="Arial" w:eastAsia="Arial" w:hAnsi="Arial"/>
          <w:sz w:val="20"/>
          <w:szCs w:val="20"/>
          <w:color w:val="auto"/>
        </w:rPr>
      </w:pPr>
    </w:p>
    <w:p>
      <w:pPr>
        <w:ind w:left="-1200" w:right="220" w:firstLine="1305"/>
        <w:spacing w:after="0" w:line="269" w:lineRule="auto"/>
        <w:tabs>
          <w:tab w:leader="none" w:pos="46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during any Additional Reporting Period, as soon as available but in any event within 3 Business Days of the end of each calendar week and at such other times as may be requested by the Administrative Agent, as of the period then ended, the Borrowers’ sales journal, cash receipts journal (identifying trade and non-trade cash receipts) and debit memo/credit memo journal;</w:t>
      </w:r>
    </w:p>
    <w:p>
      <w:pPr>
        <w:spacing w:after="0" w:line="170" w:lineRule="exact"/>
        <w:rPr>
          <w:rFonts w:ascii="Arial" w:cs="Arial" w:eastAsia="Arial" w:hAnsi="Arial"/>
          <w:sz w:val="19"/>
          <w:szCs w:val="19"/>
          <w:color w:val="auto"/>
        </w:rPr>
      </w:pPr>
    </w:p>
    <w:p>
      <w:pPr>
        <w:ind w:left="580" w:hanging="475"/>
        <w:spacing w:after="0"/>
        <w:tabs>
          <w:tab w:leader="none" w:pos="58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40" w:firstLine="645"/>
        <w:spacing w:after="0" w:line="287" w:lineRule="auto"/>
        <w:tabs>
          <w:tab w:leader="none" w:pos="41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upon the request of the Administrative Agent, a detailed listing of all advances of proceeds of Loans requested by the Borrower Representative for each Borrower and a detailed listing of all intercompany loans made by the Borrowers;</w:t>
      </w:r>
    </w:p>
    <w:p>
      <w:pPr>
        <w:spacing w:after="0" w:line="153" w:lineRule="exact"/>
        <w:rPr>
          <w:sz w:val="20"/>
          <w:szCs w:val="20"/>
          <w:color w:val="auto"/>
        </w:rPr>
      </w:pPr>
    </w:p>
    <w:p>
      <w:pPr>
        <w:jc w:val="both"/>
        <w:ind w:left="-540" w:firstLine="1293"/>
        <w:spacing w:after="0" w:line="246" w:lineRule="auto"/>
        <w:tabs>
          <w:tab w:leader="none" w:pos="105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any Borrower to its share-holders generally, as the case may be;</w:t>
      </w:r>
    </w:p>
    <w:p>
      <w:pPr>
        <w:spacing w:after="0" w:line="191" w:lineRule="exact"/>
        <w:rPr>
          <w:rFonts w:ascii="Arial" w:cs="Arial" w:eastAsia="Arial" w:hAnsi="Arial"/>
          <w:sz w:val="20"/>
          <w:szCs w:val="20"/>
          <w:color w:val="auto"/>
        </w:rPr>
      </w:pPr>
    </w:p>
    <w:p>
      <w:pPr>
        <w:jc w:val="both"/>
        <w:ind w:left="-540" w:firstLine="645"/>
        <w:spacing w:after="0" w:line="243" w:lineRule="auto"/>
        <w:tabs>
          <w:tab w:leader="none" w:pos="54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promptly after any request therefor by the Administrative Agent or any Lender, copies of (i) any documents described in Section 101(k)(1) of ERISA that any Borrower or any ERISA Affiliate may request with respect to any Multiemployer Plan and (ii) any notices described in Section 101(l)(1) of ERISA that any Borrower or any ERISA Affiliate may request with respect to any Multiemployer Plan; provided that if a Borrower or any ERISA Affiliate has not requested such documents or notices from the administrator or sponsor of the applicable Multiemployer Plan, the applicable Borrower or the applicable ERISA Affiliate shall promptly make a request for such documents and notices from such administrator or sponsor and shall provide copies of such documents and notices promptly after receipt thereof;</w:t>
      </w:r>
    </w:p>
    <w:p>
      <w:pPr>
        <w:spacing w:after="0" w:line="193" w:lineRule="exact"/>
        <w:rPr>
          <w:rFonts w:ascii="Arial" w:cs="Arial" w:eastAsia="Arial" w:hAnsi="Arial"/>
          <w:sz w:val="20"/>
          <w:szCs w:val="20"/>
          <w:color w:val="auto"/>
        </w:rPr>
      </w:pPr>
    </w:p>
    <w:p>
      <w:pPr>
        <w:jc w:val="both"/>
        <w:ind w:left="-540" w:firstLine="645"/>
        <w:spacing w:after="0" w:line="278" w:lineRule="auto"/>
        <w:tabs>
          <w:tab w:leader="none" w:pos="68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promptly following any request therefor, (x) such other information regarding the operations, material changes in ownership of Equity Interests, business affairs and financial condition of any Loan Party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65" w:lineRule="exact"/>
        <w:rPr>
          <w:rFonts w:ascii="Arial" w:cs="Arial" w:eastAsia="Arial" w:hAnsi="Arial"/>
          <w:sz w:val="18"/>
          <w:szCs w:val="18"/>
          <w:color w:val="auto"/>
        </w:rPr>
      </w:pPr>
    </w:p>
    <w:p>
      <w:pPr>
        <w:jc w:val="both"/>
        <w:ind w:left="-540" w:right="20" w:firstLine="645"/>
        <w:spacing w:after="0" w:line="250" w:lineRule="auto"/>
        <w:tabs>
          <w:tab w:leader="none" w:pos="35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promptly after receipt thereof by any Loan Party or any Subsidiary, copies of each notice or other correspondence received from the SEC (or comparable agency in any applicable non-U.S. jurisdiction) concerning any investigation or possible investigation or other inquiry by the SEC or such other agency</w:t>
      </w:r>
    </w:p>
    <w:p>
      <w:pPr>
        <w:sectPr>
          <w:pgSz w:w="11900" w:h="16838" w:orient="portrait"/>
          <w:cols w:equalWidth="0" w:num="1">
            <w:col w:w="10220"/>
          </w:cols>
          <w:pgMar w:left="1440" w:top="582" w:right="239" w:bottom="1440" w:gutter="0" w:footer="0" w:header="0"/>
        </w:sectPr>
      </w:pPr>
    </w:p>
    <w:bookmarkStart w:id="111" w:name="page112"/>
    <w:bookmarkEnd w:id="111"/>
    <w:p>
      <w:pPr>
        <w:ind w:left="660"/>
        <w:spacing w:after="0"/>
        <w:rPr>
          <w:sz w:val="20"/>
          <w:szCs w:val="20"/>
          <w:color w:val="auto"/>
        </w:rPr>
      </w:pPr>
      <w:r>
        <w:rPr>
          <w:rFonts w:ascii="Arial" w:cs="Arial" w:eastAsia="Arial" w:hAnsi="Arial"/>
          <w:sz w:val="20"/>
          <w:szCs w:val="20"/>
          <w:color w:val="auto"/>
        </w:rPr>
        <w:t>regarding financial or other operational results of any Borrower or any Subsidiary thereof; and</w:t>
      </w:r>
    </w:p>
    <w:p>
      <w:pPr>
        <w:spacing w:after="0" w:line="216" w:lineRule="exact"/>
        <w:rPr>
          <w:sz w:val="20"/>
          <w:szCs w:val="20"/>
          <w:color w:val="auto"/>
        </w:rPr>
      </w:pPr>
    </w:p>
    <w:p>
      <w:pPr>
        <w:ind w:left="660" w:firstLine="645"/>
        <w:spacing w:after="0" w:line="247" w:lineRule="auto"/>
        <w:tabs>
          <w:tab w:leader="none" w:pos="177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promptly following any request therefor, copies of any detailed audit reports, management letters or recommendations submitted to the board of directors (or the audit committee</w:t>
      </w:r>
    </w:p>
    <w:p>
      <w:pPr>
        <w:spacing w:after="0" w:line="1" w:lineRule="exact"/>
        <w:rPr>
          <w:rFonts w:ascii="Arial" w:cs="Arial" w:eastAsia="Arial" w:hAnsi="Arial"/>
          <w:sz w:val="20"/>
          <w:szCs w:val="20"/>
          <w:color w:val="auto"/>
        </w:rPr>
      </w:pPr>
    </w:p>
    <w:p>
      <w:pPr>
        <w:jc w:val="both"/>
        <w:ind w:left="660"/>
        <w:spacing w:after="0" w:line="241" w:lineRule="auto"/>
        <w:rPr>
          <w:rFonts w:ascii="Arial" w:cs="Arial" w:eastAsia="Arial" w:hAnsi="Arial"/>
          <w:sz w:val="20"/>
          <w:szCs w:val="20"/>
          <w:color w:val="auto"/>
        </w:rPr>
      </w:pPr>
      <w:r>
        <w:rPr>
          <w:rFonts w:ascii="Arial" w:cs="Arial" w:eastAsia="Arial" w:hAnsi="Arial"/>
          <w:sz w:val="20"/>
          <w:szCs w:val="20"/>
          <w:color w:val="auto"/>
        </w:rPr>
        <w:t>of the board of directors) of any Borrower by independent accountants in connection with the accounts or books of the Borrower or any Subsidiary, or any audit of any of them as the Administrative Agent or any Lender (through the Administrative Agent) may reasonably request.</w:t>
      </w:r>
    </w:p>
    <w:p>
      <w:pPr>
        <w:spacing w:after="0" w:line="196"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Documents required to be delivered pursuant to Section 5.01(a), (b) or (o) (to the extent any such documents are included in materials otherwise filed with the SEC) may be delivered electronically and, if so delivered, shall be deemed to have been delivered on the date</w:t>
      </w:r>
    </w:p>
    <w:p>
      <w:pPr>
        <w:spacing w:after="0" w:line="1" w:lineRule="exact"/>
        <w:rPr>
          <w:sz w:val="20"/>
          <w:szCs w:val="20"/>
          <w:color w:val="auto"/>
        </w:rPr>
      </w:pPr>
    </w:p>
    <w:p>
      <w:pPr>
        <w:jc w:val="both"/>
        <w:ind w:left="660" w:hanging="4"/>
        <w:spacing w:after="0" w:line="270" w:lineRule="auto"/>
        <w:tabs>
          <w:tab w:leader="none" w:pos="9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which such materials are publicly available as posted on the Electronic Data Gathering, Analysis and Retrieval system (EDGAR); or (ii) on which such documents are posted on a Loan Party’s behalf on an Internet or intranet website, if any, to which each Lender and the Administrative Agent have access (whether a commercial, third-party website or whether made available by the Administrative Agent); provided that the Borrower Representative shall notify the Administrative Agent and each Lender (by fax or through Electronic Systems) of the posting of any such documents to be delivered pursuant to Section 5.01(a) or (b) and, if requested by the Administrative Agent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and each Lender shall be solely responsible for timely accessing posted documents and maintaining its copies of such documents.</w:t>
      </w:r>
    </w:p>
    <w:p>
      <w:pPr>
        <w:spacing w:after="0" w:line="171"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9"/>
          <w:szCs w:val="19"/>
          <w:color w:val="auto"/>
        </w:rPr>
        <w:t>The Company represents and warrants that each of it, and its Controlling and Controlled entities, in each case, if any (collectively with the Borrowers, the “Relevant Entities”), either (i) has no SEC registered or unregistered, publicly traded securities outstanding, or (ii) files its financial statements with the SEC and/or makes its financial statements available to potential holders of its securities, and, accordingly, the Company hereby (i) authorizes the Administrative Agent to make the financial statements to be provided under Section 5.01(a), (b) and (c) above (collectively or individually, as the context requires,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along with the Loan Documents, available to Public-Siders and (ii) agree that at the time such Financial Statements are provided 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Relevant Entities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Loan Parties’ compliance with the covenants contained herein or with respect to the Borrowing Base.</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Notices of Material Events.</w:t>
      </w:r>
      <w:r>
        <w:rPr>
          <w:rFonts w:ascii="Arial" w:cs="Arial" w:eastAsia="Arial" w:hAnsi="Arial"/>
          <w:sz w:val="20"/>
          <w:szCs w:val="20"/>
          <w:color w:val="auto"/>
        </w:rPr>
        <w:t xml:space="preserve"> The Borrowers and Holdings will furnish to the Administrative Agent and each Lender prompt (but in any event within any time period that may be specified below) written notice of the following:</w:t>
      </w:r>
    </w:p>
    <w:p>
      <w:pPr>
        <w:spacing w:after="0" w:line="177" w:lineRule="exact"/>
        <w:rPr>
          <w:sz w:val="20"/>
          <w:szCs w:val="20"/>
          <w:color w:val="auto"/>
        </w:rPr>
      </w:pPr>
    </w:p>
    <w:p>
      <w:pPr>
        <w:ind w:left="1700" w:hanging="395"/>
        <w:spacing w:after="0"/>
        <w:tabs>
          <w:tab w:leader="none" w:pos="17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15" w:lineRule="exact"/>
        <w:rPr>
          <w:rFonts w:ascii="Arial" w:cs="Arial" w:eastAsia="Arial" w:hAnsi="Arial"/>
          <w:sz w:val="20"/>
          <w:szCs w:val="20"/>
          <w:color w:val="auto"/>
        </w:rPr>
      </w:pPr>
    </w:p>
    <w:p>
      <w:pPr>
        <w:jc w:val="both"/>
        <w:ind w:firstLine="656"/>
        <w:spacing w:after="0" w:line="274" w:lineRule="auto"/>
        <w:tabs>
          <w:tab w:leader="none" w:pos="10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receipt of any notice of any investigation by a Governmental Authority or any litigation or proceeding commenced or threatened against any Loan Party or any Subsidiary that (i) seeks damages in excess of $5,000,000, (ii) seeks injunctive relief that could reasonably be expected to result in a Material Adverse Effect, (iii) is asserted or instituted against any Plan, its fiduciaries or its assets and seeks damages in excess of $5,000,000, (iv) alleges criminal misconduct by any Loan Party or any Subsidiary that could reasonably be expected to result in penalties or damages in excess of $5,000,000, (v) alleges the violation of, or seeks to impose remedies under, any Environmental Law or related Requirement of Law, or seeks to impose Environmental Liability, in each case in excess of $5,000,000, (vi) asserts liability on the part of any Loan Party or any Subsidiary in excess of $5,000,000 in respect of any tax, fee,</w:t>
      </w:r>
    </w:p>
    <w:p>
      <w:pPr>
        <w:sectPr>
          <w:pgSz w:w="11900" w:h="16838" w:orient="portrait"/>
          <w:cols w:equalWidth="0" w:num="1">
            <w:col w:w="11420"/>
          </w:cols>
          <w:pgMar w:left="240" w:top="582" w:right="239" w:bottom="1440" w:gutter="0" w:footer="0" w:header="0"/>
        </w:sectPr>
      </w:pPr>
    </w:p>
    <w:bookmarkStart w:id="112" w:name="page113"/>
    <w:bookmarkEnd w:id="112"/>
    <w:p>
      <w:pPr>
        <w:spacing w:after="0" w:line="260" w:lineRule="auto"/>
        <w:rPr>
          <w:sz w:val="20"/>
          <w:szCs w:val="20"/>
          <w:color w:val="auto"/>
        </w:rPr>
      </w:pPr>
      <w:r>
        <w:rPr>
          <w:rFonts w:ascii="Arial" w:cs="Arial" w:eastAsia="Arial" w:hAnsi="Arial"/>
          <w:sz w:val="20"/>
          <w:szCs w:val="20"/>
          <w:color w:val="auto"/>
        </w:rPr>
        <w:t>assessment, or other governmental charge, or (vii) involves any product recall that could reasonably be expected to result in losses, costs, or damages in excess of $5,000,000;</w:t>
      </w:r>
    </w:p>
    <w:p>
      <w:pPr>
        <w:spacing w:after="0" w:line="177" w:lineRule="exact"/>
        <w:rPr>
          <w:sz w:val="20"/>
          <w:szCs w:val="20"/>
          <w:color w:val="auto"/>
        </w:rPr>
      </w:pPr>
    </w:p>
    <w:p>
      <w:pPr>
        <w:ind w:left="1060" w:hanging="404"/>
        <w:spacing w:after="0"/>
        <w:tabs>
          <w:tab w:leader="none" w:pos="10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Lien (other than Permitted Encumbrances) or claim made or asserted against any of the Collateral;</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loss, damage, or destruction to the Collateral in the amount of $5,000,000 or more, whether or not covered by insurance;</w:t>
      </w:r>
    </w:p>
    <w:p>
      <w:pPr>
        <w:spacing w:after="0" w:line="238" w:lineRule="exact"/>
        <w:rPr>
          <w:rFonts w:ascii="Arial" w:cs="Arial" w:eastAsia="Arial" w:hAnsi="Arial"/>
          <w:sz w:val="18"/>
          <w:szCs w:val="18"/>
          <w:color w:val="auto"/>
        </w:rPr>
      </w:pPr>
    </w:p>
    <w:p>
      <w:pPr>
        <w:ind w:firstLine="656"/>
        <w:spacing w:after="0" w:line="260" w:lineRule="auto"/>
        <w:tabs>
          <w:tab w:leader="none" w:pos="104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within two (2) Business Days of receipt thereof, any and all default notices received under or with respect to any leased location or public warehouse where Collateral with a value in excess of $5,000,000 is located;</w:t>
      </w:r>
    </w:p>
    <w:p>
      <w:pPr>
        <w:spacing w:after="0" w:line="176" w:lineRule="exact"/>
        <w:rPr>
          <w:rFonts w:ascii="Arial" w:cs="Arial" w:eastAsia="Arial" w:hAnsi="Arial"/>
          <w:sz w:val="20"/>
          <w:szCs w:val="20"/>
          <w:color w:val="auto"/>
        </w:rPr>
      </w:pPr>
    </w:p>
    <w:p>
      <w:pPr>
        <w:ind w:firstLine="656"/>
        <w:spacing w:after="0" w:line="287" w:lineRule="auto"/>
        <w:tabs>
          <w:tab w:leader="none" w:pos="105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occurrence of any ERISA Event that, alone or together with any other ERISA Events that have occurred, could reasonably be expected to result in liability of the Loan Parties and their Subsidiaries in an aggregate amount exceeding $5,000,000;</w:t>
      </w:r>
    </w:p>
    <w:p>
      <w:pPr>
        <w:spacing w:after="0" w:line="152" w:lineRule="exact"/>
        <w:rPr>
          <w:rFonts w:ascii="Arial" w:cs="Arial" w:eastAsia="Arial" w:hAnsi="Arial"/>
          <w:sz w:val="19"/>
          <w:szCs w:val="19"/>
          <w:color w:val="auto"/>
        </w:rPr>
      </w:pPr>
    </w:p>
    <w:p>
      <w:pPr>
        <w:ind w:left="1060" w:hanging="404"/>
        <w:spacing w:after="0"/>
        <w:tabs>
          <w:tab w:leader="none" w:pos="10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all material amendments to any Material Agreement, together with a copy of each such amendment;</w:t>
      </w:r>
    </w:p>
    <w:p>
      <w:pPr>
        <w:spacing w:after="0" w:line="215" w:lineRule="exact"/>
        <w:rPr>
          <w:rFonts w:ascii="Arial" w:cs="Arial" w:eastAsia="Arial" w:hAnsi="Arial"/>
          <w:sz w:val="20"/>
          <w:szCs w:val="20"/>
          <w:color w:val="auto"/>
        </w:rPr>
      </w:pPr>
    </w:p>
    <w:p>
      <w:pPr>
        <w:ind w:firstLine="656"/>
        <w:spacing w:after="0" w:line="260" w:lineRule="auto"/>
        <w:tabs>
          <w:tab w:leader="none" w:pos="112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within two (2) Business Days after the occurrence thereof, any Loan Party entering into a Swap Agreement or an amendment thereto, together with copies of all agreements evidencing such Swap Agreement or amendment;</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material change in accounting or financial reporting practices by Holdings, any Borrower or any Subsidiary;</w:t>
      </w:r>
    </w:p>
    <w:p>
      <w:pPr>
        <w:spacing w:after="0" w:line="215" w:lineRule="exact"/>
        <w:rPr>
          <w:rFonts w:ascii="Arial" w:cs="Arial" w:eastAsia="Arial" w:hAnsi="Arial"/>
          <w:sz w:val="20"/>
          <w:szCs w:val="20"/>
          <w:color w:val="auto"/>
        </w:rPr>
      </w:pPr>
    </w:p>
    <w:p>
      <w:pPr>
        <w:jc w:val="both"/>
        <w:ind w:firstLine="656"/>
        <w:spacing w:after="0" w:line="257" w:lineRule="auto"/>
        <w:tabs>
          <w:tab w:leader="none" w:pos="105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 of the occurrence of any default or event of default by any Person under any Credit Card Agreement relating to Credit Cards Accounts contained in the Borrowing Base, (ii) the establishment of, or receipt by any Loan Party of a notice of any proposed establishment of, a reserve or reserve account (or similar concept), whether in the form of an actual deposit account, book entry or otherwise, in connection with any Credit Card Agreement for the purposes of securing all or any portion of any Loan Party’s existing or potential obligations to the applicable credit card issuer or processor under such Credit Card Agreement, (iii) that any credit card issuer, credit card processor or debit card issuer or provider with respect to Credit Card Accounts ceases to meet the requirements of clause (f) of the definition of “Eligible Credit Card Accounts” and (iv) any Loan Party has entered into a material amendment, waiver or other modification of a Credit Card Agreement applicable to any Credit Card Account included in the Borrowing Base;</w:t>
      </w:r>
    </w:p>
    <w:p>
      <w:pPr>
        <w:spacing w:after="0" w:line="181" w:lineRule="exact"/>
        <w:rPr>
          <w:rFonts w:ascii="Arial" w:cs="Arial" w:eastAsia="Arial" w:hAnsi="Arial"/>
          <w:sz w:val="19"/>
          <w:szCs w:val="19"/>
          <w:color w:val="auto"/>
        </w:rPr>
      </w:pPr>
    </w:p>
    <w:p>
      <w:pPr>
        <w:ind w:left="1060" w:hanging="404"/>
        <w:spacing w:after="0"/>
        <w:tabs>
          <w:tab w:leader="none" w:pos="10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other development that results, or could reasonably be expected to result in, a Material Adverse Effect; and</w:t>
      </w:r>
    </w:p>
    <w:p>
      <w:pPr>
        <w:spacing w:after="0" w:line="215" w:lineRule="exact"/>
        <w:rPr>
          <w:rFonts w:ascii="Arial" w:cs="Arial" w:eastAsia="Arial" w:hAnsi="Arial"/>
          <w:sz w:val="20"/>
          <w:szCs w:val="20"/>
          <w:color w:val="auto"/>
        </w:rPr>
      </w:pPr>
    </w:p>
    <w:p>
      <w:pPr>
        <w:ind w:firstLine="656"/>
        <w:spacing w:after="0" w:line="260" w:lineRule="auto"/>
        <w:tabs>
          <w:tab w:leader="none" w:pos="104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notice delivered under this Section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Section 6.03, and (b) carry on and conduct its business in substantially the same manner and in substantially the same general fields of enterprise as it is presently conducted.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Payment of Obligations</w:t>
      </w:r>
      <w:r>
        <w:rPr>
          <w:rFonts w:ascii="Arial" w:cs="Arial" w:eastAsia="Arial" w:hAnsi="Arial"/>
          <w:sz w:val="20"/>
          <w:szCs w:val="20"/>
          <w:color w:val="auto"/>
        </w:rPr>
        <w:t>. Each Loan Party will, and will cause each Subsidiary to, pay or</w:t>
      </w:r>
    </w:p>
    <w:p>
      <w:pPr>
        <w:sectPr>
          <w:pgSz w:w="11900" w:h="16838" w:orient="portrait"/>
          <w:cols w:equalWidth="0" w:num="1">
            <w:col w:w="11420"/>
          </w:cols>
          <w:pgMar w:left="240" w:top="582" w:right="239" w:bottom="1440" w:gutter="0" w:footer="0" w:header="0"/>
        </w:sectPr>
      </w:pPr>
    </w:p>
    <w:bookmarkStart w:id="113" w:name="page114"/>
    <w:bookmarkEnd w:id="113"/>
    <w:p>
      <w:pPr>
        <w:jc w:val="both"/>
        <w:spacing w:after="0" w:line="276" w:lineRule="auto"/>
        <w:rPr>
          <w:sz w:val="20"/>
          <w:szCs w:val="20"/>
          <w:color w:val="auto"/>
        </w:rPr>
      </w:pPr>
      <w:r>
        <w:rPr>
          <w:rFonts w:ascii="Arial" w:cs="Arial" w:eastAsia="Arial" w:hAnsi="Arial"/>
          <w:sz w:val="18"/>
          <w:szCs w:val="18"/>
          <w:color w:val="auto"/>
        </w:rPr>
        <w:t xml:space="preserve">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such liabilities would not result in aggregate liabilities in excess of $5,000,000 and none of the Collateral would become subject to forfeiture or loss as a result of the contest;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Loan Party will, and will cause each Subsidiary to, remit withholding taxes and other payroll taxes to appropriate Governmental Authorities as and when claimed to be due, notwithstanding the foregoing exceptions.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Each Loan Party will, and will cause each Subsidiary to, keep and maintain all property material to the conduct of its business in good working order and condition, ordinary wear and tear excepted.</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to conduct at such Loan Party’s premises field examinations of such Loan Party’s assets, liabilities, books and records, including examining and making extracts from its books and records, environmental assessment reports and Phase I or Phase II studies, and to discuss its affairs, finances and condition with its officers and independent accountants, all at such reasonable times and as often as reasonably requested. After the occurrence and during the continuance of any Event of Default, each Loan Party shall provide the Administrative Agent and each Lender with access to its suppliers. Each Loan Party acknowledges that the Administrative Agent, after exercising its rights of inspection, may prepare and distribute to the Lenders certain Reports pertaining to each Loan Party’s assets for internal use by the Administrative Agent and the Lenders. The Loan Parties shall be responsible for the costs of expenses of one (1) field examination during any 12-month period and one (1) additional field examination (for the total of two such field examinations during any 12-month period) conducted at any time after Availability falls below 12.5% of the Aggregate Revolving Commitment; provided, that the Loan Parties shall be responsible for the costs and expenses of all field examinations conducted while an Event of Default has occurred and is continuing.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 and Material Contractual Obligations.</w:t>
      </w:r>
      <w:r>
        <w:rPr>
          <w:rFonts w:ascii="Arial" w:cs="Arial" w:eastAsia="Arial" w:hAnsi="Arial"/>
          <w:sz w:val="18"/>
          <w:szCs w:val="18"/>
          <w:color w:val="auto"/>
        </w:rPr>
        <w:t xml:space="preserve"> Each Loan Party will, and will cause each Subsidiary to,</w:t>
      </w:r>
    </w:p>
    <w:p>
      <w:pPr>
        <w:spacing w:after="0" w:line="39" w:lineRule="exact"/>
        <w:rPr>
          <w:sz w:val="20"/>
          <w:szCs w:val="20"/>
          <w:color w:val="auto"/>
        </w:rPr>
      </w:pPr>
    </w:p>
    <w:p>
      <w:pPr>
        <w:jc w:val="both"/>
        <w:ind w:firstLine="8"/>
        <w:spacing w:after="0"/>
        <w:tabs>
          <w:tab w:leader="none" w:pos="23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comply with each Requirement of Law applicable to it or its property (including without limitation Environmental Laws) and (ii)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u w:val="single" w:color="auto"/>
          <w:color w:val="auto"/>
        </w:rPr>
        <w:t>Use of Proceeds.</w:t>
      </w:r>
    </w:p>
    <w:p>
      <w:pPr>
        <w:spacing w:after="0" w:line="216" w:lineRule="exact"/>
        <w:rPr>
          <w:sz w:val="20"/>
          <w:szCs w:val="20"/>
          <w:color w:val="auto"/>
        </w:rPr>
      </w:pPr>
    </w:p>
    <w:p>
      <w:pPr>
        <w:jc w:val="both"/>
        <w:ind w:left="660" w:firstLine="645"/>
        <w:spacing w:after="0" w:line="244" w:lineRule="auto"/>
        <w:tabs>
          <w:tab w:leader="none" w:pos="189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proceeds of the Loans and the Letters of Credit will be used only for working capital, refinancing certain indebtedness, financing Permitted Acquisitions, and other general corporate purposes. No part of the proceeds of any Loan and no Letter of Credit will be used, whether directly or indirectly, (i) for any purpose that entails a violation of any of the regulations of the Federal Reserve Board, including Regulations T, U and X or (ii) to make any Acquisition other than Permitted Acquisitions. Letters of Credit will be issued only to support the Loan Parties.</w:t>
      </w:r>
    </w:p>
    <w:p>
      <w:pPr>
        <w:spacing w:after="0" w:line="194" w:lineRule="exact"/>
        <w:rPr>
          <w:rFonts w:ascii="Arial" w:cs="Arial" w:eastAsia="Arial" w:hAnsi="Arial"/>
          <w:sz w:val="20"/>
          <w:szCs w:val="20"/>
          <w:color w:val="auto"/>
        </w:rPr>
      </w:pPr>
    </w:p>
    <w:p>
      <w:pPr>
        <w:jc w:val="both"/>
        <w:ind w:left="660" w:firstLine="645"/>
        <w:spacing w:after="0" w:line="259" w:lineRule="auto"/>
        <w:tabs>
          <w:tab w:leader="none" w:pos="17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No Borrower will request any Borrowing or Letter of Credit, and no Borrower shall use, directly or indirectly, and each Borrower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w:t>
      </w:r>
    </w:p>
    <w:p>
      <w:pPr>
        <w:sectPr>
          <w:pgSz w:w="11900" w:h="16838" w:orient="portrait"/>
          <w:cols w:equalWidth="0" w:num="1">
            <w:col w:w="11420"/>
          </w:cols>
          <w:pgMar w:left="240" w:top="582" w:right="2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0"/>
          <w:szCs w:val="20"/>
          <w:color w:val="auto"/>
        </w:rPr>
        <w:t>that would result in the violation of any Sanctions applicable to any party hereto or any Anti-Corruption Laws.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Loan Parties will only ensure that such information was prepared in good faith based upon assumptions believed to be reasonable at the time.</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Insurance</w:t>
      </w:r>
      <w:r>
        <w:rPr>
          <w:rFonts w:ascii="Arial" w:cs="Arial" w:eastAsia="Arial" w:hAnsi="Arial"/>
          <w:sz w:val="19"/>
          <w:szCs w:val="19"/>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but no less frequently than annually, information in reasonable detail as to the insurance so maintained.</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Casualty and Condemnation.</w:t>
      </w:r>
      <w:r>
        <w:rPr>
          <w:rFonts w:ascii="Arial" w:cs="Arial" w:eastAsia="Arial" w:hAnsi="Arial"/>
          <w:sz w:val="18"/>
          <w:szCs w:val="18"/>
          <w:color w:val="auto"/>
        </w:rPr>
        <w:t xml:space="preserve"> The Borrowers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Appraisals</w:t>
      </w:r>
      <w:r>
        <w:rPr>
          <w:rFonts w:ascii="Arial" w:cs="Arial" w:eastAsia="Arial" w:hAnsi="Arial"/>
          <w:sz w:val="18"/>
          <w:szCs w:val="18"/>
          <w:color w:val="auto"/>
        </w:rPr>
        <w:t>. At any time that the Administrative Agent requests, each Loan Party will provide the Administrative Agent with appraisals or updates thereof of its Inventory from an appraiser selected and engaged by the Administrative Agent, and prepared on a basis satisfactory to the Administrative Agent, such appraisals and updates to include, without limitation, information required by any applicable Requirement of Law. The Loan Parties shall be responsible for the costs of expenses of one Inventory appraisal during any 12-month period and one (1) additional Inventory appraisal (for the total of two such Inventory appraisals during any 12-month period) conducted at any time after Availability falls below 12.5% of the Aggregate Revolving Commitment. Additionally, there shall be no limitation on the number or frequency of Inventory appraisals if an Event of Default has occurred and is continuing, and the Loan Parties shall be responsible for the costs and expenses of any such appraisals conducted while an Event of Default has occurred and is continuing.</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Depository Banks</w:t>
      </w:r>
      <w:r>
        <w:rPr>
          <w:rFonts w:ascii="Arial" w:cs="Arial" w:eastAsia="Arial" w:hAnsi="Arial"/>
          <w:sz w:val="18"/>
          <w:szCs w:val="18"/>
          <w:color w:val="auto"/>
        </w:rPr>
        <w:t>. Within 60 days of the Effective Date, or such later date as may be agreed to by the Administrative Agent, and except as otherwise agreed in writing with respect to certain accounts that are not material in the aggregate, each Borrower and each Subsidiary will maintain the Administrative Agent as its principal depository bank, including for the maintenance of operating, administrative, cash management, collection activity and other deposit accounts for the conduct of its business.</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Additional Collateral; Further Assurances</w:t>
      </w:r>
      <w:r>
        <w:rPr>
          <w:rFonts w:ascii="Arial" w:cs="Arial" w:eastAsia="Arial" w:hAnsi="Arial"/>
          <w:sz w:val="18"/>
          <w:szCs w:val="18"/>
          <w:color w:val="auto"/>
        </w:rPr>
        <w:t>. (a) Subject to applicable Requirement of Law, each Loan Party will cause each Subsidiary formed or acquired after the date of this Agreement to become a Loan Party by executing a Joinder Agreement.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w:t>
      </w:r>
    </w:p>
    <w:p>
      <w:pPr>
        <w:spacing w:after="0" w:line="165" w:lineRule="exact"/>
        <w:rPr>
          <w:sz w:val="20"/>
          <w:szCs w:val="20"/>
          <w:color w:val="auto"/>
        </w:rPr>
      </w:pPr>
    </w:p>
    <w:p>
      <w:pPr>
        <w:jc w:val="both"/>
        <w:ind w:firstLine="656"/>
        <w:spacing w:after="0" w:line="250" w:lineRule="auto"/>
        <w:tabs>
          <w:tab w:leader="none" w:pos="1099" w:val="left"/>
        </w:tabs>
        <w:numPr>
          <w:ilvl w:val="0"/>
          <w:numId w:val="130"/>
        </w:numPr>
        <w:rPr>
          <w:rFonts w:ascii="Arial" w:cs="Arial" w:eastAsia="Arial" w:hAnsi="Arial"/>
          <w:sz w:val="20"/>
          <w:szCs w:val="20"/>
          <w:color w:val="auto"/>
        </w:rPr>
      </w:pPr>
      <w:r>
        <w:rPr>
          <w:rFonts w:ascii="Arial" w:cs="Arial" w:eastAsia="Arial" w:hAnsi="Arial"/>
          <w:sz w:val="20"/>
          <w:szCs w:val="20"/>
          <w:color w:val="auto"/>
        </w:rPr>
        <w:t>Each Loan Party will cause (i) 100% of the issued and outstanding Equity Interests of each of its Domestic Subsidiaries and (ii) 65% (or such greater percentage that, due to a change in applicable law after the date hereof, (1) could not reasonably be expected to cause the undistributed earnings of such Foreign Subsidiary as</w:t>
      </w:r>
    </w:p>
    <w:p>
      <w:pPr>
        <w:sectPr>
          <w:pgSz w:w="11900" w:h="16838" w:orient="portrait"/>
          <w:cols w:equalWidth="0" w:num="1">
            <w:col w:w="11420"/>
          </w:cols>
          <w:pgMar w:left="240" w:top="582" w:right="239" w:bottom="1440" w:gutter="0" w:footer="0" w:header="0"/>
        </w:sectPr>
      </w:pPr>
    </w:p>
    <w:bookmarkStart w:id="115" w:name="page116"/>
    <w:bookmarkEnd w:id="115"/>
    <w:p>
      <w:pPr>
        <w:jc w:val="both"/>
        <w:spacing w:after="0" w:line="243" w:lineRule="auto"/>
        <w:rPr>
          <w:sz w:val="20"/>
          <w:szCs w:val="20"/>
          <w:color w:val="auto"/>
        </w:rPr>
      </w:pPr>
      <w:r>
        <w:rPr>
          <w:rFonts w:ascii="Arial" w:cs="Arial" w:eastAsia="Arial" w:hAnsi="Arial"/>
          <w:sz w:val="20"/>
          <w:szCs w:val="20"/>
          <w:color w:val="auto"/>
        </w:rPr>
        <w:t>determined for U.S. federal income tax purposes to be treated as a deemed dividend to such Foreign Subsidiary's U.S. parent and (2)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such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93" w:lineRule="exact"/>
        <w:rPr>
          <w:sz w:val="20"/>
          <w:szCs w:val="20"/>
          <w:color w:val="auto"/>
        </w:rPr>
      </w:pPr>
    </w:p>
    <w:p>
      <w:pPr>
        <w:jc w:val="both"/>
        <w:ind w:firstLine="656"/>
        <w:spacing w:after="0" w:line="256" w:lineRule="auto"/>
        <w:tabs>
          <w:tab w:leader="none" w:pos="114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 Notwithstanding the foregoing, at any time after an Event of Default has occurred, each Loan Party will, upon the request of the Administrative Agent, cause each Foreign Subsidiary to become a Loan Party and a Loan Guarantor and to grant Liens to the Administrative Agent on its assets and have the balance of its Equity Interests pledged to the Administrative Agent.</w:t>
      </w:r>
    </w:p>
    <w:p>
      <w:pPr>
        <w:spacing w:after="0" w:line="194" w:lineRule="exact"/>
        <w:rPr>
          <w:rFonts w:ascii="Arial" w:cs="Arial" w:eastAsia="Arial" w:hAnsi="Arial"/>
          <w:sz w:val="19"/>
          <w:szCs w:val="19"/>
          <w:color w:val="auto"/>
        </w:rPr>
      </w:pPr>
    </w:p>
    <w:p>
      <w:pPr>
        <w:jc w:val="both"/>
        <w:ind w:firstLine="656"/>
        <w:spacing w:after="0" w:line="276" w:lineRule="auto"/>
        <w:tabs>
          <w:tab w:leader="none" w:pos="10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any assets are acquired by any Loan Party after the Effective Date that are of the type of Collateral described in the Security Agreement (other than assets constituting Collateral under the Security Agreement that become subject to the Lien under the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 (c) of this Section, all at the expense of the Loan Parties.</w:t>
      </w:r>
    </w:p>
    <w:p>
      <w:pPr>
        <w:spacing w:after="0" w:line="165" w:lineRule="exact"/>
        <w:rPr>
          <w:rFonts w:ascii="Arial" w:cs="Arial" w:eastAsia="Arial" w:hAnsi="Arial"/>
          <w:sz w:val="18"/>
          <w:szCs w:val="18"/>
          <w:color w:val="auto"/>
        </w:rPr>
      </w:pPr>
    </w:p>
    <w:p>
      <w:pPr>
        <w:ind w:right="20" w:firstLine="656"/>
        <w:spacing w:after="0" w:line="316" w:lineRule="auto"/>
        <w:tabs>
          <w:tab w:leader="none" w:pos="10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Within 60 days of the Effective Date, or such later date as may be agreed to by the Administrative Agent, the Loan Parties shall deliver to the Administrative Agent each Control Agreement required to be provided pursuant to Section 4.14 of the Security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Until all of the Secured Obligations have been Paid in Full, each Loan Party executing this Agreement covenants and agrees, jointly and severally with all of the other Loan Parties, with the Lenders that: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No Loan Party will, nor will it permit any Subsidiary to, create, incur, assume or suffer to exist 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Indebtedness, except:</w:t>
      </w:r>
    </w:p>
    <w:p>
      <w:pPr>
        <w:spacing w:after="0" w:line="200" w:lineRule="exact"/>
        <w:rPr>
          <w:sz w:val="20"/>
          <w:szCs w:val="20"/>
          <w:color w:val="auto"/>
        </w:rPr>
      </w:pPr>
    </w:p>
    <w:p>
      <w:pPr>
        <w:ind w:left="1700" w:hanging="395"/>
        <w:spacing w:after="0"/>
        <w:tabs>
          <w:tab w:leader="none" w:pos="170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Secured Obligations;</w:t>
      </w:r>
    </w:p>
    <w:p>
      <w:pPr>
        <w:spacing w:after="0" w:line="215" w:lineRule="exact"/>
        <w:rPr>
          <w:rFonts w:ascii="Arial" w:cs="Arial" w:eastAsia="Arial" w:hAnsi="Arial"/>
          <w:sz w:val="20"/>
          <w:szCs w:val="20"/>
          <w:color w:val="auto"/>
        </w:rPr>
      </w:pPr>
    </w:p>
    <w:p>
      <w:pPr>
        <w:ind w:firstLine="656"/>
        <w:spacing w:after="0" w:line="260" w:lineRule="auto"/>
        <w:tabs>
          <w:tab w:leader="none" w:pos="123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Indebtedness existing on the date hereof and set forth in </w:t>
      </w:r>
      <w:r>
        <w:rPr>
          <w:rFonts w:ascii="Arial" w:cs="Arial" w:eastAsia="Arial" w:hAnsi="Arial"/>
          <w:sz w:val="20"/>
          <w:szCs w:val="20"/>
          <w:u w:val="single" w:color="auto"/>
          <w:color w:val="auto"/>
        </w:rPr>
        <w:t>Schedule 6.01</w:t>
      </w:r>
      <w:r>
        <w:rPr>
          <w:rFonts w:ascii="Arial" w:cs="Arial" w:eastAsia="Arial" w:hAnsi="Arial"/>
          <w:sz w:val="20"/>
          <w:szCs w:val="20"/>
          <w:color w:val="auto"/>
        </w:rPr>
        <w:t xml:space="preserve"> and any extensions, renewals, refinancings and replacements of any such Indebtedness in accordance with clause (f) hereof;</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06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Indebtedness of any Borrower to any Subsidiary and of any Subsidiary to any Borrower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Indebtedness of any Subsidiary that is not a Loan Party to any Borrower or any other Loan Party shall be subject to Section 6.04 and (ii) Indebtedness of any Loan Party to any Subsidiary that is not a Loan Party shall be subordinated to the Secured Obligations on terms reasonably satisfactory to the Administrative Agent;</w:t>
      </w:r>
    </w:p>
    <w:p>
      <w:pPr>
        <w:sectPr>
          <w:pgSz w:w="11900" w:h="16838" w:orient="portrait"/>
          <w:cols w:equalWidth="0" w:num="1">
            <w:col w:w="11420"/>
          </w:cols>
          <w:pgMar w:left="240" w:top="582" w:right="239" w:bottom="1440" w:gutter="0" w:footer="0" w:header="0"/>
        </w:sectPr>
      </w:pPr>
    </w:p>
    <w:bookmarkStart w:id="116" w:name="page117"/>
    <w:bookmarkEnd w:id="116"/>
    <w:p>
      <w:pPr>
        <w:jc w:val="both"/>
        <w:ind w:firstLine="656"/>
        <w:spacing w:after="0" w:line="244" w:lineRule="auto"/>
        <w:tabs>
          <w:tab w:leader="none" w:pos="1099" w:val="left"/>
        </w:tabs>
        <w:numPr>
          <w:ilvl w:val="1"/>
          <w:numId w:val="134"/>
        </w:numPr>
        <w:rPr>
          <w:rFonts w:ascii="Arial" w:cs="Arial" w:eastAsia="Arial" w:hAnsi="Arial"/>
          <w:sz w:val="20"/>
          <w:szCs w:val="20"/>
          <w:color w:val="auto"/>
        </w:rPr>
      </w:pPr>
      <w:r>
        <w:rPr>
          <w:rFonts w:ascii="Arial" w:cs="Arial" w:eastAsia="Arial" w:hAnsi="Arial"/>
          <w:sz w:val="20"/>
          <w:szCs w:val="20"/>
          <w:color w:val="auto"/>
        </w:rPr>
        <w:t xml:space="preserve">Guarantees by any Borrower of Indebtedness of any Subsidiary and by any Subsidiary of Indebtedness of any Borrower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Indebtedness so Guaranteed is permitted by this Section 6.01, (ii) Guarantees by any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94" w:lineRule="exact"/>
        <w:rPr>
          <w:rFonts w:ascii="Arial" w:cs="Arial" w:eastAsia="Arial" w:hAnsi="Arial"/>
          <w:sz w:val="20"/>
          <w:szCs w:val="20"/>
          <w:color w:val="auto"/>
        </w:rPr>
      </w:pPr>
    </w:p>
    <w:p>
      <w:pPr>
        <w:jc w:val="both"/>
        <w:ind w:firstLine="656"/>
        <w:spacing w:after="0" w:line="258" w:lineRule="auto"/>
        <w:tabs>
          <w:tab w:leader="none" w:pos="93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Indebtedness of any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provided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$20,000,000 at any time outstanding;</w:t>
      </w:r>
    </w:p>
    <w:p>
      <w:pPr>
        <w:spacing w:after="0" w:line="179" w:lineRule="exact"/>
        <w:rPr>
          <w:rFonts w:ascii="Arial" w:cs="Arial" w:eastAsia="Arial" w:hAnsi="Arial"/>
          <w:sz w:val="19"/>
          <w:szCs w:val="19"/>
          <w:color w:val="auto"/>
        </w:rPr>
      </w:pPr>
    </w:p>
    <w:p>
      <w:pPr>
        <w:jc w:val="both"/>
        <w:ind w:firstLine="656"/>
        <w:spacing w:after="0" w:line="309" w:lineRule="auto"/>
        <w:tabs>
          <w:tab w:leader="none" w:pos="90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Indebtedness which represents extensions, renewals, refinancing or replacements (such Indebtedness being so extended, renewed, refinanced or replaced being referred to herein as the “</w:t>
      </w:r>
      <w:r>
        <w:rPr>
          <w:rFonts w:ascii="Arial" w:cs="Arial" w:eastAsia="Arial" w:hAnsi="Arial"/>
          <w:sz w:val="16"/>
          <w:szCs w:val="16"/>
          <w:u w:val="single" w:color="auto"/>
          <w:color w:val="auto"/>
        </w:rPr>
        <w:t>Refinance Indebtedness</w:t>
      </w:r>
      <w:r>
        <w:rPr>
          <w:rFonts w:ascii="Arial" w:cs="Arial" w:eastAsia="Arial" w:hAnsi="Arial"/>
          <w:sz w:val="16"/>
          <w:szCs w:val="16"/>
          <w:color w:val="auto"/>
        </w:rPr>
        <w:t>”) of any of the Indebtedness described in clauses (b) and (e) and</w:t>
      </w:r>
    </w:p>
    <w:p>
      <w:pPr>
        <w:spacing w:after="0" w:line="1" w:lineRule="exact"/>
        <w:rPr>
          <w:rFonts w:ascii="Arial" w:cs="Arial" w:eastAsia="Arial" w:hAnsi="Arial"/>
          <w:sz w:val="16"/>
          <w:szCs w:val="16"/>
          <w:color w:val="auto"/>
        </w:rPr>
      </w:pPr>
    </w:p>
    <w:p>
      <w:pPr>
        <w:jc w:val="both"/>
        <w:ind w:firstLine="8"/>
        <w:spacing w:after="0" w:line="254" w:lineRule="auto"/>
        <w:tabs>
          <w:tab w:leader="none" w:pos="25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and (j) hereof (such Indebtedness being referred to herein as the “Original Indebtedness”); provided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98" w:lineRule="exact"/>
        <w:rPr>
          <w:rFonts w:ascii="Arial" w:cs="Arial" w:eastAsia="Arial" w:hAnsi="Arial"/>
          <w:sz w:val="19"/>
          <w:szCs w:val="19"/>
          <w:color w:val="auto"/>
        </w:rPr>
      </w:pPr>
    </w:p>
    <w:p>
      <w:pPr>
        <w:jc w:val="both"/>
        <w:ind w:firstLine="656"/>
        <w:spacing w:after="0" w:line="250" w:lineRule="auto"/>
        <w:tabs>
          <w:tab w:leader="none" w:pos="1153"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6" w:lineRule="exact"/>
        <w:rPr>
          <w:rFonts w:ascii="Arial" w:cs="Arial" w:eastAsia="Arial" w:hAnsi="Arial"/>
          <w:sz w:val="20"/>
          <w:szCs w:val="20"/>
          <w:color w:val="auto"/>
        </w:rPr>
      </w:pPr>
    </w:p>
    <w:p>
      <w:pPr>
        <w:ind w:right="20" w:firstLine="656"/>
        <w:spacing w:after="0" w:line="260" w:lineRule="auto"/>
        <w:tabs>
          <w:tab w:leader="none" w:pos="1059"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Indebtedness of any Loan Party in respect of performance bonds, bid bonds, appeal bonds, surety bonds and similar obligations, in each case provided in the ordinary course of business;</w:t>
      </w:r>
    </w:p>
    <w:p>
      <w:pPr>
        <w:spacing w:after="0" w:line="176" w:lineRule="exact"/>
        <w:rPr>
          <w:rFonts w:ascii="Arial" w:cs="Arial" w:eastAsia="Arial" w:hAnsi="Arial"/>
          <w:sz w:val="20"/>
          <w:szCs w:val="20"/>
          <w:color w:val="auto"/>
        </w:rPr>
      </w:pPr>
    </w:p>
    <w:p>
      <w:pPr>
        <w:ind w:left="1020" w:hanging="364"/>
        <w:spacing w:after="0"/>
        <w:tabs>
          <w:tab w:leader="none" w:pos="102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Subordinated Indebtedness in an aggregate principal amount not exceeding $10,000,000 at any time outstanding; and</w:t>
      </w:r>
    </w:p>
    <w:p>
      <w:pPr>
        <w:spacing w:after="0" w:line="227" w:lineRule="exact"/>
        <w:rPr>
          <w:rFonts w:ascii="Arial" w:cs="Arial" w:eastAsia="Arial" w:hAnsi="Arial"/>
          <w:sz w:val="19"/>
          <w:szCs w:val="19"/>
          <w:color w:val="auto"/>
        </w:rPr>
      </w:pPr>
    </w:p>
    <w:p>
      <w:pPr>
        <w:ind w:left="1020" w:hanging="364"/>
        <w:spacing w:after="0"/>
        <w:tabs>
          <w:tab w:leader="none" w:pos="102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other unsecured Indebtedness in an aggregate principal amount not exceeding $30,000,000 at any time outstanding.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Liens.</w:t>
      </w:r>
      <w:r>
        <w:rPr>
          <w:rFonts w:ascii="Arial" w:cs="Arial" w:eastAsia="Arial" w:hAnsi="Arial"/>
          <w:sz w:val="20"/>
          <w:szCs w:val="20"/>
          <w:color w:val="auto"/>
        </w:rPr>
        <w:t xml:space="preserve"> No Loan Party will, nor will it permit any Subsidiary to, create, incur, assume or permit to exist any Lien on any property or asset now owned or hereafter acquired by it, or assign or sell any income or revenues (including Accounts and Credit Card Accounts) or rights in respect of any thereof, except:</w:t>
      </w:r>
    </w:p>
    <w:p>
      <w:pPr>
        <w:spacing w:after="0" w:line="211" w:lineRule="exact"/>
        <w:rPr>
          <w:sz w:val="20"/>
          <w:szCs w:val="20"/>
          <w:color w:val="auto"/>
        </w:rPr>
      </w:pPr>
    </w:p>
    <w:p>
      <w:pPr>
        <w:ind w:left="1720" w:hanging="415"/>
        <w:spacing w:after="0"/>
        <w:tabs>
          <w:tab w:leader="none" w:pos="1720" w:val="left"/>
        </w:tabs>
        <w:numPr>
          <w:ilvl w:val="0"/>
          <w:numId w:val="136"/>
        </w:numPr>
        <w:rPr>
          <w:rFonts w:ascii="Arial" w:cs="Arial" w:eastAsia="Arial" w:hAnsi="Arial"/>
          <w:sz w:val="22"/>
          <w:szCs w:val="22"/>
          <w:color w:val="auto"/>
        </w:rPr>
      </w:pPr>
      <w:r>
        <w:rPr>
          <w:rFonts w:ascii="Arial" w:cs="Arial" w:eastAsia="Arial" w:hAnsi="Arial"/>
          <w:sz w:val="20"/>
          <w:szCs w:val="20"/>
          <w:color w:val="auto"/>
        </w:rPr>
        <w:t>Liens created pursuant to any Loan Document;</w:t>
      </w:r>
    </w:p>
    <w:p>
      <w:pPr>
        <w:spacing w:after="0" w:line="208" w:lineRule="exact"/>
        <w:rPr>
          <w:rFonts w:ascii="Arial" w:cs="Arial" w:eastAsia="Arial" w:hAnsi="Arial"/>
          <w:sz w:val="22"/>
          <w:szCs w:val="22"/>
          <w:color w:val="auto"/>
        </w:rPr>
      </w:pPr>
    </w:p>
    <w:p>
      <w:pPr>
        <w:ind w:left="1720" w:hanging="415"/>
        <w:spacing w:after="0"/>
        <w:tabs>
          <w:tab w:leader="none" w:pos="172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left="660" w:firstLine="1293"/>
        <w:spacing w:after="0" w:line="250" w:lineRule="auto"/>
        <w:tabs>
          <w:tab w:leader="none" w:pos="2383" w:val="left"/>
        </w:tabs>
        <w:numPr>
          <w:ilvl w:val="1"/>
          <w:numId w:val="136"/>
        </w:numPr>
        <w:rPr>
          <w:rFonts w:ascii="Arial" w:cs="Arial" w:eastAsia="Arial" w:hAnsi="Arial"/>
          <w:sz w:val="20"/>
          <w:szCs w:val="20"/>
          <w:color w:val="auto"/>
        </w:rPr>
      </w:pPr>
      <w:r>
        <w:rPr>
          <w:rFonts w:ascii="Arial" w:cs="Arial" w:eastAsia="Arial" w:hAnsi="Arial"/>
          <w:sz w:val="20"/>
          <w:szCs w:val="20"/>
          <w:color w:val="auto"/>
        </w:rPr>
        <w:t xml:space="preserve">any Lien on any property or asset of any Borrower or any Subsidiary existing on the date hereof and set forth in </w:t>
      </w:r>
      <w:r>
        <w:rPr>
          <w:rFonts w:ascii="Arial" w:cs="Arial" w:eastAsia="Arial" w:hAnsi="Arial"/>
          <w:sz w:val="20"/>
          <w:szCs w:val="20"/>
          <w:u w:val="single" w:color="auto"/>
          <w:color w:val="auto"/>
        </w:rPr>
        <w:t>Schedule 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shall not apply to any other property or asset of such Borrower or Subsidiary or any other Borrower or Subsidiary and (ii) such Lien shall secure only those</w:t>
      </w:r>
    </w:p>
    <w:p>
      <w:pPr>
        <w:sectPr>
          <w:pgSz w:w="11900" w:h="16838" w:orient="portrait"/>
          <w:cols w:equalWidth="0" w:num="1">
            <w:col w:w="11420"/>
          </w:cols>
          <w:pgMar w:left="240" w:top="582" w:right="239" w:bottom="1440" w:gutter="0" w:footer="0" w:header="0"/>
        </w:sectPr>
      </w:pPr>
    </w:p>
    <w:bookmarkStart w:id="117" w:name="page118"/>
    <w:bookmarkEnd w:id="117"/>
    <w:p>
      <w:pPr>
        <w:ind w:left="660"/>
        <w:spacing w:after="0" w:line="260" w:lineRule="auto"/>
        <w:rPr>
          <w:sz w:val="20"/>
          <w:szCs w:val="20"/>
          <w:color w:val="auto"/>
        </w:rPr>
      </w:pPr>
      <w:r>
        <w:rPr>
          <w:rFonts w:ascii="Arial" w:cs="Arial" w:eastAsia="Arial" w:hAnsi="Arial"/>
          <w:sz w:val="20"/>
          <w:szCs w:val="20"/>
          <w:color w:val="auto"/>
        </w:rPr>
        <w:t>obligations which it secures on the date hereof, and extensions, renewals and replacements thereof that do not increase the outstanding principal amount thereof;</w:t>
      </w:r>
    </w:p>
    <w:p>
      <w:pPr>
        <w:spacing w:after="0" w:line="177" w:lineRule="exact"/>
        <w:rPr>
          <w:sz w:val="20"/>
          <w:szCs w:val="20"/>
          <w:color w:val="auto"/>
        </w:rPr>
      </w:pPr>
    </w:p>
    <w:p>
      <w:pPr>
        <w:jc w:val="both"/>
        <w:ind w:left="660" w:firstLine="1293"/>
        <w:spacing w:after="0" w:line="278" w:lineRule="auto"/>
        <w:tabs>
          <w:tab w:leader="none" w:pos="239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any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Liens shall not apply to any other property or assets of such Borrower or Subsidiary or any other Borrower or Subsidiary;</w:t>
      </w:r>
    </w:p>
    <w:p>
      <w:pPr>
        <w:spacing w:after="0" w:line="165" w:lineRule="exact"/>
        <w:rPr>
          <w:rFonts w:ascii="Arial" w:cs="Arial" w:eastAsia="Arial" w:hAnsi="Arial"/>
          <w:sz w:val="18"/>
          <w:szCs w:val="18"/>
          <w:color w:val="auto"/>
        </w:rPr>
      </w:pPr>
    </w:p>
    <w:p>
      <w:pPr>
        <w:jc w:val="both"/>
        <w:ind w:left="660" w:firstLine="645"/>
        <w:spacing w:after="0" w:line="274" w:lineRule="auto"/>
        <w:tabs>
          <w:tab w:leader="none" w:pos="18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or asset (other than Accounts, Credit Card Accounts, and Inventory) prior to the acquisition thereof by any Borrower or any Subsidiary or existing on any property or asset (other than Accounts, Credit Card Accounts, and Inventory) of any Person that becomes a Loan Party after the date hereof prior to the time such Person becomes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69" w:lineRule="exact"/>
        <w:rPr>
          <w:rFonts w:ascii="Arial" w:cs="Arial" w:eastAsia="Arial" w:hAnsi="Arial"/>
          <w:sz w:val="18"/>
          <w:szCs w:val="18"/>
          <w:color w:val="auto"/>
        </w:rPr>
      </w:pPr>
    </w:p>
    <w:p>
      <w:pPr>
        <w:ind w:left="660" w:right="20" w:firstLine="645"/>
        <w:spacing w:after="0" w:line="240" w:lineRule="exact"/>
        <w:tabs>
          <w:tab w:leader="none" w:pos="155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of a collecting bank arising in the ordinary course of business under Section 4</w:t>
      </w:r>
      <w:r>
        <w:rPr>
          <w:rFonts w:ascii="MS PGothic" w:cs="MS PGothic" w:eastAsia="MS PGothic" w:hAnsi="MS PGothic"/>
          <w:sz w:val="20"/>
          <w:szCs w:val="20"/>
          <w:color w:val="auto"/>
        </w:rPr>
        <w:t>‑</w:t>
      </w:r>
      <w:r>
        <w:rPr>
          <w:rFonts w:ascii="Arial" w:cs="Arial" w:eastAsia="Arial" w:hAnsi="Arial"/>
          <w:sz w:val="20"/>
          <w:szCs w:val="20"/>
          <w:color w:val="auto"/>
        </w:rPr>
        <w:t>208 of the UCC in effect in the relevant jurisdiction covering only the items being collected upon;</w:t>
      </w:r>
    </w:p>
    <w:p>
      <w:pPr>
        <w:spacing w:after="0" w:line="196" w:lineRule="exact"/>
        <w:rPr>
          <w:rFonts w:ascii="Arial" w:cs="Arial" w:eastAsia="Arial" w:hAnsi="Arial"/>
          <w:sz w:val="20"/>
          <w:szCs w:val="20"/>
          <w:color w:val="auto"/>
        </w:rPr>
      </w:pPr>
    </w:p>
    <w:p>
      <w:pPr>
        <w:ind w:left="1580" w:hanging="275"/>
        <w:spacing w:after="0"/>
        <w:tabs>
          <w:tab w:leader="none" w:pos="15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arising out of Sale and Leaseback Transactions permitted by Section 6.06; and</w:t>
      </w:r>
    </w:p>
    <w:p>
      <w:pPr>
        <w:spacing w:after="0" w:line="215" w:lineRule="exact"/>
        <w:rPr>
          <w:rFonts w:ascii="Arial" w:cs="Arial" w:eastAsia="Arial" w:hAnsi="Arial"/>
          <w:sz w:val="20"/>
          <w:szCs w:val="20"/>
          <w:color w:val="auto"/>
        </w:rPr>
      </w:pPr>
    </w:p>
    <w:p>
      <w:pPr>
        <w:ind w:left="660" w:firstLine="645"/>
        <w:spacing w:after="0" w:line="260" w:lineRule="auto"/>
        <w:tabs>
          <w:tab w:leader="none" w:pos="161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granted by a Subsidiary that is not a Loan Party in favor of any Borrower or another Loan Party in respect of Indebtedness owed by such Subsidiary.</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the foregoing, none of the Liens permitted pursuant to this Section 6.02 may at any time attach to any Loan Party’s (1) Accounts or Credit Card Accounts, other than those permitted under clause (a) of the definition of Permitted Encumbrances and clause (a) above and (2) Inventory, other than those permitted under clauses (a) and (b) of the definition of Permitted Encumbrances and clause (a) above.</w:t>
      </w:r>
    </w:p>
    <w:p>
      <w:pPr>
        <w:spacing w:after="0" w:line="1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(a) No Loan Party will, nor will it permit any Subsidiary to, merge into or consolidate with any other Person, or permit any other Person to merge into or consolidate with it, or liquidate or dissolve or, in the case of a limited liability company, to divide, except that, if at the time thereof and immediately after giving effect thereto no Event of Default shall have occurred and be continuing (i) any Subsidiary of any Borrower may merge into a Borrower in a transaction in which such Borrower is the surviving entity,</w:t>
      </w:r>
    </w:p>
    <w:p>
      <w:pPr>
        <w:spacing w:after="0" w:line="3" w:lineRule="exact"/>
        <w:rPr>
          <w:sz w:val="20"/>
          <w:szCs w:val="20"/>
          <w:color w:val="auto"/>
        </w:rPr>
      </w:pPr>
    </w:p>
    <w:p>
      <w:pPr>
        <w:jc w:val="both"/>
        <w:ind w:firstLine="8"/>
        <w:spacing w:after="0"/>
        <w:tabs>
          <w:tab w:leader="none" w:pos="29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any Loan Party (other than a Borrower) may merge into any other Loan Party in a transaction in which the surviving entity is a Loan Party and (iii) any Subsidiary that is not a Loan Party may liquidate or dissolve if the Borrower which owns such Subsidiary determines in good faith that such liquidation or dissolution is in the best interests of such Borrower and is not materially disadvantageous to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merger involving a Person that is not a wholly owned Subsidiary immediately prior to such merger shall not be permitted unless also permitted by Section 6.04.</w:t>
      </w:r>
    </w:p>
    <w:p>
      <w:pPr>
        <w:spacing w:after="0" w:line="198" w:lineRule="exact"/>
        <w:rPr>
          <w:rFonts w:ascii="Arial" w:cs="Arial" w:eastAsia="Arial" w:hAnsi="Arial"/>
          <w:sz w:val="20"/>
          <w:szCs w:val="20"/>
          <w:color w:val="auto"/>
        </w:rPr>
      </w:pPr>
    </w:p>
    <w:p>
      <w:pPr>
        <w:ind w:right="20" w:firstLine="656"/>
        <w:spacing w:after="0" w:line="316" w:lineRule="auto"/>
        <w:tabs>
          <w:tab w:leader="none" w:pos="105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engage to any material extent in any business other than businesses of the type conducted by the Borrowers and their Subsidiaries on the date hereof and businesses reasonably related thereto.</w:t>
      </w:r>
    </w:p>
    <w:p>
      <w:pPr>
        <w:spacing w:after="0" w:line="130" w:lineRule="exact"/>
        <w:rPr>
          <w:rFonts w:ascii="Arial" w:cs="Arial" w:eastAsia="Arial" w:hAnsi="Arial"/>
          <w:sz w:val="18"/>
          <w:szCs w:val="18"/>
          <w:color w:val="auto"/>
        </w:rPr>
      </w:pPr>
    </w:p>
    <w:p>
      <w:pPr>
        <w:ind w:left="1100" w:hanging="444"/>
        <w:spacing w:after="0"/>
        <w:tabs>
          <w:tab w:leader="none" w:pos="110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No Loan Party will, nor will it permit any Subsidiary to, change its fiscal year from the basis in effect on the Effective Date.</w:t>
      </w:r>
    </w:p>
    <w:p>
      <w:pPr>
        <w:spacing w:after="0" w:line="227" w:lineRule="exact"/>
        <w:rPr>
          <w:rFonts w:ascii="Arial" w:cs="Arial" w:eastAsia="Arial" w:hAnsi="Arial"/>
          <w:sz w:val="19"/>
          <w:szCs w:val="19"/>
          <w:color w:val="auto"/>
        </w:rPr>
      </w:pPr>
    </w:p>
    <w:p>
      <w:pPr>
        <w:ind w:left="1120" w:hanging="464"/>
        <w:spacing w:after="0"/>
        <w:tabs>
          <w:tab w:leader="none" w:pos="112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No Loan Party will change the accounting basis upon which its financial statements are prepared.</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No Loan Party will change the tax filing elections it has made under the Code.</w:t>
      </w:r>
    </w:p>
    <w:p>
      <w:pPr>
        <w:sectPr>
          <w:pgSz w:w="11900" w:h="16838" w:orient="portrait"/>
          <w:cols w:equalWidth="0" w:num="1">
            <w:col w:w="11420"/>
          </w:cols>
          <w:pgMar w:left="240" w:top="582" w:right="239" w:bottom="1440" w:gutter="0" w:footer="0" w:header="0"/>
        </w:sectPr>
      </w:pPr>
    </w:p>
    <w:bookmarkStart w:id="118" w:name="page119"/>
    <w:bookmarkEnd w:id="118"/>
    <w:p>
      <w:pPr>
        <w:ind w:right="240" w:firstLine="656"/>
        <w:spacing w:after="0" w:line="246" w:lineRule="auto"/>
        <w:tabs>
          <w:tab w:leader="none" w:pos="102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Holdings will not engage in any business or activity other than the ownership of all the outstanding Equity Interests of the Borrowers and activities incidental thereto. Holdings will not own or acquire any assets (other than Equity Interests of the Borrowers and the cash proceeds of any Restricted Payments permitted by Section 6.08) or incur any liabilities (other than liabilities under the Loan Documents and liabilities reasonably incurred in connection with its maintenance of its existence).</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u w:val="single" w:color="auto"/>
          <w:color w:val="auto"/>
        </w:rPr>
        <w:t>Investments, Loans, Advances, Guarantees and Acquisitions</w:t>
      </w:r>
      <w:r>
        <w:rPr>
          <w:rFonts w:ascii="Arial" w:cs="Arial" w:eastAsia="Arial" w:hAnsi="Arial"/>
          <w:sz w:val="20"/>
          <w:szCs w:val="20"/>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evidences of Indebtedness or Equity Interests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93" w:lineRule="exact"/>
        <w:rPr>
          <w:sz w:val="20"/>
          <w:szCs w:val="20"/>
          <w:color w:val="auto"/>
        </w:rPr>
      </w:pPr>
    </w:p>
    <w:p>
      <w:pPr>
        <w:ind w:left="660" w:firstLine="645"/>
        <w:spacing w:after="0" w:line="260" w:lineRule="auto"/>
        <w:tabs>
          <w:tab w:leader="none" w:pos="176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Permitted Investments, subject to Control Agreements as required by the Security Agreement or otherwise subject to a perfected security interest in favor of the Administrative Agent for the benefit of the Secured Parties;</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Investments in existence on the date hereof and described in </w:t>
      </w:r>
      <w:r>
        <w:rPr>
          <w:rFonts w:ascii="Arial" w:cs="Arial" w:eastAsia="Arial" w:hAnsi="Arial"/>
          <w:sz w:val="20"/>
          <w:szCs w:val="20"/>
          <w:u w:val="single" w:color="auto"/>
          <w:color w:val="auto"/>
        </w:rPr>
        <w:t>Schedule 6.04(b)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78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loans or advances made by a Loan Party to its employees on an arms-length basis in the ordinary course of business consistent with past practices for travel and entertainment expenses, relocation costs and similar purposes up to a maximum of $1,000,000 in the aggregate at any one time outstanding;</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74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notes payable, or stock or other securities issued by Account Debtors to a Loan Party pursuant to negotiated agreements with respect to settlement of such Account Debtor's Accounts and Credit Card Accounts in the ordinary course of business, consistent with past practices;</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Investments in the form of Swap Agreements permitted by Section 6.07;</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68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Investments of any Person existing at the time such Person becomes a Subsidiary of a Borrower or consolidates or merges with a Borrower or any of the Subsidiaries (including in connection with a permitted acquisition) so long as such investments were not made in contemplation of such Person becoming a Subsidiary or of such merger;</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Investments received in connection with the disposition of assets permitted by Section 6.05;</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Investments constituting deposits described in clauses (c) and (d) of the definition of the term “Permitted Encumbrances”;</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99" w:lineRule="exact"/>
        <w:rPr>
          <w:rFonts w:ascii="Arial" w:cs="Arial" w:eastAsia="Arial" w:hAnsi="Arial"/>
          <w:sz w:val="18"/>
          <w:szCs w:val="18"/>
          <w:color w:val="auto"/>
        </w:rPr>
      </w:pPr>
    </w:p>
    <w:p>
      <w:pPr>
        <w:jc w:val="both"/>
        <w:ind w:left="660" w:firstLine="645"/>
        <w:spacing w:after="0" w:line="257" w:lineRule="auto"/>
        <w:tabs>
          <w:tab w:leader="none" w:pos="181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other Investments and Permitted Acquisitions, subject to the satisfaction of the Payment Condition, provided that the aggregate amount of all such Investments and Permitted Acquisitions in respect of Persons that are not Loan Parties shall not exceed $5,000,000; provided further that with respect to Investments by Holdings in the Borrowers and by the Borrowers and the Subsidiaries in Equity Interests in their respective Subsidiaries, such Equity Interests held by a Loan Party shall be pledged pursuant to the Security Agreement (subject to the limitations applicable to Equity Interests of a Foreign Subsidiary referred to in Section 5.14) and with respect to Investments in the form of loans or advances made by any Loan Party to any Subsidiary and made by any Subsidiary to a Loan Party or any other Subsidiary, such loans and advances made by a Loan Party shall be evidenced by a promissory note pledged pursuant to the Security Agreement.</w:t>
      </w:r>
    </w:p>
    <w:p>
      <w:pPr>
        <w:spacing w:after="0" w:line="18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Asset Sales.</w:t>
      </w:r>
      <w:r>
        <w:rPr>
          <w:rFonts w:ascii="Arial" w:cs="Arial" w:eastAsia="Arial" w:hAnsi="Arial"/>
          <w:sz w:val="20"/>
          <w:szCs w:val="20"/>
          <w:color w:val="auto"/>
        </w:rPr>
        <w:t xml:space="preserve"> No Loan Party will, nor will it permit any Subsidiary to, sell, transfer, lease or otherwise dispose of any asset, including any Equity Interest owned by it, nor will any Borrower permit any Subsidiary</w:t>
      </w:r>
    </w:p>
    <w:p>
      <w:pPr>
        <w:sectPr>
          <w:pgSz w:w="11900" w:h="16838" w:orient="portrait"/>
          <w:cols w:equalWidth="0" w:num="1">
            <w:col w:w="11420"/>
          </w:cols>
          <w:pgMar w:left="240" w:top="798" w:right="2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to issue any additional Equity Interest in such Subsidiary (other than to another Borrower or another Subsidiary in compliance with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Section 6.04), except:</w:t>
      </w:r>
    </w:p>
    <w:p>
      <w:pPr>
        <w:spacing w:after="0" w:line="200" w:lineRule="exact"/>
        <w:rPr>
          <w:sz w:val="20"/>
          <w:szCs w:val="20"/>
          <w:color w:val="auto"/>
        </w:rPr>
      </w:pPr>
    </w:p>
    <w:p>
      <w:pPr>
        <w:ind w:left="660" w:firstLine="645"/>
        <w:spacing w:after="0" w:line="260" w:lineRule="auto"/>
        <w:tabs>
          <w:tab w:leader="none" w:pos="177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sales, transfers and dispositions of (i) Inventory in the ordinary course of business and (ii) used, obsolete, worn out or surplus equipment or property in the ordinary course of business;</w:t>
      </w:r>
    </w:p>
    <w:p>
      <w:pPr>
        <w:spacing w:after="0" w:line="176" w:lineRule="exact"/>
        <w:rPr>
          <w:rFonts w:ascii="Arial" w:cs="Arial" w:eastAsia="Arial" w:hAnsi="Arial"/>
          <w:sz w:val="20"/>
          <w:szCs w:val="20"/>
          <w:color w:val="auto"/>
        </w:rPr>
      </w:pPr>
    </w:p>
    <w:p>
      <w:pPr>
        <w:ind w:left="660" w:firstLine="645"/>
        <w:spacing w:after="0" w:line="260" w:lineRule="auto"/>
        <w:tabs>
          <w:tab w:leader="none" w:pos="178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sales, transfers and dispositions of assets to any Borrower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sales, transfers or dispositions involving a Subsidiary that is not a Loan Party shall be made in compliance with Section 6.09;</w:t>
      </w:r>
    </w:p>
    <w:p>
      <w:pPr>
        <w:spacing w:after="0" w:line="176" w:lineRule="exact"/>
        <w:rPr>
          <w:rFonts w:ascii="Arial" w:cs="Arial" w:eastAsia="Arial" w:hAnsi="Arial"/>
          <w:sz w:val="20"/>
          <w:szCs w:val="20"/>
          <w:color w:val="auto"/>
        </w:rPr>
      </w:pPr>
    </w:p>
    <w:p>
      <w:pPr>
        <w:ind w:left="660" w:firstLine="645"/>
        <w:spacing w:after="0" w:line="260" w:lineRule="auto"/>
        <w:tabs>
          <w:tab w:leader="none" w:pos="1722"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sales, transfers and dispositions of Accounts and Credit Card Accounts in connection with the compromise, settlement or collection thereof;</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sales, transfers and dispositions of Permitted Investments and other Investments permitted by Section 6.04;</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Sale and Leaseback Transactions permitted by Section 6.06;</w:t>
      </w:r>
    </w:p>
    <w:p>
      <w:pPr>
        <w:spacing w:after="0" w:line="215" w:lineRule="exact"/>
        <w:rPr>
          <w:rFonts w:ascii="Arial" w:cs="Arial" w:eastAsia="Arial" w:hAnsi="Arial"/>
          <w:sz w:val="20"/>
          <w:szCs w:val="20"/>
          <w:color w:val="auto"/>
        </w:rPr>
      </w:pPr>
    </w:p>
    <w:p>
      <w:pPr>
        <w:ind w:left="660" w:firstLine="645"/>
        <w:spacing w:after="0" w:line="260" w:lineRule="auto"/>
        <w:tabs>
          <w:tab w:leader="none" w:pos="1713"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dispositions resulting from any casualty or other insured damage to, or any taking under power of eminent domain or by condemnation or similar proceeding of, any property or asset of any Borrower or any Subsidiary; and</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sales, transfers and other dispositions of assets (other than Equity Interests in a Subsidiary unless all Equity Interests in such Subsidiary are sold) that are not permitted by any other clause of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fair market value of all assets sold, transferred or otherwise disposed of in reliance upon this paragraph (g) shall not exceed $5,000,000 during any fiscal year of the Company;</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sales, transfers, leases and other dispositions permitted hereby (other than those permitted by paragraphs (b) and (f) above) shall be made for fair value and for at least 75% cash consideration.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xml:space="preserve">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except for any such sale of any fixed or capital assets by any Borrower or any Subsidiary that is made for cash consideration in an amount not less than the fair value of such fixed or capital asset and is consummated within 90 days after such Borrower or such Subsidiary acquires or completes the construction of such fixed or capital asset.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Swap Agreements</w:t>
      </w:r>
      <w:r>
        <w:rPr>
          <w:rFonts w:ascii="Arial" w:cs="Arial" w:eastAsia="Arial" w:hAnsi="Arial"/>
          <w:sz w:val="19"/>
          <w:szCs w:val="19"/>
          <w:color w:val="auto"/>
        </w:rPr>
        <w:t xml:space="preserve"> No Loan Party will, nor will it permit any Subsidiary to, enter into any Swap Agreement, except (a) Swap Agreements entered into to hedge or mitigate risks to which any Borrower or any Subsidiary has actual exposure (other than those in respect of Equity Interests of any Borrower or any of its Subsidiaries),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 xml:space="preserve"> (a) No Loan Party will, nor will it permit any Subsidiary to, declare or make, or agree to declare or make, directly or indirectly, any Restricted Payment, or incur any obligation (contingent or otherwise) to do so, except (i) each of Holdings and the Borrowers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and (iii) the Borrowers may make other Restricted Payments subject to the satisfaction of the Payment Condition.</w:t>
      </w:r>
    </w:p>
    <w:p>
      <w:pPr>
        <w:sectPr>
          <w:pgSz w:w="11900" w:h="16838" w:orient="portrait"/>
          <w:cols w:equalWidth="0" w:num="1">
            <w:col w:w="11420"/>
          </w:cols>
          <w:pgMar w:left="240" w:top="582" w:right="239" w:bottom="1440" w:gutter="0" w:footer="0" w:header="0"/>
        </w:sectPr>
      </w:pPr>
    </w:p>
    <w:bookmarkStart w:id="120" w:name="page121"/>
    <w:bookmarkEnd w:id="120"/>
    <w:p>
      <w:pPr>
        <w:jc w:val="both"/>
        <w:ind w:firstLine="656"/>
        <w:spacing w:after="0" w:line="263" w:lineRule="auto"/>
        <w:tabs>
          <w:tab w:leader="none" w:pos="111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6" w:lineRule="exact"/>
        <w:rPr>
          <w:rFonts w:ascii="Arial" w:cs="Arial" w:eastAsia="Arial" w:hAnsi="Arial"/>
          <w:sz w:val="19"/>
          <w:szCs w:val="19"/>
          <w:color w:val="auto"/>
        </w:rPr>
      </w:pPr>
    </w:p>
    <w:p>
      <w:pPr>
        <w:ind w:left="1680" w:hanging="375"/>
        <w:spacing w:after="0"/>
        <w:tabs>
          <w:tab w:leader="none" w:pos="168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payment of Indebtedness created under the Loan Documents;</w:t>
      </w:r>
    </w:p>
    <w:p>
      <w:pPr>
        <w:spacing w:after="0" w:line="215" w:lineRule="exact"/>
        <w:rPr>
          <w:rFonts w:ascii="Arial" w:cs="Arial" w:eastAsia="Arial" w:hAnsi="Arial"/>
          <w:sz w:val="20"/>
          <w:szCs w:val="20"/>
          <w:color w:val="auto"/>
        </w:rPr>
      </w:pPr>
    </w:p>
    <w:p>
      <w:pPr>
        <w:jc w:val="both"/>
        <w:ind w:left="660" w:firstLine="645"/>
        <w:spacing w:after="0" w:line="269" w:lineRule="auto"/>
        <w:tabs>
          <w:tab w:leader="none" w:pos="173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payment of regularly scheduled interest and principal payments as and when due in respect of any Indebtedness permitted under Section 6.01 (other than payments in respect of the Subordinated Indebtedness prohibited by the subordination provisions thereof) and payments in respect of Subordinated Indebtedness permitted by the subordination provisions thereof;</w:t>
      </w:r>
    </w:p>
    <w:p>
      <w:pPr>
        <w:spacing w:after="0" w:line="170" w:lineRule="exact"/>
        <w:rPr>
          <w:rFonts w:ascii="Arial" w:cs="Arial" w:eastAsia="Arial" w:hAnsi="Arial"/>
          <w:sz w:val="19"/>
          <w:szCs w:val="19"/>
          <w:color w:val="auto"/>
        </w:rPr>
      </w:pPr>
    </w:p>
    <w:p>
      <w:pPr>
        <w:ind w:left="1780" w:hanging="475"/>
        <w:spacing w:after="0"/>
        <w:tabs>
          <w:tab w:leader="none" w:pos="178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refinancings of Indebtedness to the extent permitted by Section 6.01; and</w:t>
      </w:r>
    </w:p>
    <w:p>
      <w:pPr>
        <w:spacing w:after="0" w:line="215" w:lineRule="exact"/>
        <w:rPr>
          <w:rFonts w:ascii="Arial" w:cs="Arial" w:eastAsia="Arial" w:hAnsi="Arial"/>
          <w:sz w:val="20"/>
          <w:szCs w:val="20"/>
          <w:color w:val="auto"/>
        </w:rPr>
      </w:pPr>
    </w:p>
    <w:p>
      <w:pPr>
        <w:ind w:left="660" w:firstLine="645"/>
        <w:spacing w:after="0" w:line="287" w:lineRule="auto"/>
        <w:tabs>
          <w:tab w:leader="none" w:pos="181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1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w:t>
      </w:r>
    </w:p>
    <w:p>
      <w:pPr>
        <w:spacing w:after="0" w:line="3" w:lineRule="exact"/>
        <w:rPr>
          <w:sz w:val="20"/>
          <w:szCs w:val="20"/>
          <w:color w:val="auto"/>
        </w:rPr>
      </w:pPr>
    </w:p>
    <w:p>
      <w:pPr>
        <w:jc w:val="both"/>
        <w:ind w:firstLine="8"/>
        <w:spacing w:after="0" w:line="254" w:lineRule="auto"/>
        <w:tabs>
          <w:tab w:leader="none" w:pos="30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transactions between or among any Loan Parties not involving any other Affiliate, (c) any investment permitted by Sections 6.04(c) or 6.04(d), (d) any Indebtedness permitted under Section 6.01(c), (e) any Restricted Payment permitted by Section 6.08, (f) loans or advances to employees permitted under Section 6.04, (g) the payment of reasonable fees to directors of any Borrower or any Subsidiary who are not employees of such Borrower or Subsidiary, and compensation and employee benefit arrangements paid to, and indemnities provided for the benefit of, directors, officers or employees of the Borrowers or their Subsidiaries in the ordinary course of business, (h) any issuances of securities or other payments, awards or grants in cash, securities or otherwise pursuant to, or the funding of, employment agreements, stock options and stock ownership plans approved by a Borrower’s board of directors, and (i) other transactions with Affiliates subject to the satisfaction of the Payment Condition.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of its Equity Interests or to make or repay loans or advances to any Borrower or any other Subsidiary or to Guarantee Indebtedness of any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Amendment of Material Documents.</w:t>
      </w:r>
      <w:r>
        <w:rPr>
          <w:rFonts w:ascii="Arial" w:cs="Arial" w:eastAsia="Arial" w:hAnsi="Arial"/>
          <w:sz w:val="20"/>
          <w:szCs w:val="20"/>
          <w:color w:val="auto"/>
        </w:rPr>
        <w:t xml:space="preserve"> No Loan Party will, nor will it permit any Subsidiary to, amend, modify or waive any of its rights under (a) any agreement relating to any Subordinated Indebtedness, (b) its charter, articles or certificate of incorporation or organization, by-laws, operating, management or partnership agreement or other organizational or governing documents, or (c) any Material Agreement, to the extent any such</w:t>
      </w:r>
    </w:p>
    <w:p>
      <w:pPr>
        <w:sectPr>
          <w:pgSz w:w="11900" w:h="16838" w:orient="portrait"/>
          <w:cols w:equalWidth="0" w:num="1">
            <w:col w:w="11420"/>
          </w:cols>
          <w:pgMar w:left="240" w:top="582" w:right="2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amendment, modification or waiver would be adverse to the Lenders.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Financial Covenants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7" w:lineRule="auto"/>
        <w:tabs>
          <w:tab w:leader="none" w:pos="104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The Borrowers will not permit the Fixed Charge Coverage Ratio, as of the end of any fiscal month of Holdings, commencing with the fiscal month for which the Administrative Agent has received financial statements ending immediately preceding the date on which (i) there is an Event of Default, or (ii) the Borrowers’ Availability is less than the greater of (1) $7,500,000, and (2) 10% of the lesser of (x) the Aggregate Revolving Commitment, and (y) the Borrowing Base, to be less than 1.0 to 1.0. Once such covenant is in effect, compliance with the covenant will be discontinued on the day immediately succeeding the last day of the fiscal month which includes the 60th consecutive day on which the Borrowers’ Availability remains in excess of 10% of the Revolving Commitment, provided that (A) no Default shall have occurred and be continuing as of such day and (B) such covenant may not be discontinued pursuant to this sentence more than 5 times during the term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ind w:left="5000"/>
        <w:spacing w:after="0"/>
        <w:rPr>
          <w:sz w:val="20"/>
          <w:szCs w:val="20"/>
          <w:color w:val="auto"/>
        </w:rPr>
      </w:pPr>
      <w:r>
        <w:rPr>
          <w:rFonts w:ascii="Arial" w:cs="Arial" w:eastAsia="Arial" w:hAnsi="Arial"/>
          <w:sz w:val="20"/>
          <w:szCs w:val="20"/>
          <w:u w:val="single" w:color="auto"/>
          <w:color w:val="auto"/>
        </w:rPr>
        <w:t>Events of Default.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u w:val="single" w:color="auto"/>
          <w:color w:val="auto"/>
        </w:rPr>
        <w:t>Events of Default</w:t>
      </w:r>
      <w:r>
        <w:rPr>
          <w:rFonts w:ascii="Arial" w:cs="Arial" w:eastAsia="Arial" w:hAnsi="Arial"/>
          <w:sz w:val="20"/>
          <w:szCs w:val="20"/>
          <w:color w:val="auto"/>
        </w:rPr>
        <w:t>”) shall occur:</w:t>
      </w:r>
    </w:p>
    <w:p>
      <w:pPr>
        <w:spacing w:after="0" w:line="216" w:lineRule="exact"/>
        <w:rPr>
          <w:sz w:val="20"/>
          <w:szCs w:val="20"/>
          <w:color w:val="auto"/>
        </w:rPr>
      </w:pPr>
    </w:p>
    <w:p>
      <w:pPr>
        <w:ind w:firstLine="656"/>
        <w:spacing w:after="0" w:line="316" w:lineRule="auto"/>
        <w:tabs>
          <w:tab w:leader="none" w:pos="111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30" w:lineRule="exact"/>
        <w:rPr>
          <w:rFonts w:ascii="Arial" w:cs="Arial" w:eastAsia="Arial" w:hAnsi="Arial"/>
          <w:sz w:val="18"/>
          <w:szCs w:val="18"/>
          <w:color w:val="auto"/>
        </w:rPr>
      </w:pPr>
    </w:p>
    <w:p>
      <w:pPr>
        <w:ind w:left="1060" w:hanging="404"/>
        <w:spacing w:after="0"/>
        <w:tabs>
          <w:tab w:leader="none" w:pos="10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Borrowers shall fail to pay any interest on any Loan or any fee or any other amount (other than an amount referred to in clause</w:t>
      </w:r>
    </w:p>
    <w:p>
      <w:pPr>
        <w:spacing w:after="0" w:line="38" w:lineRule="exact"/>
        <w:rPr>
          <w:rFonts w:ascii="Arial" w:cs="Arial" w:eastAsia="Arial" w:hAnsi="Arial"/>
          <w:sz w:val="18"/>
          <w:szCs w:val="18"/>
          <w:color w:val="auto"/>
        </w:rPr>
      </w:pPr>
    </w:p>
    <w:p>
      <w:pPr>
        <w:ind w:firstLine="8"/>
        <w:spacing w:after="0" w:line="244" w:lineRule="auto"/>
        <w:tabs>
          <w:tab w:leader="none" w:pos="27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of this Article) payable under this Agreement or any other Loan Document, when and as the same shall become due and payable, and such failure shall continue unremedied for a period of five (5) days;</w:t>
      </w:r>
    </w:p>
    <w:p>
      <w:pPr>
        <w:spacing w:after="0" w:line="191" w:lineRule="exact"/>
        <w:rPr>
          <w:rFonts w:ascii="Arial" w:cs="Arial" w:eastAsia="Arial" w:hAnsi="Arial"/>
          <w:sz w:val="20"/>
          <w:szCs w:val="20"/>
          <w:color w:val="auto"/>
        </w:rPr>
      </w:pPr>
    </w:p>
    <w:p>
      <w:pPr>
        <w:jc w:val="both"/>
        <w:ind w:firstLine="656"/>
        <w:spacing w:after="0" w:line="244" w:lineRule="auto"/>
        <w:tabs>
          <w:tab w:leader="none" w:pos="1088"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94" w:lineRule="exact"/>
        <w:rPr>
          <w:rFonts w:ascii="Arial" w:cs="Arial" w:eastAsia="Arial" w:hAnsi="Arial"/>
          <w:sz w:val="20"/>
          <w:szCs w:val="20"/>
          <w:color w:val="auto"/>
        </w:rPr>
      </w:pPr>
    </w:p>
    <w:p>
      <w:pPr>
        <w:ind w:firstLine="656"/>
        <w:spacing w:after="0" w:line="260" w:lineRule="auto"/>
        <w:tabs>
          <w:tab w:leader="none" w:pos="1126"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 contained in Section 5.02(a), 5.03 (with respect to a Loan Party’s existence) or 5.08 or in Article VI;</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115"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 contained in this Agreement (other than those which constitute a default under another Section of this Article),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5.03 through 5.07, 5.10, 5.11 or 5.13 of this Agreement or (ii) 15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93" w:lineRule="exact"/>
        <w:rPr>
          <w:rFonts w:ascii="Arial" w:cs="Arial" w:eastAsia="Arial" w:hAnsi="Arial"/>
          <w:sz w:val="20"/>
          <w:szCs w:val="20"/>
          <w:color w:val="auto"/>
        </w:rPr>
      </w:pPr>
    </w:p>
    <w:p>
      <w:pPr>
        <w:ind w:firstLine="656"/>
        <w:spacing w:after="0" w:line="260" w:lineRule="auto"/>
        <w:tabs>
          <w:tab w:leader="none" w:pos="104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Loan Party or Subsidiary shall fail to make any payment (whether of principal or interest and regardless of amount) in respect of any Material Indebtedness, when and as the same shall become due and payable;</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53"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w:t>
      </w:r>
    </w:p>
    <w:p>
      <w:pPr>
        <w:sectPr>
          <w:pgSz w:w="11900" w:h="16838" w:orient="portrait"/>
          <w:cols w:equalWidth="0" w:num="1">
            <w:col w:w="11420"/>
          </w:cols>
          <w:pgMar w:left="240" w:top="582" w:right="239" w:bottom="1440" w:gutter="0" w:footer="0" w:header="0"/>
        </w:sectPr>
      </w:pPr>
    </w:p>
    <w:bookmarkStart w:id="122" w:name="page123"/>
    <w:bookmarkEnd w:id="122"/>
    <w:p>
      <w:pPr>
        <w:jc w:val="both"/>
        <w:spacing w:after="0" w:line="250" w:lineRule="auto"/>
        <w:rPr>
          <w:sz w:val="20"/>
          <w:szCs w:val="20"/>
          <w:color w:val="auto"/>
        </w:rPr>
      </w:pPr>
      <w:r>
        <w:rPr>
          <w:rFonts w:ascii="Arial" w:cs="Arial" w:eastAsia="Arial" w:hAnsi="Arial"/>
          <w:sz w:val="20"/>
          <w:szCs w:val="20"/>
          <w:color w:val="auto"/>
        </w:rPr>
        <w:t xml:space="preserve">to become due, or to require the prepayment, repurchase, redemption or defeasance thereof, prior to its scheduled maturity;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w:t>
      </w:r>
    </w:p>
    <w:p>
      <w:pPr>
        <w:spacing w:after="0" w:line="186" w:lineRule="exact"/>
        <w:rPr>
          <w:sz w:val="20"/>
          <w:szCs w:val="20"/>
          <w:color w:val="auto"/>
        </w:rPr>
      </w:pPr>
    </w:p>
    <w:p>
      <w:pPr>
        <w:jc w:val="both"/>
        <w:ind w:firstLine="656"/>
        <w:spacing w:after="0" w:line="243" w:lineRule="auto"/>
        <w:tabs>
          <w:tab w:leader="none" w:pos="1099" w:val="left"/>
        </w:tabs>
        <w:numPr>
          <w:ilvl w:val="1"/>
          <w:numId w:val="148"/>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Subsidiary or for a substantial part of its assets, and, in any such case, such proceeding or petition shall continue undismissed for sixty (60) days or an order or decree approving or ordering any of the foregoing shall be entered;</w:t>
      </w:r>
    </w:p>
    <w:p>
      <w:pPr>
        <w:spacing w:after="0" w:line="196" w:lineRule="exact"/>
        <w:rPr>
          <w:rFonts w:ascii="Arial" w:cs="Arial" w:eastAsia="Arial" w:hAnsi="Arial"/>
          <w:sz w:val="20"/>
          <w:szCs w:val="20"/>
          <w:color w:val="auto"/>
        </w:rPr>
      </w:pPr>
    </w:p>
    <w:p>
      <w:pPr>
        <w:jc w:val="both"/>
        <w:ind w:firstLine="656"/>
        <w:spacing w:after="0" w:line="272" w:lineRule="auto"/>
        <w:tabs>
          <w:tab w:leader="none" w:pos="101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Loan Party or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w:t>
      </w:r>
    </w:p>
    <w:p>
      <w:pPr>
        <w:spacing w:after="0" w:line="1" w:lineRule="exact"/>
        <w:rPr>
          <w:rFonts w:ascii="Arial" w:cs="Arial" w:eastAsia="Arial" w:hAnsi="Arial"/>
          <w:sz w:val="18"/>
          <w:szCs w:val="18"/>
          <w:color w:val="auto"/>
        </w:rPr>
      </w:pPr>
    </w:p>
    <w:p>
      <w:pPr>
        <w:jc w:val="both"/>
        <w:ind w:firstLine="8"/>
        <w:spacing w:after="0" w:line="282" w:lineRule="auto"/>
        <w:tabs>
          <w:tab w:leader="none" w:pos="35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trustee, custodian, sequestrator, conservator or similar official for such Loan Party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9" w:lineRule="exact"/>
        <w:rPr>
          <w:rFonts w:ascii="Arial" w:cs="Arial" w:eastAsia="Arial" w:hAnsi="Arial"/>
          <w:sz w:val="18"/>
          <w:szCs w:val="18"/>
          <w:color w:val="auto"/>
        </w:rPr>
      </w:pPr>
    </w:p>
    <w:p>
      <w:pPr>
        <w:ind w:firstLine="656"/>
        <w:spacing w:after="0" w:line="260" w:lineRule="auto"/>
        <w:tabs>
          <w:tab w:leader="none" w:pos="108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Loan Party or Subsidiary shall become unable, admit in writing its inability, or publicly declare its intention not to, or fail generally to pay its debts as they become due;</w:t>
      </w:r>
    </w:p>
    <w:p>
      <w:pPr>
        <w:spacing w:after="0" w:line="176" w:lineRule="exact"/>
        <w:rPr>
          <w:rFonts w:ascii="Arial" w:cs="Arial" w:eastAsia="Arial" w:hAnsi="Arial"/>
          <w:sz w:val="20"/>
          <w:szCs w:val="20"/>
          <w:color w:val="auto"/>
        </w:rPr>
      </w:pPr>
    </w:p>
    <w:p>
      <w:pPr>
        <w:jc w:val="both"/>
        <w:ind w:firstLine="656"/>
        <w:spacing w:after="0" w:line="258" w:lineRule="auto"/>
        <w:tabs>
          <w:tab w:leader="none" w:pos="108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 one or more judgments for the payment of money in an aggregate amount in excess of $10,000,000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79" w:lineRule="exact"/>
        <w:rPr>
          <w:rFonts w:ascii="Arial" w:cs="Arial" w:eastAsia="Arial" w:hAnsi="Arial"/>
          <w:sz w:val="19"/>
          <w:szCs w:val="19"/>
          <w:color w:val="auto"/>
        </w:rPr>
      </w:pPr>
    </w:p>
    <w:p>
      <w:pPr>
        <w:ind w:firstLine="656"/>
        <w:spacing w:after="0" w:line="260" w:lineRule="auto"/>
        <w:tabs>
          <w:tab w:leader="none" w:pos="1096"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76" w:lineRule="exact"/>
        <w:rPr>
          <w:rFonts w:ascii="Arial" w:cs="Arial" w:eastAsia="Arial" w:hAnsi="Arial"/>
          <w:sz w:val="20"/>
          <w:szCs w:val="20"/>
          <w:color w:val="auto"/>
        </w:rPr>
      </w:pPr>
    </w:p>
    <w:p>
      <w:pPr>
        <w:ind w:left="1780" w:hanging="475"/>
        <w:spacing w:after="0"/>
        <w:tabs>
          <w:tab w:leader="none" w:pos="1780" w:val="left"/>
        </w:tabs>
        <w:numPr>
          <w:ilvl w:val="2"/>
          <w:numId w:val="149"/>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216" w:lineRule="exact"/>
        <w:rPr>
          <w:sz w:val="20"/>
          <w:szCs w:val="20"/>
          <w:color w:val="auto"/>
        </w:rPr>
      </w:pPr>
    </w:p>
    <w:p>
      <w:pPr>
        <w:jc w:val="both"/>
        <w:ind w:firstLine="656"/>
        <w:spacing w:after="0" w:line="316" w:lineRule="auto"/>
        <w:tabs>
          <w:tab w:leader="none" w:pos="105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30" w:lineRule="exact"/>
        <w:rPr>
          <w:rFonts w:ascii="Arial" w:cs="Arial" w:eastAsia="Arial" w:hAnsi="Arial"/>
          <w:sz w:val="18"/>
          <w:szCs w:val="18"/>
          <w:color w:val="auto"/>
        </w:rPr>
      </w:pPr>
    </w:p>
    <w:p>
      <w:pPr>
        <w:jc w:val="both"/>
        <w:ind w:firstLine="656"/>
        <w:spacing w:after="0" w:line="243" w:lineRule="auto"/>
        <w:tabs>
          <w:tab w:leader="none" w:pos="105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Loan Guaranty or any Obligation Guaranty shall fail to remain in full force or effect or any action shall be taken to discontinue or to assert the invalidity or unenforceability of the Loan Guaranty or any Obligation Guaranty, or any Guarantor shall fail to comply with any of the terms or provisions of the Loan Guaranty or any Obligation Guaranty to which it is a party, or any Guarantor shall deny that it has any further liability under the Loan Guaranty or any Obligation Guaranty to which it is a party, or shall give notice to such effect, including, but not limited to notice of termination delivered pursuant to Section 10.08 or any notice of termination delivered pursuant to the terms of any Obligation Guaranty;</w:t>
      </w:r>
    </w:p>
    <w:p>
      <w:pPr>
        <w:spacing w:after="0" w:line="196" w:lineRule="exact"/>
        <w:rPr>
          <w:rFonts w:ascii="Arial" w:cs="Arial" w:eastAsia="Arial" w:hAnsi="Arial"/>
          <w:sz w:val="20"/>
          <w:szCs w:val="20"/>
          <w:color w:val="auto"/>
        </w:rPr>
      </w:pPr>
    </w:p>
    <w:p>
      <w:pPr>
        <w:jc w:val="both"/>
        <w:ind w:firstLine="656"/>
        <w:spacing w:after="0" w:line="250" w:lineRule="auto"/>
        <w:tabs>
          <w:tab w:leader="none" w:pos="112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ectPr>
          <w:pgSz w:w="11900" w:h="16838" w:orient="portrait"/>
          <w:cols w:equalWidth="0" w:num="1">
            <w:col w:w="11420"/>
          </w:cols>
          <w:pgMar w:left="240" w:top="582" w:right="239" w:bottom="1440" w:gutter="0" w:footer="0" w:header="0"/>
        </w:sectPr>
      </w:pPr>
    </w:p>
    <w:bookmarkStart w:id="123" w:name="page124"/>
    <w:bookmarkEnd w:id="123"/>
    <w:p>
      <w:pPr>
        <w:ind w:firstLine="656"/>
        <w:spacing w:after="0" w:line="260" w:lineRule="auto"/>
        <w:tabs>
          <w:tab w:leader="none" w:pos="112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Collateral Document shall fail to remain in full force or effect or any action shall be taken to discontinue or to assert the invalidity or unenforceability of any Collateral Document;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067"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spacing w:after="0" w:line="191" w:lineRule="exact"/>
        <w:rPr>
          <w:rFonts w:ascii="Arial" w:cs="Arial" w:eastAsia="Arial" w:hAnsi="Arial"/>
          <w:sz w:val="20"/>
          <w:szCs w:val="20"/>
          <w:color w:val="auto"/>
        </w:rPr>
      </w:pPr>
    </w:p>
    <w:p>
      <w:pPr>
        <w:ind w:firstLine="656"/>
        <w:spacing w:after="0" w:line="260" w:lineRule="auto"/>
        <w:tabs>
          <w:tab w:leader="none" w:pos="1078"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Loan Party is criminally indicted or convicted under any law that may reasonably be expected to lead to a forfeiture of any property of such Loan Party having a fair market value in excess of $10,000,000;</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then, and in every such event (other than an event with respect to the Borrowers described in clause (h) or (i) of this Article), and at any time thereafter during the continuance of such event, the Administrative Agent may, and at the request of the Required Lenders shall, by notice to the Borrower Representative, take any or all of the following actions, at the same or different times: (i) terminate the Commitments,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and other obligations of the Borrowers accrued hereunder, shall become due and payable immediately, in each case without presentment, demand, protest or other notice of any kind, all of which are hereby waived by the Borrowers, and (iii) require cash collateral for the LC Exposure in accordance with Section 2.06(j) hereof; and in the case of any event with respect to the Borrowers described in clause (h) or (i) of this Article, the Commitments shall automatically terminate and the principal of the Loans then outstanding and the cash collateral for the LC Exposure, together with accrued interest thereon and all fees and other obligations of the Borrowers accrued hereunder,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Administrative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u w:val="single" w:color="auto"/>
          <w:color w:val="auto"/>
        </w:rPr>
        <w:t>Authorization and Action</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1" w:lineRule="auto"/>
        <w:tabs>
          <w:tab w:leader="none" w:pos="92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Lender, on behalf of itself and any of its Affiliates that are Secured Parties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such Issuing Bank’s behalf. Without limiting the foregoing, each Lender and the Issuing Bank hereby authorizes the Administrative Agent to execute and deliver, and to perform its obligations under, each of the Loan Documents to which the Administrative Agent is a party, to exercise all rights, powers and remedies that the Administrative Agent may have under such Loan Documents.</w:t>
      </w:r>
    </w:p>
    <w:p>
      <w:pPr>
        <w:spacing w:after="0" w:line="174" w:lineRule="exact"/>
        <w:rPr>
          <w:rFonts w:ascii="Arial" w:cs="Arial" w:eastAsia="Arial" w:hAnsi="Arial"/>
          <w:sz w:val="18"/>
          <w:szCs w:val="18"/>
          <w:color w:val="auto"/>
        </w:rPr>
      </w:pPr>
    </w:p>
    <w:p>
      <w:pPr>
        <w:ind w:firstLine="656"/>
        <w:spacing w:after="0" w:line="260" w:lineRule="auto"/>
        <w:tabs>
          <w:tab w:leader="none" w:pos="113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As to any matters not expressly provided for herein and in the other Loan Documents (including enforcement or collection), the Administrative Agent shall not be required to exercise any discretion or take any action,</w:t>
      </w:r>
    </w:p>
    <w:p>
      <w:pPr>
        <w:sectPr>
          <w:pgSz w:w="11900" w:h="16838" w:orient="portrait"/>
          <w:cols w:equalWidth="0" w:num="1">
            <w:col w:w="11420"/>
          </w:cols>
          <w:pgMar w:left="240" w:top="798" w:right="239" w:bottom="1440" w:gutter="0" w:footer="0" w:header="0"/>
        </w:sectPr>
      </w:pPr>
    </w:p>
    <w:bookmarkStart w:id="124" w:name="page125"/>
    <w:bookmarkEnd w:id="124"/>
    <w:p>
      <w:pPr>
        <w:jc w:val="both"/>
        <w:spacing w:after="0" w:line="269" w:lineRule="auto"/>
        <w:rPr>
          <w:sz w:val="20"/>
          <w:szCs w:val="20"/>
          <w:color w:val="auto"/>
        </w:rPr>
      </w:pPr>
      <w:r>
        <w:rPr>
          <w:rFonts w:ascii="Arial" w:cs="Arial" w:eastAsia="Arial" w:hAnsi="Arial"/>
          <w:sz w:val="18"/>
          <w:szCs w:val="18"/>
          <w:color w:val="auto"/>
        </w:rPr>
        <w:t>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provided, however, that the Administrative Agent shall not be required to take any action that (i) the Administrative Agent in good faith believes exposes it to liability unless the Administrative Agent receives an indemnification satisfactory to it from the Lenders and the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8" w:lineRule="exact"/>
        <w:rPr>
          <w:sz w:val="20"/>
          <w:szCs w:val="20"/>
          <w:color w:val="auto"/>
        </w:rPr>
      </w:pPr>
    </w:p>
    <w:p>
      <w:pPr>
        <w:ind w:right="3000" w:firstLine="656"/>
        <w:spacing w:after="0" w:line="282" w:lineRule="auto"/>
        <w:tabs>
          <w:tab w:leader="none" w:pos="10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Without limiting the generality of the foregoing:</w:t>
      </w:r>
    </w:p>
    <w:p>
      <w:pPr>
        <w:spacing w:after="0" w:line="161" w:lineRule="exact"/>
        <w:rPr>
          <w:rFonts w:ascii="Arial" w:cs="Arial" w:eastAsia="Arial" w:hAnsi="Arial"/>
          <w:sz w:val="18"/>
          <w:szCs w:val="18"/>
          <w:color w:val="auto"/>
        </w:rPr>
      </w:pPr>
    </w:p>
    <w:p>
      <w:pPr>
        <w:jc w:val="both"/>
        <w:ind w:left="1300" w:firstLine="653"/>
        <w:spacing w:after="0" w:line="256" w:lineRule="auto"/>
        <w:tabs>
          <w:tab w:leader="none" w:pos="2315"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Administrative Agent does not assume and shall not be deemed to have assumed any obligation or duty or any other relationship as the agent, fiduciary or trustee of or for any Lender, Issuing Bank or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w:t>
      </w:r>
    </w:p>
    <w:p>
      <w:pPr>
        <w:spacing w:after="0" w:line="181" w:lineRule="exact"/>
        <w:rPr>
          <w:rFonts w:ascii="Arial" w:cs="Arial" w:eastAsia="Arial" w:hAnsi="Arial"/>
          <w:sz w:val="19"/>
          <w:szCs w:val="19"/>
          <w:color w:val="auto"/>
        </w:rPr>
      </w:pPr>
    </w:p>
    <w:p>
      <w:pPr>
        <w:ind w:left="1300" w:right="20" w:firstLine="653"/>
        <w:spacing w:after="0" w:line="260" w:lineRule="auto"/>
        <w:tabs>
          <w:tab w:leader="none" w:pos="2478" w:val="left"/>
        </w:tabs>
        <w:numPr>
          <w:ilvl w:val="1"/>
          <w:numId w:val="153"/>
        </w:numPr>
        <w:rPr>
          <w:rFonts w:ascii="Arial" w:cs="Arial" w:eastAsia="Arial" w:hAnsi="Arial"/>
          <w:sz w:val="20"/>
          <w:szCs w:val="20"/>
          <w:color w:val="auto"/>
        </w:rPr>
      </w:pPr>
      <w:r>
        <w:rPr>
          <w:rFonts w:ascii="Arial" w:cs="Arial" w:eastAsia="Arial" w:hAnsi="Arial"/>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77" w:lineRule="exact"/>
        <w:rPr>
          <w:sz w:val="20"/>
          <w:szCs w:val="20"/>
          <w:color w:val="auto"/>
        </w:rPr>
      </w:pPr>
    </w:p>
    <w:p>
      <w:pPr>
        <w:ind w:left="1760" w:hanging="455"/>
        <w:spacing w:after="0"/>
        <w:tabs>
          <w:tab w:leader="none" w:pos="176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Administrative Agent may perform any of its duties and exercise its rights and powers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w:t>
      </w:r>
    </w:p>
    <w:p>
      <w:pPr>
        <w:spacing w:after="0" w:line="197" w:lineRule="exact"/>
        <w:rPr>
          <w:sz w:val="20"/>
          <w:szCs w:val="20"/>
          <w:color w:val="auto"/>
        </w:rPr>
      </w:pPr>
    </w:p>
    <w:p>
      <w:pPr>
        <w:ind w:left="1760" w:hanging="455"/>
        <w:spacing w:after="0"/>
        <w:tabs>
          <w:tab w:leader="none" w:pos="17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None of any Syndication Agent, any Co-Documentation Agent or any Arranger shall have</w:t>
      </w:r>
    </w:p>
    <w:p>
      <w:pPr>
        <w:sectPr>
          <w:pgSz w:w="11900" w:h="16838" w:orient="portrait"/>
          <w:cols w:equalWidth="0" w:num="1">
            <w:col w:w="11420"/>
          </w:cols>
          <w:pgMar w:left="240" w:top="582" w:right="239" w:bottom="1440" w:gutter="0" w:footer="0" w:header="0"/>
        </w:sectPr>
      </w:pPr>
    </w:p>
    <w:bookmarkStart w:id="125" w:name="page126"/>
    <w:bookmarkEnd w:id="125"/>
    <w:p>
      <w:pPr>
        <w:spacing w:after="0" w:line="260" w:lineRule="auto"/>
        <w:rPr>
          <w:sz w:val="20"/>
          <w:szCs w:val="20"/>
          <w:color w:val="auto"/>
        </w:rPr>
      </w:pPr>
      <w:r>
        <w:rPr>
          <w:rFonts w:ascii="Arial" w:cs="Arial" w:eastAsia="Arial" w:hAnsi="Arial"/>
          <w:sz w:val="20"/>
          <w:szCs w:val="20"/>
          <w:color w:val="auto"/>
        </w:rPr>
        <w:t>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7" w:lineRule="exact"/>
        <w:rPr>
          <w:sz w:val="20"/>
          <w:szCs w:val="20"/>
          <w:color w:val="auto"/>
        </w:rPr>
      </w:pPr>
    </w:p>
    <w:p>
      <w:pPr>
        <w:jc w:val="both"/>
        <w:ind w:firstLine="656"/>
        <w:spacing w:after="0" w:line="244" w:lineRule="auto"/>
        <w:tabs>
          <w:tab w:leader="none" w:pos="89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94" w:lineRule="exact"/>
        <w:rPr>
          <w:rFonts w:ascii="Arial" w:cs="Arial" w:eastAsia="Arial" w:hAnsi="Arial"/>
          <w:sz w:val="20"/>
          <w:szCs w:val="20"/>
          <w:color w:val="auto"/>
        </w:rPr>
      </w:pPr>
    </w:p>
    <w:p>
      <w:pPr>
        <w:jc w:val="both"/>
        <w:ind w:left="1300" w:firstLine="653"/>
        <w:spacing w:after="0" w:line="263" w:lineRule="auto"/>
        <w:tabs>
          <w:tab w:leader="none" w:pos="246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Sections 2.12, 2.13, 2.15, 2.17 and 9.03) allowed in such judicial proceeding; and</w:t>
      </w:r>
    </w:p>
    <w:p>
      <w:pPr>
        <w:spacing w:after="0" w:line="176" w:lineRule="exact"/>
        <w:rPr>
          <w:rFonts w:ascii="Arial" w:cs="Arial" w:eastAsia="Arial" w:hAnsi="Arial"/>
          <w:sz w:val="19"/>
          <w:szCs w:val="19"/>
          <w:color w:val="auto"/>
        </w:rPr>
      </w:pPr>
    </w:p>
    <w:p>
      <w:pPr>
        <w:ind w:left="2460" w:hanging="507"/>
        <w:spacing w:after="0"/>
        <w:tabs>
          <w:tab w:leader="none" w:pos="24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the same;</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provisions of this Article are solely for the benefit of the Administrative Agent, the Lenders and the Issuing Bank,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Administrative Agent’s Reliance, Indemnification, Etc.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Neither the Administrative Agent nor any of its Related Parties shall be (i) liable for any action</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taken or omitted to be taken by it under or in connection with this Agreement or the other Loan Documents (x) with the consent of or at the request of the Required Lenders (or such other number or percentage of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w:t>
      </w:r>
    </w:p>
    <w:p>
      <w:pPr>
        <w:spacing w:after="0" w:line="187" w:lineRule="exact"/>
        <w:rPr>
          <w:sz w:val="20"/>
          <w:szCs w:val="20"/>
          <w:color w:val="auto"/>
        </w:rPr>
      </w:pPr>
    </w:p>
    <w:p>
      <w:pPr>
        <w:ind w:firstLine="656"/>
        <w:spacing w:after="0" w:line="260" w:lineRule="auto"/>
        <w:tabs>
          <w:tab w:leader="none" w:pos="92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Administrative Agent shall be deemed not to have knowledge of any Default unless and until written notice thereof (stating that it is a “notice of default”) is given to the Administrative Agent by the Borrower</w:t>
      </w:r>
    </w:p>
    <w:p>
      <w:pPr>
        <w:sectPr>
          <w:pgSz w:w="11900" w:h="16838" w:orient="portrait"/>
          <w:cols w:equalWidth="0" w:num="1">
            <w:col w:w="11420"/>
          </w:cols>
          <w:pgMar w:left="240" w:top="582" w:right="239" w:bottom="1440" w:gutter="0" w:footer="0" w:header="0"/>
        </w:sectPr>
      </w:pPr>
    </w:p>
    <w:bookmarkStart w:id="126" w:name="page127"/>
    <w:bookmarkEnd w:id="126"/>
    <w:p>
      <w:pPr>
        <w:jc w:val="both"/>
        <w:spacing w:after="0" w:line="273" w:lineRule="auto"/>
        <w:rPr>
          <w:sz w:val="20"/>
          <w:szCs w:val="20"/>
          <w:color w:val="auto"/>
        </w:rPr>
      </w:pPr>
      <w:r>
        <w:rPr>
          <w:rFonts w:ascii="Arial" w:cs="Arial" w:eastAsia="Arial" w:hAnsi="Arial"/>
          <w:sz w:val="18"/>
          <w:szCs w:val="18"/>
          <w:color w:val="auto"/>
        </w:rPr>
        <w:t>Representative, a Lender or the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169" w:lineRule="exact"/>
        <w:rPr>
          <w:sz w:val="20"/>
          <w:szCs w:val="20"/>
          <w:color w:val="auto"/>
        </w:rPr>
      </w:pPr>
    </w:p>
    <w:p>
      <w:pPr>
        <w:jc w:val="both"/>
        <w:ind w:firstLine="656"/>
        <w:spacing w:after="0" w:line="270" w:lineRule="auto"/>
        <w:tabs>
          <w:tab w:leader="none" w:pos="9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Posting of Communications.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The Borrowers agree that the Administrative Agent may, but shall not be obligated to, make any</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Communications available to the Lenders and the Issuing Bank by posting the Communications on IntraLinks™, DebtDomain, SyndTrak, ClearPar or any other electronic system chosen by the Administrative Agent to be its electronic transmission system (the “Approved Electronic Platform”).</w:t>
      </w:r>
    </w:p>
    <w:p>
      <w:pPr>
        <w:spacing w:after="0" w:line="196" w:lineRule="exact"/>
        <w:rPr>
          <w:sz w:val="20"/>
          <w:szCs w:val="20"/>
          <w:color w:val="auto"/>
        </w:rPr>
      </w:pPr>
    </w:p>
    <w:p>
      <w:pPr>
        <w:ind w:right="20" w:firstLine="656"/>
        <w:spacing w:after="0" w:line="247" w:lineRule="auto"/>
        <w:tabs>
          <w:tab w:leader="none" w:pos="94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Although the Approved Electronic Platform and its primary web portal are secured with generally-applicable security procedures and policies implemented or modified by the Administrative Agent</w:t>
      </w:r>
    </w:p>
    <w:p>
      <w:pPr>
        <w:spacing w:after="0" w:line="1" w:lineRule="exact"/>
        <w:rPr>
          <w:rFonts w:ascii="Arial" w:cs="Arial" w:eastAsia="Arial" w:hAnsi="Arial"/>
          <w:sz w:val="20"/>
          <w:szCs w:val="20"/>
          <w:color w:val="auto"/>
        </w:rPr>
      </w:pPr>
    </w:p>
    <w:p>
      <w:pPr>
        <w:jc w:val="both"/>
        <w:spacing w:after="0" w:line="255" w:lineRule="auto"/>
        <w:rPr>
          <w:rFonts w:ascii="Arial" w:cs="Arial" w:eastAsia="Arial" w:hAnsi="Arial"/>
          <w:sz w:val="20"/>
          <w:szCs w:val="20"/>
          <w:color w:val="auto"/>
        </w:rPr>
      </w:pPr>
      <w:r>
        <w:rPr>
          <w:rFonts w:ascii="Arial" w:cs="Arial" w:eastAsia="Arial" w:hAnsi="Arial"/>
          <w:sz w:val="19"/>
          <w:szCs w:val="19"/>
          <w:color w:val="auto"/>
        </w:rPr>
        <w:t>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spacing w:after="0" w:line="182" w:lineRule="exact"/>
        <w:rPr>
          <w:rFonts w:ascii="Arial" w:cs="Arial" w:eastAsia="Arial" w:hAnsi="Arial"/>
          <w:sz w:val="20"/>
          <w:szCs w:val="20"/>
          <w:color w:val="auto"/>
        </w:rPr>
      </w:pPr>
    </w:p>
    <w:p>
      <w:pPr>
        <w:jc w:val="both"/>
        <w:ind w:firstLine="656"/>
        <w:spacing w:after="0" w:line="259" w:lineRule="auto"/>
        <w:tabs>
          <w:tab w:leader="none" w:pos="97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w:t>
      </w:r>
    </w:p>
    <w:p>
      <w:pPr>
        <w:sectPr>
          <w:pgSz w:w="11900" w:h="16838" w:orient="portrait"/>
          <w:cols w:equalWidth="0" w:num="1">
            <w:col w:w="11420"/>
          </w:cols>
          <w:pgMar w:left="240" w:top="582" w:right="239" w:bottom="1440" w:gutter="0" w:footer="0" w:header="0"/>
        </w:sectPr>
      </w:pPr>
    </w:p>
    <w:bookmarkStart w:id="127" w:name="page128"/>
    <w:bookmarkEnd w:id="127"/>
    <w:p>
      <w:pPr>
        <w:jc w:val="both"/>
        <w:spacing w:after="0" w:line="242" w:lineRule="auto"/>
        <w:rPr>
          <w:sz w:val="20"/>
          <w:szCs w:val="20"/>
          <w:color w:val="auto"/>
        </w:rPr>
      </w:pPr>
      <w:r>
        <w:rPr>
          <w:rFonts w:ascii="Arial" w:cs="Arial" w:eastAsia="Arial" w:hAnsi="Arial"/>
          <w:sz w:val="20"/>
          <w:szCs w:val="20"/>
          <w:color w:val="auto"/>
        </w:rPr>
        <w:t>VIRUSES OR OTHER CODE DEFECTS, IS MADE BY THE APPLICABLE PARTIES IN CONNECTION WITH THE COMMUNICATIONS OR THE APPROVED ELECTRONIC PLATFORM. IN NO EVENT SHALL THE ADMINISTRATIVE AGENT, THE ARRANGER, OR ANY OF THEIR RESPECTIVE RELATED PARTIES (COLLECTIVELY,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98"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spacing w:after="0" w:line="192" w:lineRule="exact"/>
        <w:rPr>
          <w:sz w:val="20"/>
          <w:szCs w:val="20"/>
          <w:color w:val="auto"/>
        </w:rPr>
      </w:pPr>
    </w:p>
    <w:p>
      <w:pPr>
        <w:jc w:val="both"/>
        <w:ind w:firstLine="656"/>
        <w:spacing w:after="0" w:line="260" w:lineRule="auto"/>
        <w:tabs>
          <w:tab w:leader="none" w:pos="93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0" w:lineRule="exact"/>
        <w:rPr>
          <w:rFonts w:ascii="Arial" w:cs="Arial" w:eastAsia="Arial" w:hAnsi="Arial"/>
          <w:sz w:val="19"/>
          <w:szCs w:val="19"/>
          <w:color w:val="auto"/>
        </w:rPr>
      </w:pPr>
    </w:p>
    <w:p>
      <w:pPr>
        <w:jc w:val="both"/>
        <w:ind w:right="20" w:firstLine="656"/>
        <w:spacing w:after="0" w:line="250" w:lineRule="auto"/>
        <w:tabs>
          <w:tab w:leader="none" w:pos="921" w:val="left"/>
        </w:tabs>
        <w:numPr>
          <w:ilvl w:val="0"/>
          <w:numId w:val="160"/>
        </w:numPr>
        <w:rPr>
          <w:rFonts w:ascii="Arial" w:cs="Arial" w:eastAsia="Arial" w:hAnsi="Arial"/>
          <w:sz w:val="20"/>
          <w:szCs w:val="20"/>
          <w:color w:val="auto"/>
        </w:rPr>
      </w:pPr>
      <w:r>
        <w:rPr>
          <w:rFonts w:ascii="Arial" w:cs="Arial" w:eastAsia="Arial" w:hAnsi="Arial"/>
          <w:sz w:val="20"/>
          <w:szCs w:val="20"/>
          <w:color w:val="auto"/>
        </w:rPr>
        <w:t>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6" w:lineRule="exact"/>
        <w:rPr>
          <w:rFonts w:ascii="Arial" w:cs="Arial" w:eastAsia="Arial" w:hAnsi="Arial"/>
          <w:sz w:val="20"/>
          <w:szCs w:val="20"/>
          <w:color w:val="auto"/>
        </w:rPr>
      </w:pPr>
    </w:p>
    <w:p>
      <w:pPr>
        <w:ind w:firstLine="656"/>
        <w:spacing w:after="0" w:line="260" w:lineRule="auto"/>
        <w:tabs>
          <w:tab w:leader="none" w:pos="928" w:val="left"/>
        </w:tabs>
        <w:numPr>
          <w:ilvl w:val="0"/>
          <w:numId w:val="160"/>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Reliance</w:t>
      </w:r>
      <w:r>
        <w:rPr>
          <w:rFonts w:ascii="Arial" w:cs="Arial" w:eastAsia="Arial" w:hAnsi="Arial"/>
          <w:sz w:val="20"/>
          <w:szCs w:val="20"/>
          <w:color w:val="auto"/>
        </w:rPr>
        <w:t>. The Administrative Agent Individually. With respect to its Commitment,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u w:val="single" w:color="auto"/>
          <w:color w:val="auto"/>
        </w:rPr>
        <w:t>Successor Administrative Agent</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6" w:lineRule="auto"/>
        <w:tabs>
          <w:tab w:leader="none" w:pos="1061"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Administrative Agent may resign at any time by giving 30 days’ prior written notice thereof to the Lenders, the Issuing Bank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w:t>
      </w:r>
    </w:p>
    <w:p>
      <w:pPr>
        <w:sectPr>
          <w:pgSz w:w="11900" w:h="16838" w:orient="portrait"/>
          <w:cols w:equalWidth="0" w:num="1">
            <w:col w:w="11420"/>
          </w:cols>
          <w:pgMar w:left="240" w:top="582" w:right="239" w:bottom="1440" w:gutter="0" w:footer="0" w:header="0"/>
        </w:sectPr>
      </w:pPr>
    </w:p>
    <w:bookmarkStart w:id="128" w:name="page129"/>
    <w:bookmarkEnd w:id="128"/>
    <w:p>
      <w:pPr>
        <w:jc w:val="both"/>
        <w:spacing w:after="0" w:line="278" w:lineRule="auto"/>
        <w:rPr>
          <w:sz w:val="20"/>
          <w:szCs w:val="20"/>
          <w:color w:val="auto"/>
        </w:rPr>
      </w:pPr>
      <w:r>
        <w:rPr>
          <w:rFonts w:ascii="Arial" w:cs="Arial" w:eastAsia="Arial" w:hAnsi="Arial"/>
          <w:sz w:val="18"/>
          <w:szCs w:val="18"/>
          <w:color w:val="auto"/>
        </w:rPr>
        <w:t>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65" w:lineRule="exact"/>
        <w:rPr>
          <w:sz w:val="20"/>
          <w:szCs w:val="20"/>
          <w:color w:val="auto"/>
        </w:rPr>
      </w:pPr>
    </w:p>
    <w:p>
      <w:pPr>
        <w:jc w:val="both"/>
        <w:ind w:firstLine="656"/>
        <w:spacing w:after="0" w:line="231" w:lineRule="exact"/>
        <w:tabs>
          <w:tab w:leader="none" w:pos="9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Acknowledgements of Lenders and Issuing Bank</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6" w:lineRule="auto"/>
        <w:tabs>
          <w:tab w:leader="none" w:pos="93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Each Lender represents that it is engaged in making, acquiring or holding commercial loans in the ordinary course of its business and that it has, independently and without reliance upon the Administrative Agent, the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Arranger, or any other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4" w:lineRule="exact"/>
        <w:rPr>
          <w:rFonts w:ascii="Arial" w:cs="Arial" w:eastAsia="Arial" w:hAnsi="Arial"/>
          <w:sz w:val="19"/>
          <w:szCs w:val="19"/>
          <w:color w:val="auto"/>
        </w:rPr>
      </w:pPr>
    </w:p>
    <w:p>
      <w:pPr>
        <w:jc w:val="both"/>
        <w:ind w:firstLine="656"/>
        <w:spacing w:after="0" w:line="260" w:lineRule="auto"/>
        <w:tabs>
          <w:tab w:leader="none" w:pos="96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80" w:lineRule="exact"/>
        <w:rPr>
          <w:rFonts w:ascii="Arial" w:cs="Arial" w:eastAsia="Arial" w:hAnsi="Arial"/>
          <w:sz w:val="19"/>
          <w:szCs w:val="19"/>
          <w:color w:val="auto"/>
        </w:rPr>
      </w:pPr>
    </w:p>
    <w:p>
      <w:pPr>
        <w:ind w:right="20" w:firstLine="656"/>
        <w:spacing w:after="0" w:line="260" w:lineRule="auto"/>
        <w:tabs>
          <w:tab w:leader="none" w:pos="92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Each Lender hereby agrees that (i) it has requested a copy of each Report prepared by or on behalf of the Administrative Agent; (ii) the Administrative Agent (A) makes no representation or warranty, express or implied, as</w:t>
      </w:r>
    </w:p>
    <w:p>
      <w:pPr>
        <w:sectPr>
          <w:pgSz w:w="11900" w:h="16838" w:orient="portrait"/>
          <w:cols w:equalWidth="0" w:num="1">
            <w:col w:w="11420"/>
          </w:cols>
          <w:pgMar w:left="240" w:top="582" w:right="239" w:bottom="1440" w:gutter="0" w:footer="0" w:header="0"/>
        </w:sectPr>
      </w:pPr>
    </w:p>
    <w:bookmarkStart w:id="129" w:name="page130"/>
    <w:bookmarkEnd w:id="129"/>
    <w:p>
      <w:pPr>
        <w:jc w:val="both"/>
        <w:spacing w:after="0" w:line="268" w:lineRule="auto"/>
        <w:rPr>
          <w:sz w:val="20"/>
          <w:szCs w:val="20"/>
          <w:color w:val="auto"/>
        </w:rPr>
      </w:pPr>
      <w:r>
        <w:rPr>
          <w:rFonts w:ascii="Arial" w:cs="Arial" w:eastAsia="Arial" w:hAnsi="Arial"/>
          <w:sz w:val="18"/>
          <w:szCs w:val="18"/>
          <w:color w:val="auto"/>
        </w:rPr>
        <w:t>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w:t>
      </w:r>
    </w:p>
    <w:p>
      <w:pPr>
        <w:spacing w:after="0" w:line="1" w:lineRule="exact"/>
        <w:rPr>
          <w:sz w:val="20"/>
          <w:szCs w:val="20"/>
          <w:color w:val="auto"/>
        </w:rPr>
      </w:pPr>
    </w:p>
    <w:p>
      <w:pPr>
        <w:jc w:val="both"/>
        <w:ind w:firstLine="8"/>
        <w:spacing w:after="0" w:line="241" w:lineRule="auto"/>
        <w:tabs>
          <w:tab w:leader="none" w:pos="32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8.07. </w:t>
      </w:r>
      <w:r>
        <w:rPr>
          <w:rFonts w:ascii="Arial" w:cs="Arial" w:eastAsia="Arial" w:hAnsi="Arial"/>
          <w:sz w:val="20"/>
          <w:szCs w:val="20"/>
          <w:u w:val="single" w:color="auto"/>
          <w:color w:val="auto"/>
        </w:rPr>
        <w:t>Collateral Matters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2" w:lineRule="auto"/>
        <w:tabs>
          <w:tab w:leader="none" w:pos="918"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95" w:lineRule="exact"/>
        <w:rPr>
          <w:rFonts w:ascii="Arial" w:cs="Arial" w:eastAsia="Arial" w:hAnsi="Arial"/>
          <w:sz w:val="20"/>
          <w:szCs w:val="20"/>
          <w:color w:val="auto"/>
        </w:rPr>
      </w:pPr>
    </w:p>
    <w:p>
      <w:pPr>
        <w:jc w:val="both"/>
        <w:ind w:firstLine="656"/>
        <w:spacing w:after="0" w:line="258" w:lineRule="auto"/>
        <w:tabs>
          <w:tab w:leader="none" w:pos="93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79" w:lineRule="exact"/>
        <w:rPr>
          <w:rFonts w:ascii="Arial" w:cs="Arial" w:eastAsia="Arial" w:hAnsi="Arial"/>
          <w:sz w:val="19"/>
          <w:szCs w:val="19"/>
          <w:color w:val="auto"/>
        </w:rPr>
      </w:pPr>
    </w:p>
    <w:p>
      <w:pPr>
        <w:jc w:val="both"/>
        <w:ind w:firstLine="656"/>
        <w:spacing w:after="0" w:line="276" w:lineRule="auto"/>
        <w:tabs>
          <w:tab w:leader="none" w:pos="93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Credit Bidding.</w:t>
      </w:r>
      <w:r>
        <w:rPr>
          <w:rFonts w:ascii="Arial" w:cs="Arial" w:eastAsia="Arial" w:hAnsi="Arial"/>
          <w:sz w:val="18"/>
          <w:szCs w:val="18"/>
          <w:color w:val="auto"/>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w:t>
      </w:r>
    </w:p>
    <w:p>
      <w:pPr>
        <w:sectPr>
          <w:pgSz w:w="11900" w:h="16838" w:orient="portrait"/>
          <w:cols w:equalWidth="0" w:num="1">
            <w:col w:w="11420"/>
          </w:cols>
          <w:pgMar w:left="240" w:top="582" w:right="239" w:bottom="1440" w:gutter="0" w:footer="0" w:header="0"/>
        </w:sectPr>
      </w:pPr>
    </w:p>
    <w:bookmarkStart w:id="130" w:name="page131"/>
    <w:bookmarkEnd w:id="130"/>
    <w:p>
      <w:pPr>
        <w:jc w:val="both"/>
        <w:spacing w:after="0" w:line="304" w:lineRule="auto"/>
        <w:rPr>
          <w:sz w:val="20"/>
          <w:szCs w:val="20"/>
          <w:color w:val="auto"/>
        </w:rPr>
      </w:pPr>
      <w:r>
        <w:rPr>
          <w:rFonts w:ascii="Arial" w:cs="Arial" w:eastAsia="Arial" w:hAnsi="Arial"/>
          <w:sz w:val="16"/>
          <w:szCs w:val="16"/>
          <w:color w:val="auto"/>
        </w:rPr>
        <w:t>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w:t>
      </w:r>
    </w:p>
    <w:p>
      <w:pPr>
        <w:spacing w:after="0" w:line="200" w:lineRule="exact"/>
        <w:rPr>
          <w:sz w:val="20"/>
          <w:szCs w:val="20"/>
          <w:color w:val="auto"/>
        </w:rPr>
      </w:pPr>
    </w:p>
    <w:p>
      <w:pPr>
        <w:spacing w:after="0" w:line="220" w:lineRule="exact"/>
        <w:rPr>
          <w:sz w:val="20"/>
          <w:szCs w:val="20"/>
          <w:color w:val="auto"/>
        </w:rPr>
      </w:pPr>
    </w:p>
    <w:p>
      <w:pPr>
        <w:jc w:val="both"/>
        <w:ind w:firstLine="8"/>
        <w:spacing w:after="0" w:line="269" w:lineRule="auto"/>
        <w:tabs>
          <w:tab w:leader="none" w:pos="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8.09. </w:t>
      </w:r>
      <w:r>
        <w:rPr>
          <w:rFonts w:ascii="Arial" w:cs="Arial" w:eastAsia="Arial" w:hAnsi="Arial"/>
          <w:sz w:val="20"/>
          <w:szCs w:val="20"/>
          <w:u w:val="single" w:color="auto"/>
          <w:color w:val="auto"/>
        </w:rPr>
        <w:t>Certain ERISA Matters.</w:t>
      </w:r>
    </w:p>
    <w:p>
      <w:pPr>
        <w:spacing w:after="0" w:line="216" w:lineRule="exact"/>
        <w:rPr>
          <w:sz w:val="20"/>
          <w:szCs w:val="20"/>
          <w:color w:val="auto"/>
        </w:rPr>
      </w:pPr>
    </w:p>
    <w:p>
      <w:pPr>
        <w:jc w:val="both"/>
        <w:ind w:left="980" w:hanging="324"/>
        <w:spacing w:after="0" w:line="263" w:lineRule="auto"/>
        <w:tabs>
          <w:tab w:leader="none" w:pos="9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any Borrower or any other Loan Party, that at least one of the following is and will be true:</w:t>
      </w:r>
    </w:p>
    <w:p>
      <w:pPr>
        <w:spacing w:after="0" w:line="176" w:lineRule="exact"/>
        <w:rPr>
          <w:rFonts w:ascii="Arial" w:cs="Arial" w:eastAsia="Arial" w:hAnsi="Arial"/>
          <w:sz w:val="19"/>
          <w:szCs w:val="19"/>
          <w:color w:val="auto"/>
        </w:rPr>
      </w:pPr>
    </w:p>
    <w:p>
      <w:pPr>
        <w:ind w:left="1300" w:firstLine="653"/>
        <w:spacing w:after="0" w:line="260" w:lineRule="auto"/>
        <w:tabs>
          <w:tab w:leader="none" w:pos="2197" w:val="left"/>
        </w:tabs>
        <w:numPr>
          <w:ilvl w:val="1"/>
          <w:numId w:val="167"/>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76" w:lineRule="exact"/>
        <w:rPr>
          <w:rFonts w:ascii="Arial" w:cs="Arial" w:eastAsia="Arial" w:hAnsi="Arial"/>
          <w:sz w:val="20"/>
          <w:szCs w:val="20"/>
          <w:color w:val="auto"/>
        </w:rPr>
      </w:pPr>
    </w:p>
    <w:p>
      <w:pPr>
        <w:jc w:val="both"/>
        <w:ind w:left="1300" w:firstLine="653"/>
        <w:spacing w:after="0" w:line="276" w:lineRule="auto"/>
        <w:tabs>
          <w:tab w:leader="none" w:pos="227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w:t>
      </w:r>
    </w:p>
    <w:p>
      <w:pPr>
        <w:sectPr>
          <w:pgSz w:w="11900" w:h="16838" w:orient="portrait"/>
          <w:cols w:equalWidth="0" w:num="1">
            <w:col w:w="11420"/>
          </w:cols>
          <w:pgMar w:left="240" w:top="582" w:right="239" w:bottom="1440" w:gutter="0" w:footer="0" w:header="0"/>
        </w:sectPr>
      </w:pPr>
    </w:p>
    <w:bookmarkStart w:id="131" w:name="page132"/>
    <w:bookmarkEnd w:id="131"/>
    <w:p>
      <w:pPr>
        <w:ind w:left="644" w:right="20"/>
        <w:spacing w:after="0" w:line="260" w:lineRule="auto"/>
        <w:rPr>
          <w:sz w:val="20"/>
          <w:szCs w:val="20"/>
          <w:color w:val="auto"/>
        </w:rPr>
      </w:pPr>
      <w:r>
        <w:rPr>
          <w:rFonts w:ascii="Arial" w:cs="Arial" w:eastAsia="Arial" w:hAnsi="Arial"/>
          <w:sz w:val="20"/>
          <w:szCs w:val="20"/>
          <w:color w:val="auto"/>
        </w:rPr>
        <w:t>of and performance of the Loans, the Letters of Credit, the Commitments and this Agreement, and the conditions for exemptive relief thereunder are and will continue to be satisfied in connection therewith,</w:t>
      </w:r>
    </w:p>
    <w:p>
      <w:pPr>
        <w:spacing w:after="0" w:line="177" w:lineRule="exact"/>
        <w:rPr>
          <w:sz w:val="20"/>
          <w:szCs w:val="20"/>
          <w:color w:val="auto"/>
        </w:rPr>
      </w:pPr>
    </w:p>
    <w:p>
      <w:pPr>
        <w:jc w:val="both"/>
        <w:ind w:left="644" w:firstLine="653"/>
        <w:spacing w:after="0" w:line="257" w:lineRule="auto"/>
        <w:tabs>
          <w:tab w:leader="none" w:pos="1953"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1" w:lineRule="exact"/>
        <w:rPr>
          <w:rFonts w:ascii="Arial" w:cs="Arial" w:eastAsia="Arial" w:hAnsi="Arial"/>
          <w:sz w:val="19"/>
          <w:szCs w:val="19"/>
          <w:color w:val="auto"/>
        </w:rPr>
      </w:pPr>
    </w:p>
    <w:p>
      <w:pPr>
        <w:ind w:left="644" w:firstLine="653"/>
        <w:spacing w:after="0" w:line="260" w:lineRule="auto"/>
        <w:tabs>
          <w:tab w:leader="none" w:pos="1758" w:val="left"/>
        </w:tabs>
        <w:numPr>
          <w:ilvl w:val="1"/>
          <w:numId w:val="168"/>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left="-656" w:firstLine="656"/>
        <w:spacing w:after="0" w:line="321" w:lineRule="auto"/>
        <w:tabs>
          <w:tab w:leader="none" w:pos="47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any Borrower or any other Loan Party, that:</w:t>
      </w:r>
    </w:p>
    <w:p>
      <w:pPr>
        <w:spacing w:after="0" w:line="133" w:lineRule="exact"/>
        <w:rPr>
          <w:rFonts w:ascii="Arial" w:cs="Arial" w:eastAsia="Arial" w:hAnsi="Arial"/>
          <w:sz w:val="16"/>
          <w:szCs w:val="16"/>
          <w:color w:val="auto"/>
        </w:rPr>
      </w:pPr>
    </w:p>
    <w:p>
      <w:pPr>
        <w:jc w:val="both"/>
        <w:ind w:left="644" w:firstLine="653"/>
        <w:spacing w:after="0" w:line="250" w:lineRule="auto"/>
        <w:tabs>
          <w:tab w:leader="none" w:pos="1529" w:val="left"/>
        </w:tabs>
        <w:numPr>
          <w:ilvl w:val="1"/>
          <w:numId w:val="169"/>
        </w:numPr>
        <w:rPr>
          <w:rFonts w:ascii="Arial" w:cs="Arial" w:eastAsia="Arial" w:hAnsi="Arial"/>
          <w:sz w:val="20"/>
          <w:szCs w:val="20"/>
          <w:color w:val="auto"/>
        </w:rPr>
      </w:pPr>
      <w:r>
        <w:rPr>
          <w:rFonts w:ascii="Arial" w:cs="Arial" w:eastAsia="Arial" w:hAnsi="Arial"/>
          <w:sz w:val="20"/>
          <w:szCs w:val="20"/>
          <w:color w:val="auto"/>
        </w:rPr>
        <w:t>none of the Administrative Agent, the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6" w:lineRule="exact"/>
        <w:rPr>
          <w:rFonts w:ascii="Arial" w:cs="Arial" w:eastAsia="Arial" w:hAnsi="Arial"/>
          <w:sz w:val="20"/>
          <w:szCs w:val="20"/>
          <w:color w:val="auto"/>
        </w:rPr>
      </w:pPr>
    </w:p>
    <w:p>
      <w:pPr>
        <w:jc w:val="both"/>
        <w:ind w:left="644" w:firstLine="653"/>
        <w:spacing w:after="0" w:line="260" w:lineRule="auto"/>
        <w:tabs>
          <w:tab w:leader="none" w:pos="1587"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§2510.3-21(c)(1)(i)(A)-(E),</w:t>
      </w:r>
    </w:p>
    <w:p>
      <w:pPr>
        <w:spacing w:after="0" w:line="180" w:lineRule="exact"/>
        <w:rPr>
          <w:rFonts w:ascii="Arial" w:cs="Arial" w:eastAsia="Arial" w:hAnsi="Arial"/>
          <w:sz w:val="19"/>
          <w:szCs w:val="19"/>
          <w:color w:val="auto"/>
        </w:rPr>
      </w:pPr>
    </w:p>
    <w:p>
      <w:pPr>
        <w:jc w:val="both"/>
        <w:ind w:left="644" w:firstLine="653"/>
        <w:spacing w:after="0" w:line="246" w:lineRule="auto"/>
        <w:tabs>
          <w:tab w:leader="none" w:pos="1639" w:val="left"/>
        </w:tabs>
        <w:numPr>
          <w:ilvl w:val="1"/>
          <w:numId w:val="169"/>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91" w:lineRule="exact"/>
        <w:rPr>
          <w:rFonts w:ascii="Arial" w:cs="Arial" w:eastAsia="Arial" w:hAnsi="Arial"/>
          <w:sz w:val="20"/>
          <w:szCs w:val="20"/>
          <w:color w:val="auto"/>
        </w:rPr>
      </w:pPr>
    </w:p>
    <w:p>
      <w:pPr>
        <w:jc w:val="both"/>
        <w:ind w:left="644" w:firstLine="653"/>
        <w:spacing w:after="0" w:line="282" w:lineRule="auto"/>
        <w:tabs>
          <w:tab w:leader="none" w:pos="162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61" w:lineRule="exact"/>
        <w:rPr>
          <w:rFonts w:ascii="Arial" w:cs="Arial" w:eastAsia="Arial" w:hAnsi="Arial"/>
          <w:sz w:val="18"/>
          <w:szCs w:val="18"/>
          <w:color w:val="auto"/>
        </w:rPr>
      </w:pPr>
    </w:p>
    <w:p>
      <w:pPr>
        <w:jc w:val="both"/>
        <w:ind w:left="644" w:firstLine="653"/>
        <w:spacing w:after="0" w:line="250" w:lineRule="auto"/>
        <w:tabs>
          <w:tab w:leader="none" w:pos="1607" w:val="left"/>
        </w:tabs>
        <w:numPr>
          <w:ilvl w:val="1"/>
          <w:numId w:val="169"/>
        </w:numPr>
        <w:rPr>
          <w:rFonts w:ascii="Arial" w:cs="Arial" w:eastAsia="Arial" w:hAnsi="Arial"/>
          <w:sz w:val="20"/>
          <w:szCs w:val="20"/>
          <w:color w:val="auto"/>
        </w:rPr>
      </w:pPr>
      <w:r>
        <w:rPr>
          <w:rFonts w:ascii="Arial" w:cs="Arial" w:eastAsia="Arial" w:hAnsi="Arial"/>
          <w:sz w:val="20"/>
          <w:szCs w:val="20"/>
          <w:color w:val="auto"/>
        </w:rPr>
        <w:t>no fee or other compensation is being paid directly to the Administrative Agent or the Arranger or any their respective Affiliates for investment advice (as opposed to other services) in connection with the Loans, the Letters of Credit, the Commitments or this Agreement.</w:t>
      </w:r>
    </w:p>
    <w:p>
      <w:pPr>
        <w:sectPr>
          <w:pgSz w:w="11900" w:h="16838" w:orient="portrait"/>
          <w:cols w:equalWidth="0" w:num="1">
            <w:col w:w="10764"/>
          </w:cols>
          <w:pgMar w:left="896" w:top="582" w:right="239" w:bottom="1440" w:gutter="0" w:footer="0" w:header="0"/>
        </w:sectPr>
      </w:pPr>
    </w:p>
    <w:bookmarkStart w:id="132" w:name="page133"/>
    <w:bookmarkEnd w:id="132"/>
    <w:p>
      <w:pPr>
        <w:jc w:val="both"/>
        <w:ind w:firstLine="656"/>
        <w:spacing w:after="0" w:line="256" w:lineRule="auto"/>
        <w:tabs>
          <w:tab w:leader="none" w:pos="120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Administrative Agent and the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Flood Laws</w:t>
      </w:r>
      <w:r>
        <w:rPr>
          <w:rFonts w:ascii="Arial" w:cs="Arial" w:eastAsia="Arial" w:hAnsi="Arial"/>
          <w:sz w:val="19"/>
          <w:szCs w:val="19"/>
          <w:color w:val="auto"/>
        </w:rPr>
        <w:t>. JPMCB has adopted internal policies and procedures that address requirements placed on federally regulated lenders under the National Flood Insurance Reform Act of 1994 and related legislation (the “</w:t>
      </w:r>
      <w:r>
        <w:rPr>
          <w:rFonts w:ascii="Arial" w:cs="Arial" w:eastAsia="Arial" w:hAnsi="Arial"/>
          <w:sz w:val="19"/>
          <w:szCs w:val="19"/>
          <w:u w:val="single" w:color="auto"/>
          <w:color w:val="auto"/>
        </w:rPr>
        <w:t>Flood Laws</w:t>
      </w:r>
      <w:r>
        <w:rPr>
          <w:rFonts w:ascii="Arial" w:cs="Arial" w:eastAsia="Arial" w:hAnsi="Arial"/>
          <w:sz w:val="19"/>
          <w:szCs w:val="19"/>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  if to any Loan Party, to the Borrower Representative at: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Vera Bradley Designs,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12420 Stonebridge Road</w:t>
      </w:r>
    </w:p>
    <w:p>
      <w:pPr>
        <w:ind w:left="1960"/>
        <w:spacing w:after="0"/>
        <w:rPr>
          <w:sz w:val="20"/>
          <w:szCs w:val="20"/>
          <w:color w:val="auto"/>
        </w:rPr>
      </w:pPr>
      <w:r>
        <w:rPr>
          <w:rFonts w:ascii="Arial" w:cs="Arial" w:eastAsia="Arial" w:hAnsi="Arial"/>
          <w:sz w:val="20"/>
          <w:szCs w:val="20"/>
          <w:color w:val="auto"/>
        </w:rPr>
        <w:t>Roanoke, IN 46783</w:t>
      </w:r>
    </w:p>
    <w:p>
      <w:pPr>
        <w:ind w:left="1960"/>
        <w:spacing w:after="0"/>
        <w:rPr>
          <w:sz w:val="20"/>
          <w:szCs w:val="20"/>
          <w:color w:val="auto"/>
        </w:rPr>
      </w:pPr>
      <w:r>
        <w:rPr>
          <w:rFonts w:ascii="Arial" w:cs="Arial" w:eastAsia="Arial" w:hAnsi="Arial"/>
          <w:sz w:val="20"/>
          <w:szCs w:val="20"/>
          <w:color w:val="auto"/>
        </w:rPr>
        <w:t>Attention: John Enwright, Chief Financial Officer</w:t>
      </w:r>
    </w:p>
    <w:p>
      <w:pPr>
        <w:ind w:left="1960"/>
        <w:spacing w:after="0"/>
        <w:rPr>
          <w:sz w:val="20"/>
          <w:szCs w:val="20"/>
          <w:color w:val="auto"/>
        </w:rPr>
      </w:pPr>
      <w:r>
        <w:rPr>
          <w:rFonts w:ascii="Arial" w:cs="Arial" w:eastAsia="Arial" w:hAnsi="Arial"/>
          <w:sz w:val="20"/>
          <w:szCs w:val="20"/>
          <w:color w:val="auto"/>
        </w:rPr>
        <w:t>Facsimile No: (260) 484-2278</w:t>
      </w:r>
    </w:p>
    <w:p>
      <w:pPr>
        <w:ind w:left="1960"/>
        <w:spacing w:after="0"/>
        <w:rPr>
          <w:sz w:val="20"/>
          <w:szCs w:val="20"/>
          <w:color w:val="auto"/>
        </w:rPr>
      </w:pPr>
      <w:r>
        <w:rPr>
          <w:rFonts w:ascii="Arial" w:cs="Arial" w:eastAsia="Arial" w:hAnsi="Arial"/>
          <w:sz w:val="20"/>
          <w:szCs w:val="20"/>
          <w:color w:val="auto"/>
        </w:rPr>
        <w:t>Email: jenwright@verabradley.com</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Vera Bradley Designs,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12420 Stonebridge Road</w:t>
      </w:r>
    </w:p>
    <w:p>
      <w:pPr>
        <w:ind w:left="1960"/>
        <w:spacing w:after="0"/>
        <w:rPr>
          <w:sz w:val="20"/>
          <w:szCs w:val="20"/>
          <w:color w:val="auto"/>
        </w:rPr>
      </w:pPr>
      <w:r>
        <w:rPr>
          <w:rFonts w:ascii="Arial" w:cs="Arial" w:eastAsia="Arial" w:hAnsi="Arial"/>
          <w:sz w:val="20"/>
          <w:szCs w:val="20"/>
          <w:color w:val="auto"/>
        </w:rPr>
        <w:t>Roanoke, IN 46783</w:t>
      </w:r>
    </w:p>
    <w:p>
      <w:pPr>
        <w:ind w:left="1960"/>
        <w:spacing w:after="0"/>
        <w:rPr>
          <w:sz w:val="20"/>
          <w:szCs w:val="20"/>
          <w:color w:val="auto"/>
        </w:rPr>
      </w:pPr>
      <w:r>
        <w:rPr>
          <w:rFonts w:ascii="Arial" w:cs="Arial" w:eastAsia="Arial" w:hAnsi="Arial"/>
          <w:sz w:val="20"/>
          <w:szCs w:val="20"/>
          <w:color w:val="auto"/>
        </w:rPr>
        <w:t>Attention: Mark Dely, Chief Legal Officer</w:t>
      </w:r>
    </w:p>
    <w:p>
      <w:pPr>
        <w:ind w:left="1960"/>
        <w:spacing w:after="0"/>
        <w:rPr>
          <w:sz w:val="20"/>
          <w:szCs w:val="20"/>
          <w:color w:val="auto"/>
        </w:rPr>
      </w:pPr>
      <w:r>
        <w:rPr>
          <w:rFonts w:ascii="Arial" w:cs="Arial" w:eastAsia="Arial" w:hAnsi="Arial"/>
          <w:sz w:val="20"/>
          <w:szCs w:val="20"/>
          <w:color w:val="auto"/>
        </w:rPr>
        <w:t>Facsimile No: (260) 484-2278</w:t>
      </w:r>
    </w:p>
    <w:p>
      <w:pPr>
        <w:ind w:left="1960"/>
        <w:spacing w:after="0"/>
        <w:rPr>
          <w:sz w:val="20"/>
          <w:szCs w:val="20"/>
          <w:color w:val="auto"/>
        </w:rPr>
      </w:pPr>
      <w:r>
        <w:rPr>
          <w:rFonts w:ascii="Arial" w:cs="Arial" w:eastAsia="Arial" w:hAnsi="Arial"/>
          <w:sz w:val="20"/>
          <w:szCs w:val="20"/>
          <w:color w:val="auto"/>
        </w:rPr>
        <w:t>Email: mdely@verabradley.com</w:t>
      </w:r>
    </w:p>
    <w:p>
      <w:pPr>
        <w:spacing w:after="0" w:line="200" w:lineRule="exact"/>
        <w:rPr>
          <w:sz w:val="20"/>
          <w:szCs w:val="20"/>
          <w:color w:val="auto"/>
        </w:rPr>
      </w:pPr>
    </w:p>
    <w:p>
      <w:pPr>
        <w:ind w:left="1620" w:right="20" w:hanging="315"/>
        <w:spacing w:after="0" w:line="247" w:lineRule="auto"/>
        <w:tabs>
          <w:tab w:leader="none" w:pos="1607"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if to the Administrative Agent, JPMCB in its capacity as an Issuing Bank or the Swingline Lender, to JPMorgan Chase Bank, N.A. at:</w:t>
      </w:r>
    </w:p>
    <w:p>
      <w:pPr>
        <w:spacing w:after="0" w:line="1"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10 S. Dearborn</w:t>
      </w:r>
    </w:p>
    <w:p>
      <w:pPr>
        <w:ind w:left="1960" w:right="6900"/>
        <w:spacing w:after="0" w:line="260" w:lineRule="auto"/>
        <w:rPr>
          <w:rFonts w:ascii="Arial" w:cs="Arial" w:eastAsia="Arial" w:hAnsi="Arial"/>
          <w:sz w:val="20"/>
          <w:szCs w:val="20"/>
          <w:color w:val="auto"/>
        </w:rPr>
      </w:pPr>
      <w:r>
        <w:rPr>
          <w:rFonts w:ascii="Arial" w:cs="Arial" w:eastAsia="Arial" w:hAnsi="Arial"/>
          <w:sz w:val="19"/>
          <w:szCs w:val="19"/>
          <w:color w:val="auto"/>
        </w:rPr>
        <w:t>22nd Floor Mail code: IL1-1458 Chicago, IL 60603-2300 Attention: Stephanie Lis</w:t>
      </w:r>
    </w:p>
    <w:p>
      <w:pPr>
        <w:sectPr>
          <w:pgSz w:w="11900" w:h="16838" w:orient="portrait"/>
          <w:cols w:equalWidth="0" w:num="1">
            <w:col w:w="11420"/>
          </w:cols>
          <w:pgMar w:left="240" w:top="582" w:right="239" w:bottom="1440" w:gutter="0" w:footer="0" w:header="0"/>
        </w:sectPr>
      </w:pPr>
    </w:p>
    <w:bookmarkStart w:id="133" w:name="page134"/>
    <w:bookmarkEnd w:id="133"/>
    <w:p>
      <w:pPr>
        <w:ind w:left="1960"/>
        <w:spacing w:after="0"/>
        <w:rPr>
          <w:sz w:val="20"/>
          <w:szCs w:val="20"/>
          <w:color w:val="auto"/>
        </w:rPr>
      </w:pPr>
      <w:r>
        <w:rPr>
          <w:rFonts w:ascii="Arial" w:cs="Arial" w:eastAsia="Arial" w:hAnsi="Arial"/>
          <w:sz w:val="20"/>
          <w:szCs w:val="20"/>
          <w:color w:val="auto"/>
        </w:rPr>
        <w:t>Facsimile No: 312-732-1262</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if to any other Lender or Issuing Bank, to it at its address or facsimile number set forth in its Administrative Questionnaire.</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or Approved Electronic Platforms, as applicable, to the extent provided in paragraph (b) below shall be effective as provided in such paragraph.</w:t>
      </w:r>
    </w:p>
    <w:p>
      <w:pPr>
        <w:spacing w:after="0" w:line="181" w:lineRule="exact"/>
        <w:rPr>
          <w:sz w:val="20"/>
          <w:szCs w:val="20"/>
          <w:color w:val="auto"/>
        </w:rPr>
      </w:pPr>
    </w:p>
    <w:p>
      <w:pPr>
        <w:jc w:val="both"/>
        <w:ind w:firstLine="656"/>
        <w:spacing w:after="0" w:line="267" w:lineRule="auto"/>
        <w:tabs>
          <w:tab w:leader="none" w:pos="96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Notices and other communications to the Lenders hereunder may be delivered or furnished by using Electronic Systems or Approved Electronic Platforms, as applicable, or pursuant to procedures approved by the Administrative Agent; provided that the foregoing shall not apply to notices pursuant to Article II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w:t>
      </w:r>
    </w:p>
    <w:p>
      <w:pPr>
        <w:spacing w:after="0" w:line="7" w:lineRule="exact"/>
        <w:rPr>
          <w:rFonts w:ascii="Arial" w:cs="Arial" w:eastAsia="Arial" w:hAnsi="Arial"/>
          <w:sz w:val="18"/>
          <w:szCs w:val="18"/>
          <w:color w:val="auto"/>
        </w:rPr>
      </w:pPr>
    </w:p>
    <w:p>
      <w:pPr>
        <w:ind w:firstLine="8"/>
        <w:spacing w:after="0" w:line="269" w:lineRule="auto"/>
        <w:tabs>
          <w:tab w:leader="none" w:pos="33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69" w:lineRule="exact"/>
        <w:rPr>
          <w:rFonts w:ascii="Arial" w:cs="Arial" w:eastAsia="Arial" w:hAnsi="Arial"/>
          <w:sz w:val="19"/>
          <w:szCs w:val="19"/>
          <w:color w:val="auto"/>
        </w:rPr>
      </w:pPr>
    </w:p>
    <w:p>
      <w:pPr>
        <w:ind w:right="20" w:firstLine="656"/>
        <w:spacing w:after="0" w:line="260" w:lineRule="auto"/>
        <w:tabs>
          <w:tab w:leader="none" w:pos="917" w:val="left"/>
        </w:tabs>
        <w:numPr>
          <w:ilvl w:val="1"/>
          <w:numId w:val="173"/>
        </w:numPr>
        <w:rPr>
          <w:rFonts w:ascii="Arial" w:cs="Arial" w:eastAsia="Arial" w:hAnsi="Arial"/>
          <w:sz w:val="20"/>
          <w:szCs w:val="20"/>
          <w:color w:val="auto"/>
        </w:rPr>
      </w:pPr>
      <w:r>
        <w:rPr>
          <w:rFonts w:ascii="Arial" w:cs="Arial" w:eastAsia="Arial" w:hAnsi="Arial"/>
          <w:sz w:val="20"/>
          <w:szCs w:val="20"/>
          <w:color w:val="auto"/>
        </w:rPr>
        <w:t>Any party hereto may change its address, facsimile number or e-mail address for notices and other communications hereunder by notice to the other parties hereto.</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Waivers; Amendments.</w:t>
      </w:r>
      <w:r>
        <w:rPr>
          <w:rFonts w:ascii="Arial" w:cs="Arial" w:eastAsia="Arial" w:hAnsi="Arial"/>
          <w:sz w:val="19"/>
          <w:szCs w:val="19"/>
          <w:color w:val="auto"/>
        </w:rPr>
        <w:t xml:space="preserve">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81" w:lineRule="exact"/>
        <w:rPr>
          <w:sz w:val="20"/>
          <w:szCs w:val="20"/>
          <w:color w:val="auto"/>
        </w:rPr>
      </w:pPr>
    </w:p>
    <w:p>
      <w:pPr>
        <w:jc w:val="both"/>
        <w:ind w:firstLine="656"/>
        <w:spacing w:after="0" w:line="274" w:lineRule="auto"/>
        <w:tabs>
          <w:tab w:leader="none" w:pos="115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Except as provided in the first sentence of Section 2.09(f) (with respect to any commitment increase) and subject to Section 2.14(c) and Section 9.02(e) below, neither this Agreement nor any other Loan Document nor any provision hereof or thereof may be waived, amended or modified except (x) in the case of this Agreement, pursuant to an agreement or agreements in writing entered into by the Borrowers and the Required Lenders or (y)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(including any such Lender that is a Defaulting Lender), (ii) reduce or forgive the principal amount of any Loan or LC</w:t>
      </w:r>
    </w:p>
    <w:p>
      <w:pPr>
        <w:sectPr>
          <w:pgSz w:w="11900" w:h="16838" w:orient="portrait"/>
          <w:cols w:equalWidth="0" w:num="1">
            <w:col w:w="11420"/>
          </w:cols>
          <w:pgMar w:left="240" w:top="582" w:right="239" w:bottom="1440" w:gutter="0" w:footer="0" w:header="0"/>
        </w:sectPr>
      </w:pPr>
    </w:p>
    <w:bookmarkStart w:id="134" w:name="page135"/>
    <w:bookmarkEnd w:id="134"/>
    <w:p>
      <w:pPr>
        <w:jc w:val="both"/>
        <w:spacing w:after="0" w:line="267" w:lineRule="auto"/>
        <w:rPr>
          <w:sz w:val="20"/>
          <w:szCs w:val="20"/>
          <w:color w:val="auto"/>
        </w:rPr>
      </w:pPr>
      <w:r>
        <w:rPr>
          <w:rFonts w:ascii="Arial" w:cs="Arial" w:eastAsia="Arial" w:hAnsi="Arial"/>
          <w:sz w:val="18"/>
          <w:szCs w:val="18"/>
          <w:color w:val="auto"/>
        </w:rPr>
        <w:t xml:space="preserve">Disbursement or reduce the rate of interest thereon, or reduce or forgive any interest or fees payable hereunder, without the written consent of each Lender (including any such Lender that is a Defaulting Lender) directly affected thereby (provided that any amendment or modification of the financial covenants in this Agreement (or any defined term used therein) shall not constitute a reduction in the rate of interest or fees for purposes of this clause (ii)),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Section 2.09(d), Section 2.18(b) or (d) in a manner that would alter the ratable reduction of Commitments or the manner in which payments are shared, without the written consent of each Lender (other than any Defaulting Lender), (v) increase the advance rates set forth in the definition of Borrowing Base or add new categories of eligible assets, without the written consent of each Revolving Lender (other than any Defaulting Lender), (vi)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(vii) release any Guarantor from its obligation under its Loan Guaranty or Obligation Guaranty (except as otherwise permitted herein or in the other Loan Documents) or release any Guarantor from its obligation under the Loan Documents (except as otherwise permitted herein or in the other Loan Documents), without the written consent of each Lender (other than any Defaulting Lender), or (viii) except as provided in clause (c) of this Section or in any Collateral Document, release or subordinate (other than subordinating to Liens permitted under Section 6.02) the Liens on all or substantially all of the Collateral, without the written consent of each Lender (other than any Defaulting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or modify the provisions of Section 2.07 or any letter of credit application and any bilateral agreement between the Borrower Representative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w:t>
      </w:r>
    </w:p>
    <w:p>
      <w:pPr>
        <w:spacing w:after="0" w:line="196" w:lineRule="exact"/>
        <w:rPr>
          <w:sz w:val="20"/>
          <w:szCs w:val="20"/>
          <w:color w:val="auto"/>
        </w:rPr>
      </w:pPr>
    </w:p>
    <w:p>
      <w:pPr>
        <w:jc w:val="both"/>
        <w:ind w:firstLine="656"/>
        <w:spacing w:after="0" w:line="270" w:lineRule="auto"/>
        <w:tabs>
          <w:tab w:leader="none" w:pos="104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or Obligation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discretion, release its Liens on Collateral valued in the aggregate not in excess of $5,000,000 during any calendar year without the prior written authorization of the Required Lenders (it being agreed that the Administrative Agent may rely conclusively on one or more certificates of the Borrowers as to the value of any Collateral to be so released,</w:t>
      </w:r>
    </w:p>
    <w:p>
      <w:pPr>
        <w:sectPr>
          <w:pgSz w:w="11900" w:h="16838" w:orient="portrait"/>
          <w:cols w:equalWidth="0" w:num="1">
            <w:col w:w="11420"/>
          </w:cols>
          <w:pgMar w:left="240" w:top="582" w:right="239" w:bottom="1440" w:gutter="0" w:footer="0" w:header="0"/>
        </w:sectPr>
      </w:pPr>
    </w:p>
    <w:bookmarkStart w:id="135" w:name="page136"/>
    <w:bookmarkEnd w:id="135"/>
    <w:p>
      <w:pPr>
        <w:jc w:val="both"/>
        <w:spacing w:after="0" w:line="282" w:lineRule="auto"/>
        <w:rPr>
          <w:sz w:val="20"/>
          <w:szCs w:val="20"/>
          <w:color w:val="auto"/>
        </w:rPr>
      </w:pPr>
      <w:r>
        <w:rPr>
          <w:rFonts w:ascii="Arial" w:cs="Arial" w:eastAsia="Arial" w:hAnsi="Arial"/>
          <w:sz w:val="18"/>
          <w:szCs w:val="18"/>
          <w:color w:val="auto"/>
        </w:rPr>
        <w:t>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62" w:lineRule="exact"/>
        <w:rPr>
          <w:sz w:val="20"/>
          <w:szCs w:val="20"/>
          <w:color w:val="auto"/>
        </w:rPr>
      </w:pPr>
    </w:p>
    <w:p>
      <w:pPr>
        <w:jc w:val="both"/>
        <w:ind w:firstLine="656"/>
        <w:spacing w:after="0" w:line="268" w:lineRule="auto"/>
        <w:tabs>
          <w:tab w:leader="none" w:pos="116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then the Borrowers may elect to replace a Non-Consenting Lender as a Lender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5" w:lineRule="exact"/>
        <w:rPr>
          <w:rFonts w:ascii="Arial" w:cs="Arial" w:eastAsia="Arial" w:hAnsi="Arial"/>
          <w:sz w:val="18"/>
          <w:szCs w:val="18"/>
          <w:color w:val="auto"/>
        </w:rPr>
      </w:pPr>
    </w:p>
    <w:p>
      <w:pPr>
        <w:jc w:val="both"/>
        <w:ind w:firstLine="656"/>
        <w:spacing w:after="0" w:line="250" w:lineRule="auto"/>
        <w:tabs>
          <w:tab w:leader="none" w:pos="1075" w:val="left"/>
        </w:tabs>
        <w:numPr>
          <w:ilvl w:val="0"/>
          <w:numId w:val="176"/>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8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 xml:space="preserve"> (a) The Loan Parties shall, jointly and severally, pay all (i)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196"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color w:val="auto"/>
        </w:rPr>
        <w:t>appraisals and insurance reviews, subject to the limitations in Section 5.12;</w:t>
      </w:r>
    </w:p>
    <w:p>
      <w:pPr>
        <w:sectPr>
          <w:pgSz w:w="11900" w:h="16838" w:orient="portrait"/>
          <w:cols w:equalWidth="0" w:num="1">
            <w:col w:w="11420"/>
          </w:cols>
          <w:pgMar w:left="240" w:top="582" w:right="239" w:bottom="1440" w:gutter="0" w:footer="0" w:header="0"/>
        </w:sectPr>
      </w:pPr>
    </w:p>
    <w:bookmarkStart w:id="136" w:name="page137"/>
    <w:bookmarkEnd w:id="136"/>
    <w:p>
      <w:pPr>
        <w:jc w:val="both"/>
        <w:ind w:left="1300" w:firstLine="5"/>
        <w:spacing w:after="0" w:line="250" w:lineRule="auto"/>
        <w:tabs>
          <w:tab w:leader="none" w:pos="193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field examinations and the preparation of Reports based on the fees charged by a third party retained by the Administrative Agent or the internally allocated fees for each Person employed by the Administrative Agent with respect to each field examination, subject to the limitations in Section 5.06;</w:t>
      </w:r>
    </w:p>
    <w:p>
      <w:pPr>
        <w:spacing w:after="0" w:line="186" w:lineRule="exact"/>
        <w:rPr>
          <w:rFonts w:ascii="Arial" w:cs="Arial" w:eastAsia="Arial" w:hAnsi="Arial"/>
          <w:sz w:val="20"/>
          <w:szCs w:val="20"/>
          <w:color w:val="auto"/>
        </w:rPr>
      </w:pPr>
    </w:p>
    <w:p>
      <w:pPr>
        <w:ind w:left="660" w:firstLine="645"/>
        <w:spacing w:after="0" w:line="260" w:lineRule="auto"/>
        <w:tabs>
          <w:tab w:leader="none" w:pos="1839" w:val="left"/>
        </w:tabs>
        <w:numPr>
          <w:ilvl w:val="0"/>
          <w:numId w:val="177"/>
        </w:numPr>
        <w:rPr>
          <w:rFonts w:ascii="Arial" w:cs="Arial" w:eastAsia="Arial" w:hAnsi="Arial"/>
          <w:sz w:val="20"/>
          <w:szCs w:val="20"/>
          <w:color w:val="auto"/>
        </w:rPr>
      </w:pPr>
      <w:r>
        <w:rPr>
          <w:rFonts w:ascii="Arial" w:cs="Arial" w:eastAsia="Arial" w:hAnsi="Arial"/>
          <w:sz w:val="20"/>
          <w:szCs w:val="20"/>
          <w:color w:val="auto"/>
        </w:rPr>
        <w:t>background checks regarding senior management and/or key investors, as deemed necessary or appropriate in the sole discretion of the Administrative Agent;</w:t>
      </w:r>
    </w:p>
    <w:p>
      <w:pPr>
        <w:spacing w:after="0" w:line="176" w:lineRule="exact"/>
        <w:rPr>
          <w:rFonts w:ascii="Arial" w:cs="Arial" w:eastAsia="Arial" w:hAnsi="Arial"/>
          <w:sz w:val="20"/>
          <w:szCs w:val="20"/>
          <w:color w:val="auto"/>
        </w:rPr>
      </w:pPr>
    </w:p>
    <w:p>
      <w:pPr>
        <w:ind w:left="660" w:firstLine="645"/>
        <w:spacing w:after="0" w:line="260" w:lineRule="auto"/>
        <w:tabs>
          <w:tab w:leader="none" w:pos="189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Taxes, fees and other charges for (A) lien and title searches and (B) recording the filing financing statements and continuations, and other actions to perfect, protect, and continue the Administrative Agent’s Liens;</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19" w:val="left"/>
        </w:tabs>
        <w:numPr>
          <w:ilvl w:val="0"/>
          <w:numId w:val="177"/>
        </w:numPr>
        <w:rPr>
          <w:rFonts w:ascii="Arial" w:cs="Arial" w:eastAsia="Arial" w:hAnsi="Arial"/>
          <w:sz w:val="20"/>
          <w:szCs w:val="20"/>
          <w:color w:val="auto"/>
        </w:rPr>
      </w:pPr>
      <w:r>
        <w:rPr>
          <w:rFonts w:ascii="Arial" w:cs="Arial" w:eastAsia="Arial" w:hAnsi="Arial"/>
          <w:sz w:val="20"/>
          <w:szCs w:val="20"/>
          <w:color w:val="auto"/>
        </w:rPr>
        <w:t>sums paid or incurred to take any action required of any Loan Party under the Loan Documents that such Loan Party fails to pay or take; and</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815" w:val="left"/>
        </w:tabs>
        <w:numPr>
          <w:ilvl w:val="0"/>
          <w:numId w:val="177"/>
        </w:numPr>
        <w:rPr>
          <w:rFonts w:ascii="Arial" w:cs="Arial" w:eastAsia="Arial" w:hAnsi="Arial"/>
          <w:sz w:val="20"/>
          <w:szCs w:val="20"/>
          <w:color w:val="auto"/>
        </w:rPr>
      </w:pPr>
      <w:r>
        <w:rPr>
          <w:rFonts w:ascii="Arial" w:cs="Arial" w:eastAsia="Arial" w:hAnsi="Arial"/>
          <w:sz w:val="20"/>
          <w:szCs w:val="20"/>
          <w:color w:val="auto"/>
        </w:rPr>
        <w:t>forwarding loan proceeds, collecting checks and other items of payment, and establishing and maintaining the accounts and lock boxes, and costs and expenses of preserving and protecting the Collateral.</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All of the foregoing fees, costs and expenses may be charged to the Borrowers as Revolving Loans or to another deposit account, all as described in Section 2.18(c).</w:t>
      </w:r>
    </w:p>
    <w:p>
      <w:pPr>
        <w:spacing w:after="0" w:line="177" w:lineRule="exact"/>
        <w:rPr>
          <w:sz w:val="20"/>
          <w:szCs w:val="20"/>
          <w:color w:val="auto"/>
        </w:rPr>
      </w:pPr>
    </w:p>
    <w:p>
      <w:pPr>
        <w:jc w:val="both"/>
        <w:ind w:firstLine="656"/>
        <w:spacing w:after="0" w:line="269" w:lineRule="auto"/>
        <w:tabs>
          <w:tab w:leader="none" w:pos="116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Loan Parties shall, jointly and severally, indemnify the Administrative Agent, the Arranger, the Issuing Bank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penalties, incremental taxes,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a Loan Party for Taxes pursuant to Section 2.17, or (v) any actual or prospective claim, litigation, investigation, arbitration or proceeding relating to any of the foregoing, whether or not such claim, litigation, investigation, arbitration or proceeding is brought by any Loan Party or their respective equity holders, Affiliates, creditors or any other third Person and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9.03(b) shall not apply with respect to Taxes other than any Taxes that represent losses or damages arising from any non-Tax claim.</w:t>
      </w:r>
    </w:p>
    <w:p>
      <w:pPr>
        <w:spacing w:after="0" w:line="172" w:lineRule="exact"/>
        <w:rPr>
          <w:rFonts w:ascii="Arial" w:cs="Arial" w:eastAsia="Arial" w:hAnsi="Arial"/>
          <w:sz w:val="18"/>
          <w:szCs w:val="18"/>
          <w:color w:val="auto"/>
        </w:rPr>
      </w:pPr>
    </w:p>
    <w:p>
      <w:pPr>
        <w:jc w:val="both"/>
        <w:ind w:firstLine="656"/>
        <w:spacing w:after="0" w:line="256" w:lineRule="auto"/>
        <w:tabs>
          <w:tab w:leader="none" w:pos="1061"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Each Lender severally agrees to pay any amount required to be paid by any Loan Party under paragraph (a) or (b) of this Section 9.03 to the Administrative Agent, each Issuing Bank and the Swingline Lender, and each Related Party of any of the foregoing Persons (each, an “Agent Indemnitee”) (to the extent not reimbursed by a Loan Party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w:t>
      </w:r>
    </w:p>
    <w:p>
      <w:pPr>
        <w:sectPr>
          <w:pgSz w:w="11900" w:h="16838" w:orient="portrait"/>
          <w:cols w:equalWidth="0" w:num="1">
            <w:col w:w="11420"/>
          </w:cols>
          <w:pgMar w:left="240" w:top="582" w:right="239" w:bottom="1440" w:gutter="0" w:footer="0" w:header="0"/>
        </w:sectPr>
      </w:pPr>
    </w:p>
    <w:bookmarkStart w:id="137" w:name="page138"/>
    <w:bookmarkEnd w:id="137"/>
    <w:p>
      <w:pPr>
        <w:jc w:val="both"/>
        <w:spacing w:after="0" w:line="276" w:lineRule="auto"/>
        <w:rPr>
          <w:sz w:val="20"/>
          <w:szCs w:val="20"/>
          <w:color w:val="auto"/>
        </w:rPr>
      </w:pPr>
      <w:r>
        <w:rPr>
          <w:rFonts w:ascii="Arial" w:cs="Arial" w:eastAsia="Arial" w:hAnsi="Arial"/>
          <w:sz w:val="18"/>
          <w:szCs w:val="18"/>
          <w:color w:val="auto"/>
        </w:rPr>
        <w:t>hereby or thereby or any action taken or omitted by such Agent Indemnitee under or in connection with any of the foregoing; provided that the unreimbursed expense or indemnified loss, claim, damage, liability or related expense, as the case may be, was incurred by or asserted against such Agent Indemnitee in its capacity as such; provided, further,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in Full of the Secured Obligations.</w:t>
      </w:r>
    </w:p>
    <w:p>
      <w:pPr>
        <w:spacing w:after="0" w:line="165" w:lineRule="exact"/>
        <w:rPr>
          <w:sz w:val="20"/>
          <w:szCs w:val="20"/>
          <w:color w:val="auto"/>
        </w:rPr>
      </w:pPr>
    </w:p>
    <w:p>
      <w:pPr>
        <w:jc w:val="both"/>
        <w:ind w:firstLine="656"/>
        <w:spacing w:after="0" w:line="274" w:lineRule="auto"/>
        <w:tabs>
          <w:tab w:leader="none" w:pos="108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paragraph (d) shall relieve any Loan Party of any obligation it may have to indemnify an Indemnitee against special, indirect, consequential or punitive damages asserted against such Indemnitee by a third party.</w:t>
      </w:r>
    </w:p>
    <w:p>
      <w:pPr>
        <w:spacing w:after="0" w:line="169" w:lineRule="exact"/>
        <w:rPr>
          <w:rFonts w:ascii="Arial" w:cs="Arial" w:eastAsia="Arial" w:hAnsi="Arial"/>
          <w:sz w:val="18"/>
          <w:szCs w:val="18"/>
          <w:color w:val="auto"/>
        </w:rPr>
      </w:pPr>
    </w:p>
    <w:p>
      <w:pPr>
        <w:ind w:left="1060" w:hanging="404"/>
        <w:spacing w:after="0"/>
        <w:tabs>
          <w:tab w:leader="none" w:pos="10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All amounts due under this Section shall be payable promptly after written demand therefor.</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w:t>
      </w:r>
    </w:p>
    <w:p>
      <w:pPr>
        <w:spacing w:after="0" w:line="192" w:lineRule="exact"/>
        <w:rPr>
          <w:sz w:val="20"/>
          <w:szCs w:val="20"/>
          <w:color w:val="auto"/>
        </w:rPr>
      </w:pPr>
    </w:p>
    <w:p>
      <w:pPr>
        <w:jc w:val="both"/>
        <w:ind w:left="660" w:firstLine="1293"/>
        <w:spacing w:after="0" w:line="244" w:lineRule="auto"/>
        <w:tabs>
          <w:tab w:leader="none" w:pos="246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the Borrower Representative,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Representative shall be deemed to have consented to any such assignment of all or a portion of the Revolving Loans and Commitments unless it shall object thereto by written notice to the Administrative Agent within ten (10) Business Days after having received notice thereof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194" w:lineRule="exact"/>
        <w:rPr>
          <w:rFonts w:ascii="Arial" w:cs="Arial" w:eastAsia="Arial" w:hAnsi="Arial"/>
          <w:sz w:val="20"/>
          <w:szCs w:val="20"/>
          <w:color w:val="auto"/>
        </w:rPr>
      </w:pPr>
    </w:p>
    <w:p>
      <w:pPr>
        <w:ind w:left="2400" w:hanging="447"/>
        <w:spacing w:after="0"/>
        <w:tabs>
          <w:tab w:leader="none" w:pos="240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Administrative Agent; and</w:t>
      </w:r>
    </w:p>
    <w:p>
      <w:pPr>
        <w:spacing w:after="0" w:line="215" w:lineRule="exact"/>
        <w:rPr>
          <w:rFonts w:ascii="Arial" w:cs="Arial" w:eastAsia="Arial" w:hAnsi="Arial"/>
          <w:sz w:val="20"/>
          <w:szCs w:val="20"/>
          <w:color w:val="auto"/>
        </w:rPr>
      </w:pPr>
    </w:p>
    <w:p>
      <w:pPr>
        <w:ind w:left="2400" w:hanging="447"/>
        <w:spacing w:after="0"/>
        <w:tabs>
          <w:tab w:leader="none" w:pos="240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Issuing Bank.</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5" w:lineRule="exact"/>
        <w:rPr>
          <w:rFonts w:ascii="Arial" w:cs="Arial" w:eastAsia="Arial" w:hAnsi="Arial"/>
          <w:sz w:val="20"/>
          <w:szCs w:val="20"/>
          <w:color w:val="auto"/>
        </w:rPr>
      </w:pPr>
    </w:p>
    <w:p>
      <w:pPr>
        <w:jc w:val="both"/>
        <w:ind w:left="660" w:firstLine="1293"/>
        <w:spacing w:after="0" w:line="250" w:lineRule="auto"/>
        <w:tabs>
          <w:tab w:leader="none" w:pos="2411" w:val="left"/>
        </w:tabs>
        <w:numPr>
          <w:ilvl w:val="1"/>
          <w:numId w:val="181"/>
        </w:numPr>
        <w:rPr>
          <w:rFonts w:ascii="Arial" w:cs="Arial" w:eastAsia="Arial" w:hAnsi="Arial"/>
          <w:sz w:val="20"/>
          <w:szCs w:val="20"/>
          <w:color w:val="auto"/>
        </w:rPr>
      </w:pPr>
      <w:r>
        <w:rPr>
          <w:rFonts w:ascii="Arial" w:cs="Arial" w:eastAsia="Arial" w:hAnsi="Arial"/>
          <w:sz w:val="20"/>
          <w:szCs w:val="20"/>
          <w:color w:val="auto"/>
        </w:rPr>
        <w:t>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w:t>
      </w:r>
    </w:p>
    <w:p>
      <w:pPr>
        <w:sectPr>
          <w:pgSz w:w="11900" w:h="16838" w:orient="portrait"/>
          <w:cols w:equalWidth="0" w:num="1">
            <w:col w:w="11420"/>
          </w:cols>
          <w:pgMar w:left="240" w:top="582" w:right="239" w:bottom="1440" w:gutter="0" w:footer="0" w:header="0"/>
        </w:sectPr>
      </w:pPr>
    </w:p>
    <w:bookmarkStart w:id="138" w:name="page139"/>
    <w:bookmarkEnd w:id="138"/>
    <w:p>
      <w:pPr>
        <w:jc w:val="both"/>
        <w:ind w:left="660"/>
        <w:spacing w:after="0" w:line="246" w:lineRule="auto"/>
        <w:rPr>
          <w:sz w:val="20"/>
          <w:szCs w:val="20"/>
          <w:color w:val="auto"/>
        </w:rPr>
      </w:pPr>
      <w:r>
        <w:rPr>
          <w:rFonts w:ascii="Arial" w:cs="Arial" w:eastAsia="Arial" w:hAnsi="Arial"/>
          <w:sz w:val="20"/>
          <w:szCs w:val="20"/>
          <w:color w:val="auto"/>
        </w:rPr>
        <w:t xml:space="preserve">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consent of the Borrower Representative shall be required if an Event of Default has occurred and is continuing;</w:t>
      </w:r>
    </w:p>
    <w:p>
      <w:pPr>
        <w:spacing w:after="0" w:line="192" w:lineRule="exact"/>
        <w:rPr>
          <w:sz w:val="20"/>
          <w:szCs w:val="20"/>
          <w:color w:val="auto"/>
        </w:rPr>
      </w:pPr>
    </w:p>
    <w:p>
      <w:pPr>
        <w:ind w:left="660" w:right="20" w:firstLine="1293"/>
        <w:spacing w:after="0" w:line="260" w:lineRule="auto"/>
        <w:tabs>
          <w:tab w:leader="none" w:pos="24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6" w:lineRule="exact"/>
        <w:rPr>
          <w:rFonts w:ascii="Arial" w:cs="Arial" w:eastAsia="Arial" w:hAnsi="Arial"/>
          <w:sz w:val="20"/>
          <w:szCs w:val="20"/>
          <w:color w:val="auto"/>
        </w:rPr>
      </w:pPr>
    </w:p>
    <w:p>
      <w:pPr>
        <w:jc w:val="both"/>
        <w:ind w:left="660" w:firstLine="1293"/>
        <w:spacing w:after="0" w:line="246" w:lineRule="auto"/>
        <w:tabs>
          <w:tab w:leader="none" w:pos="2495"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91" w:lineRule="exact"/>
        <w:rPr>
          <w:rFonts w:ascii="Arial" w:cs="Arial" w:eastAsia="Arial" w:hAnsi="Arial"/>
          <w:sz w:val="20"/>
          <w:szCs w:val="20"/>
          <w:color w:val="auto"/>
        </w:rPr>
      </w:pPr>
    </w:p>
    <w:p>
      <w:pPr>
        <w:jc w:val="both"/>
        <w:ind w:left="660" w:firstLine="1293"/>
        <w:spacing w:after="0" w:line="244" w:lineRule="auto"/>
        <w:tabs>
          <w:tab w:leader="none" w:pos="241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purposes of this Section 9.04(b), the terms “</w:t>
      </w:r>
      <w:r>
        <w:rPr>
          <w:rFonts w:ascii="Arial" w:cs="Arial" w:eastAsia="Arial" w:hAnsi="Arial"/>
          <w:sz w:val="19"/>
          <w:szCs w:val="19"/>
          <w:u w:val="single" w:color="auto"/>
          <w:color w:val="auto"/>
        </w:rPr>
        <w:t>Approved Fund</w:t>
      </w:r>
      <w:r>
        <w:rPr>
          <w:rFonts w:ascii="Arial" w:cs="Arial" w:eastAsia="Arial" w:hAnsi="Arial"/>
          <w:sz w:val="19"/>
          <w:szCs w:val="19"/>
          <w:color w:val="auto"/>
        </w:rPr>
        <w:t>” and “</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have the following meanings:</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xml:space="preserve">” means a (a) natural person, (b) a Defaulting Lender or its Parent, (c) company, investment vehicle or trust for, or owned and operated for the primary benefit of, a natural person or relative(s)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clause (c),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spacing w:after="0" w:line="179" w:lineRule="exact"/>
        <w:rPr>
          <w:sz w:val="20"/>
          <w:szCs w:val="20"/>
          <w:color w:val="auto"/>
        </w:rPr>
      </w:pPr>
    </w:p>
    <w:p>
      <w:pPr>
        <w:jc w:val="both"/>
        <w:ind w:firstLine="656"/>
        <w:spacing w:after="0" w:line="273" w:lineRule="auto"/>
        <w:tabs>
          <w:tab w:leader="none" w:pos="123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69" w:lineRule="exact"/>
        <w:rPr>
          <w:rFonts w:ascii="Arial" w:cs="Arial" w:eastAsia="Arial" w:hAnsi="Arial"/>
          <w:sz w:val="18"/>
          <w:szCs w:val="18"/>
          <w:color w:val="auto"/>
        </w:rPr>
      </w:pPr>
    </w:p>
    <w:p>
      <w:pPr>
        <w:jc w:val="both"/>
        <w:ind w:firstLine="656"/>
        <w:spacing w:after="0" w:line="244" w:lineRule="auto"/>
        <w:tabs>
          <w:tab w:leader="none" w:pos="111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and the Borrowers, the Administrative Agent, the Issuing Bank and the Lenders shall</w:t>
      </w:r>
    </w:p>
    <w:p>
      <w:pPr>
        <w:sectPr>
          <w:pgSz w:w="11900" w:h="16838" w:orient="portrait"/>
          <w:cols w:equalWidth="0" w:num="1">
            <w:col w:w="11420"/>
          </w:cols>
          <w:pgMar w:left="240" w:top="582" w:right="23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20"/>
          <w:szCs w:val="20"/>
          <w:color w:val="auto"/>
        </w:rPr>
        <w:t>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86" w:lineRule="exact"/>
        <w:rPr>
          <w:sz w:val="20"/>
          <w:szCs w:val="20"/>
          <w:color w:val="auto"/>
        </w:rPr>
      </w:pPr>
    </w:p>
    <w:p>
      <w:pPr>
        <w:jc w:val="both"/>
        <w:ind w:firstLine="656"/>
        <w:spacing w:after="0" w:line="271" w:lineRule="auto"/>
        <w:tabs>
          <w:tab w:leader="none" w:pos="107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75" w:lineRule="exact"/>
        <w:rPr>
          <w:sz w:val="20"/>
          <w:szCs w:val="20"/>
          <w:color w:val="auto"/>
        </w:rPr>
      </w:pPr>
    </w:p>
    <w:p>
      <w:pPr>
        <w:jc w:val="both"/>
        <w:ind w:firstLine="656"/>
        <w:spacing w:after="0" w:line="269" w:lineRule="auto"/>
        <w:tabs>
          <w:tab w:leader="none" w:pos="91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Lender may, without the consent of, or notice to, the Borrowers, the Administrative Agent, the Issuing Bank or the Swingline Lender,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 2.17(f) and (g) (it being understood that the documentation required under Section 2.17(f) shall be delivered to the participating Lender and the information and documentation required under Section 2.17(g) will be delivered to the Borrowers and the Administrative Agent))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“Participant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w:t>
      </w:r>
    </w:p>
    <w:p>
      <w:pPr>
        <w:sectPr>
          <w:pgSz w:w="11900" w:h="16838" w:orient="portrait"/>
          <w:cols w:equalWidth="0" w:num="1">
            <w:col w:w="11420"/>
          </w:cols>
          <w:pgMar w:left="240" w:top="582" w:right="239" w:bottom="1440" w:gutter="0" w:footer="0" w:header="0"/>
        </w:sectPr>
      </w:pPr>
    </w:p>
    <w:bookmarkStart w:id="140" w:name="page141"/>
    <w:bookmarkEnd w:id="140"/>
    <w:p>
      <w:pPr>
        <w:spacing w:after="0" w:line="260" w:lineRule="auto"/>
        <w:rPr>
          <w:sz w:val="20"/>
          <w:szCs w:val="20"/>
          <w:color w:val="auto"/>
        </w:rPr>
      </w:pPr>
      <w:r>
        <w:rPr>
          <w:rFonts w:ascii="Arial" w:cs="Arial" w:eastAsia="Arial" w:hAnsi="Arial"/>
          <w:sz w:val="20"/>
          <w:szCs w:val="20"/>
          <w:color w:val="auto"/>
        </w:rPr>
        <w:t>notice to the contrary. For the avoidance of doubt, the Administrative Agent (in its capacity as Administrative Agent) shall have no responsibility for maintaining a Participant Register.</w:t>
      </w:r>
    </w:p>
    <w:p>
      <w:pPr>
        <w:spacing w:after="0" w:line="177" w:lineRule="exact"/>
        <w:rPr>
          <w:sz w:val="20"/>
          <w:szCs w:val="20"/>
          <w:color w:val="auto"/>
        </w:rPr>
      </w:pPr>
    </w:p>
    <w:p>
      <w:pPr>
        <w:jc w:val="both"/>
        <w:ind w:firstLine="656"/>
        <w:spacing w:after="0" w:line="328" w:lineRule="auto"/>
        <w:tabs>
          <w:tab w:leader="none" w:pos="108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5" w:lineRule="exact"/>
        <w:rPr>
          <w:sz w:val="20"/>
          <w:szCs w:val="20"/>
          <w:color w:val="auto"/>
        </w:rPr>
      </w:pPr>
    </w:p>
    <w:p>
      <w:pPr>
        <w:jc w:val="both"/>
        <w:ind w:firstLine="656"/>
        <w:spacing w:after="0" w:line="272" w:lineRule="auto"/>
        <w:tabs>
          <w:tab w:leader="none" w:pos="92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written consent.</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9.08. </w:t>
      </w:r>
      <w:r>
        <w:rPr>
          <w:rFonts w:ascii="Arial" w:cs="Arial" w:eastAsia="Arial" w:hAnsi="Arial"/>
          <w:sz w:val="20"/>
          <w:szCs w:val="20"/>
          <w:u w:val="single" w:color="auto"/>
          <w:color w:val="auto"/>
        </w:rPr>
        <w:t>Right of Setoff.</w:t>
      </w:r>
      <w:r>
        <w:rPr>
          <w:rFonts w:ascii="Arial" w:cs="Arial" w:eastAsia="Arial" w:hAnsi="Arial"/>
          <w:sz w:val="20"/>
          <w:szCs w:val="20"/>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w:t>
      </w:r>
    </w:p>
    <w:p>
      <w:pPr>
        <w:sectPr>
          <w:pgSz w:w="11900" w:h="16838" w:orient="portrait"/>
          <w:cols w:equalWidth="0" w:num="1">
            <w:col w:w="11420"/>
          </w:cols>
          <w:pgMar w:left="240" w:top="582" w:right="239" w:bottom="1440" w:gutter="0" w:footer="0" w:header="0"/>
        </w:sectPr>
      </w:pPr>
    </w:p>
    <w:bookmarkStart w:id="141" w:name="page142"/>
    <w:bookmarkEnd w:id="141"/>
    <w:p>
      <w:pPr>
        <w:jc w:val="both"/>
        <w:spacing w:after="0" w:line="270" w:lineRule="auto"/>
        <w:rPr>
          <w:sz w:val="20"/>
          <w:szCs w:val="20"/>
          <w:color w:val="auto"/>
        </w:rPr>
      </w:pPr>
      <w:r>
        <w:rPr>
          <w:rFonts w:ascii="Arial" w:cs="Arial" w:eastAsia="Arial" w:hAnsi="Arial"/>
          <w:sz w:val="18"/>
          <w:szCs w:val="18"/>
          <w:color w:val="auto"/>
        </w:rPr>
        <w:t xml:space="preserve">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9.09. </w:t>
      </w:r>
      <w:r>
        <w:rPr>
          <w:rFonts w:ascii="Arial" w:cs="Arial" w:eastAsia="Arial" w:hAnsi="Arial"/>
          <w:sz w:val="20"/>
          <w:szCs w:val="20"/>
          <w:u w:val="single" w:color="auto"/>
          <w:color w:val="auto"/>
        </w:rPr>
        <w:t>Governing Law; Jurisdiction; Consent to Service of Process.</w:t>
      </w:r>
      <w:r>
        <w:rPr>
          <w:rFonts w:ascii="Arial" w:cs="Arial" w:eastAsia="Arial" w:hAnsi="Arial"/>
          <w:sz w:val="20"/>
          <w:szCs w:val="20"/>
          <w:color w:val="auto"/>
        </w:rPr>
        <w:t xml:space="preserve"> (a) The Loan Documents (other than those containing a contrary express choice of law provision) shall be governed by and construed in accordance with the internal laws of the State of Illinois, but giving effect to federal laws applicable to national banks.</w:t>
      </w:r>
    </w:p>
    <w:p>
      <w:pPr>
        <w:spacing w:after="0" w:line="186" w:lineRule="exact"/>
        <w:rPr>
          <w:sz w:val="20"/>
          <w:szCs w:val="20"/>
          <w:color w:val="auto"/>
        </w:rPr>
      </w:pPr>
    </w:p>
    <w:p>
      <w:pPr>
        <w:jc w:val="both"/>
        <w:ind w:firstLine="656"/>
        <w:spacing w:after="0" w:line="263" w:lineRule="auto"/>
        <w:tabs>
          <w:tab w:leader="none" w:pos="124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the Collateral or the consummation or administration of the transactions contemplated hereby or thereby shall be construed in accordance with and governed by the law of the State of Illinois.</w:t>
      </w:r>
    </w:p>
    <w:p>
      <w:pPr>
        <w:spacing w:after="0" w:line="176" w:lineRule="exact"/>
        <w:rPr>
          <w:rFonts w:ascii="Arial" w:cs="Arial" w:eastAsia="Arial" w:hAnsi="Arial"/>
          <w:sz w:val="19"/>
          <w:szCs w:val="19"/>
          <w:color w:val="auto"/>
        </w:rPr>
      </w:pPr>
    </w:p>
    <w:p>
      <w:pPr>
        <w:jc w:val="both"/>
        <w:ind w:firstLine="656"/>
        <w:spacing w:after="0" w:line="271" w:lineRule="auto"/>
        <w:tabs>
          <w:tab w:leader="none" w:pos="11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submits, for itself and its property, to the exclusive jurisdiction of any U.S. federal or Illinois state court sitting in Chicago, Illinois,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Illinois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88" w:lineRule="exact"/>
        <w:rPr>
          <w:rFonts w:ascii="Arial" w:cs="Arial" w:eastAsia="Arial" w:hAnsi="Arial"/>
          <w:sz w:val="18"/>
          <w:szCs w:val="18"/>
          <w:color w:val="auto"/>
        </w:rPr>
      </w:pPr>
    </w:p>
    <w:p>
      <w:pPr>
        <w:jc w:val="both"/>
        <w:ind w:firstLine="656"/>
        <w:spacing w:after="0" w:line="244" w:lineRule="auto"/>
        <w:tabs>
          <w:tab w:leader="none" w:pos="112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14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EACH PARTY HERETO HEREBY WAIVES, TO THE FULLEST EXTENT PERMITTED BY APPLICABLE LAW, ANY RIGHT IT MAY HAVE TO A TRIAL BY JURY IN ANY LEGAL PROCEEDING DIRECTLY OR INDIRECTLY ARISING OUT OF OR RELATING TO THIS</w:t>
      </w:r>
    </w:p>
    <w:p>
      <w:pPr>
        <w:sectPr>
          <w:pgSz w:w="11900" w:h="16838" w:orient="portrait"/>
          <w:cols w:equalWidth="0" w:num="1">
            <w:col w:w="11420"/>
          </w:cols>
          <w:pgMar w:left="240" w:top="582" w:right="239" w:bottom="1440" w:gutter="0" w:footer="0" w:header="0"/>
        </w:sectPr>
      </w:pPr>
    </w:p>
    <w:bookmarkStart w:id="142" w:name="page143"/>
    <w:bookmarkEnd w:id="142"/>
    <w:p>
      <w:pPr>
        <w:jc w:val="both"/>
        <w:spacing w:after="0" w:line="256" w:lineRule="auto"/>
        <w:rPr>
          <w:sz w:val="20"/>
          <w:szCs w:val="20"/>
          <w:color w:val="auto"/>
        </w:rPr>
      </w:pPr>
      <w:r>
        <w:rPr>
          <w:rFonts w:ascii="Arial" w:cs="Arial" w:eastAsia="Arial" w:hAnsi="Arial"/>
          <w:sz w:val="19"/>
          <w:szCs w:val="19"/>
          <w:color w:val="auto"/>
        </w:rPr>
        <w:t>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right="20" w:firstLine="8"/>
        <w:spacing w:after="0" w:line="244" w:lineRule="auto"/>
        <w:tabs>
          <w:tab w:leader="none" w:pos="33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the Administrative Agent, the Issuing Bank and the Lenders agrees to comply with all Requirements of Law pertaining to the confidentiality of Borrower’s Information, and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or otherwise in connection with any regulatory examination of the Administrative Agent or any Lender or in accordance with the Administrative Agent’s or any Lender’s regulatory compliance policy,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(h) to holders of Equity Interests in any Borrower, (i) to any Person providing a Guarantee of all or any portion of the Secured Obligations, or (j) to the extent such Information (i) becomes publicly available other than as a result of a breach of this Section or (ii) becomes available to the Administrative Agent, the Issuing Bank or any Lender on a non-confidential basis from a source other than the Borrowers.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For the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EACH LENDER ACKNOWLEDGES THAT INFORMATION (AS DEFINED IN THIS SECTION 9.12) FURNISHED TO IT PURSUANT TO THIS AGREEMENT MAY INCLUDE MATERIAL NON-PUBLIC INFORMATION CONCERNING THE BORROWERS,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ectPr>
          <w:pgSz w:w="11900" w:h="16838" w:orient="portrait"/>
          <w:cols w:equalWidth="0" w:num="1">
            <w:col w:w="11420"/>
          </w:cols>
          <w:pgMar w:left="240" w:top="582" w:right="239" w:bottom="1440" w:gutter="0" w:footer="0" w:header="0"/>
        </w:sectPr>
      </w:pPr>
    </w:p>
    <w:bookmarkStart w:id="143" w:name="page144"/>
    <w:bookmarkEnd w:id="143"/>
    <w:p>
      <w:pPr>
        <w:jc w:val="both"/>
        <w:ind w:firstLine="1297"/>
        <w:spacing w:after="0" w:line="243" w:lineRule="auto"/>
        <w:rPr>
          <w:sz w:val="20"/>
          <w:szCs w:val="20"/>
          <w:color w:val="auto"/>
        </w:rPr>
      </w:pPr>
      <w:r>
        <w:rPr>
          <w:rFonts w:ascii="Arial" w:cs="Arial" w:eastAsia="Arial" w:hAnsi="Arial"/>
          <w:sz w:val="20"/>
          <w:szCs w:val="20"/>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BORROWERS,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u w:val="single" w:color="auto"/>
          <w:color w:val="auto"/>
        </w:rPr>
        <w:t>Several Obligations; Nonreliance; Violation of Law</w:t>
      </w:r>
      <w:r>
        <w:rPr>
          <w:rFonts w:ascii="Arial" w:cs="Arial" w:eastAsia="Arial" w:hAnsi="Arial"/>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9.14.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9.15. </w:t>
      </w: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u w:val="single" w:color="auto"/>
          <w:color w:val="auto"/>
        </w:rPr>
        <w:t>Appointment for Perfection</w:t>
      </w:r>
      <w:r>
        <w:rPr>
          <w:rFonts w:ascii="Arial" w:cs="Arial" w:eastAsia="Arial" w:hAnsi="Arial"/>
          <w:sz w:val="20"/>
          <w:szCs w:val="20"/>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Marketing Consent</w:t>
      </w:r>
      <w:r>
        <w:rPr>
          <w:rFonts w:ascii="Arial" w:cs="Arial" w:eastAsia="Arial" w:hAnsi="Arial"/>
          <w:sz w:val="18"/>
          <w:szCs w:val="18"/>
          <w:color w:val="auto"/>
        </w:rPr>
        <w:t>. The Borrowers hereby authorize JPMCB and its affiliates (collectively, the “</w:t>
      </w:r>
      <w:r>
        <w:rPr>
          <w:rFonts w:ascii="Arial" w:cs="Arial" w:eastAsia="Arial" w:hAnsi="Arial"/>
          <w:sz w:val="18"/>
          <w:szCs w:val="18"/>
          <w:u w:val="single" w:color="auto"/>
          <w:color w:val="auto"/>
        </w:rPr>
        <w:t>JPMCB Parties</w:t>
      </w:r>
      <w:r>
        <w:rPr>
          <w:rFonts w:ascii="Arial" w:cs="Arial" w:eastAsia="Arial" w:hAnsi="Arial"/>
          <w:sz w:val="18"/>
          <w:szCs w:val="18"/>
          <w:color w:val="auto"/>
        </w:rPr>
        <w:t>”), at their respective sole expense, but without any prior approval by any Borrower, to include the Borrowers’ names and logos in advertising slicks posted on their internet sites, in pitchbooks or sent in mailings to prospective customers and to give such other publicity to this Agreement as each may from time to time determine in its sole discretion. Notwithstanding the foregoing, JPMCB Parties shall not publish the Borrowers’ names in a newspaper or magazine without obtaining the Borrowers’ prior written approval. The foregoing authorization shall</w:t>
      </w:r>
    </w:p>
    <w:p>
      <w:pPr>
        <w:sectPr>
          <w:pgSz w:w="11900" w:h="16838" w:orient="portrait"/>
          <w:cols w:equalWidth="0" w:num="1">
            <w:col w:w="11420"/>
          </w:cols>
          <w:pgMar w:left="240" w:top="576" w:right="2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remain in effect unless and until the Borrower Representative notifies JPMCB in writing that such authorization is revoked.</w:t>
      </w: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77" w:lineRule="exact"/>
        <w:rPr>
          <w:sz w:val="20"/>
          <w:szCs w:val="20"/>
          <w:color w:val="auto"/>
        </w:rPr>
      </w:pPr>
    </w:p>
    <w:p>
      <w:pPr>
        <w:ind w:firstLine="1305"/>
        <w:spacing w:after="0" w:line="260" w:lineRule="auto"/>
        <w:tabs>
          <w:tab w:leader="none" w:pos="169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9" w:lineRule="exact"/>
        <w:rPr>
          <w:rFonts w:ascii="Arial" w:cs="Arial" w:eastAsia="Arial" w:hAnsi="Arial"/>
          <w:sz w:val="20"/>
          <w:szCs w:val="20"/>
          <w:color w:val="auto"/>
        </w:rPr>
      </w:pPr>
    </w:p>
    <w:p>
      <w:pPr>
        <w:ind w:left="1720" w:hanging="415"/>
        <w:spacing w:after="0"/>
        <w:tabs>
          <w:tab w:leader="none" w:pos="172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88" w:lineRule="exact"/>
        <w:rPr>
          <w:rFonts w:ascii="Arial" w:cs="Arial" w:eastAsia="Arial" w:hAnsi="Arial"/>
          <w:sz w:val="20"/>
          <w:szCs w:val="20"/>
          <w:color w:val="auto"/>
        </w:rPr>
      </w:pPr>
    </w:p>
    <w:p>
      <w:pPr>
        <w:ind w:left="2320" w:hanging="367"/>
        <w:spacing w:after="0"/>
        <w:tabs>
          <w:tab w:leader="none" w:pos="23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auto"/>
        </w:rPr>
      </w:pPr>
    </w:p>
    <w:p>
      <w:pPr>
        <w:jc w:val="both"/>
        <w:ind w:left="1300" w:firstLine="653"/>
        <w:spacing w:after="0" w:line="246" w:lineRule="auto"/>
        <w:tabs>
          <w:tab w:leader="none" w:pos="2451" w:val="left"/>
        </w:tabs>
        <w:numPr>
          <w:ilvl w:val="1"/>
          <w:numId w:val="190"/>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4" w:lineRule="exact"/>
        <w:rPr>
          <w:rFonts w:ascii="Arial" w:cs="Arial" w:eastAsia="Arial" w:hAnsi="Arial"/>
          <w:sz w:val="20"/>
          <w:szCs w:val="20"/>
          <w:color w:val="auto"/>
        </w:rPr>
      </w:pPr>
    </w:p>
    <w:p>
      <w:pPr>
        <w:ind w:left="1300" w:firstLine="653"/>
        <w:spacing w:after="0" w:line="260" w:lineRule="auto"/>
        <w:tabs>
          <w:tab w:leader="none" w:pos="2542"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No Fiduciary Duty, etc</w:t>
      </w:r>
      <w:r>
        <w:rPr>
          <w:rFonts w:ascii="Arial" w:cs="Arial" w:eastAsia="Arial" w:hAnsi="Arial"/>
          <w:sz w:val="18"/>
          <w:szCs w:val="18"/>
          <w:color w:val="auto"/>
        </w:rPr>
        <w:t>.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 contemplated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 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w:t>
      </w:r>
    </w:p>
    <w:p>
      <w:pPr>
        <w:sectPr>
          <w:pgSz w:w="11900" w:h="16838" w:orient="portrait"/>
          <w:cols w:equalWidth="0" w:num="1">
            <w:col w:w="11420"/>
          </w:cols>
          <w:pgMar w:left="240" w:top="582" w:right="2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contemplated by the Loan Documents, or to furnish to any Borrower, confidential information obtained from other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Loan Guaranty.</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Guaranty</w:t>
      </w:r>
      <w:r>
        <w:rPr>
          <w:rFonts w:ascii="Arial" w:cs="Arial" w:eastAsia="Arial" w:hAnsi="Arial"/>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Guaranty of Payment</w:t>
      </w:r>
      <w:r>
        <w:rPr>
          <w:rFonts w:ascii="Arial" w:cs="Arial" w:eastAsia="Arial" w:hAnsi="Arial"/>
          <w:sz w:val="19"/>
          <w:szCs w:val="19"/>
          <w:color w:val="auto"/>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Arial" w:cs="Arial" w:eastAsia="Arial" w:hAnsi="Arial"/>
          <w:sz w:val="19"/>
          <w:szCs w:val="19"/>
          <w:u w:val="single" w:color="auto"/>
          <w:color w:val="auto"/>
        </w:rPr>
        <w:t>Obligated Party</w:t>
      </w:r>
      <w:r>
        <w:rPr>
          <w:rFonts w:ascii="Arial" w:cs="Arial" w:eastAsia="Arial" w:hAnsi="Arial"/>
          <w:sz w:val="19"/>
          <w:szCs w:val="19"/>
          <w:color w:val="auto"/>
        </w:rPr>
        <w:t>”), or otherwise to enforce its payment against any collateral securing all or any part of the Guaranteed Obligations.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No Discharge or Diminishment of Loan Guaranty</w:t>
      </w:r>
      <w:r>
        <w:rPr>
          <w:rFonts w:ascii="Arial" w:cs="Arial" w:eastAsia="Arial" w:hAnsi="Arial"/>
          <w:sz w:val="19"/>
          <w:szCs w:val="19"/>
          <w:color w:val="auto"/>
        </w:rPr>
        <w:t>. (a) Except as otherwise provided for herein, the obligations of each Loan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85" w:lineRule="exact"/>
        <w:rPr>
          <w:sz w:val="20"/>
          <w:szCs w:val="20"/>
          <w:color w:val="auto"/>
        </w:rPr>
      </w:pPr>
    </w:p>
    <w:p>
      <w:pPr>
        <w:jc w:val="both"/>
        <w:ind w:firstLine="656"/>
        <w:spacing w:after="0" w:line="246" w:lineRule="auto"/>
        <w:tabs>
          <w:tab w:leader="none" w:pos="1221"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91" w:lineRule="exact"/>
        <w:rPr>
          <w:rFonts w:ascii="Arial" w:cs="Arial" w:eastAsia="Arial" w:hAnsi="Arial"/>
          <w:sz w:val="20"/>
          <w:szCs w:val="20"/>
          <w:color w:val="auto"/>
        </w:rPr>
      </w:pPr>
    </w:p>
    <w:p>
      <w:pPr>
        <w:jc w:val="both"/>
        <w:ind w:firstLine="656"/>
        <w:spacing w:after="0" w:line="244" w:lineRule="auto"/>
        <w:tabs>
          <w:tab w:leader="none" w:pos="1048" w:val="left"/>
        </w:tabs>
        <w:numPr>
          <w:ilvl w:val="0"/>
          <w:numId w:val="191"/>
        </w:numPr>
        <w:rPr>
          <w:rFonts w:ascii="Arial" w:cs="Arial" w:eastAsia="Arial" w:hAnsi="Arial"/>
          <w:sz w:val="20"/>
          <w:szCs w:val="20"/>
          <w:color w:val="auto"/>
        </w:rPr>
      </w:pPr>
      <w:r>
        <w:rPr>
          <w:rFonts w:ascii="Arial" w:cs="Arial" w:eastAsia="Arial" w:hAnsi="Arial"/>
          <w:sz w:val="20"/>
          <w:szCs w:val="20"/>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w:t>
      </w:r>
    </w:p>
    <w:p>
      <w:pPr>
        <w:sectPr>
          <w:pgSz w:w="11900" w:h="16838" w:orient="portrait"/>
          <w:cols w:equalWidth="0" w:num="1">
            <w:col w:w="11420"/>
          </w:cols>
          <w:pgMar w:left="240" w:top="582" w:right="239" w:bottom="1440" w:gutter="0" w:footer="0" w:header="0"/>
        </w:sectPr>
      </w:pPr>
    </w:p>
    <w:bookmarkStart w:id="146" w:name="page147"/>
    <w:bookmarkEnd w:id="146"/>
    <w:p>
      <w:pPr>
        <w:jc w:val="both"/>
        <w:spacing w:after="0" w:line="243" w:lineRule="auto"/>
        <w:rPr>
          <w:sz w:val="20"/>
          <w:szCs w:val="20"/>
          <w:color w:val="auto"/>
        </w:rPr>
      </w:pPr>
      <w:r>
        <w:rPr>
          <w:rFonts w:ascii="Arial" w:cs="Arial" w:eastAsia="Arial" w:hAnsi="Arial"/>
          <w:sz w:val="20"/>
          <w:szCs w:val="20"/>
          <w:color w:val="auto"/>
        </w:rPr>
        <w:t>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 of the Guaranteed Obligations).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Defenses Waived</w:t>
      </w:r>
      <w:r>
        <w:rPr>
          <w:rFonts w:ascii="Arial" w:cs="Arial" w:eastAsia="Arial" w:hAnsi="Arial"/>
          <w:sz w:val="18"/>
          <w:szCs w:val="18"/>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Reinstatement; Stay of Acceleration</w:t>
      </w:r>
      <w:r>
        <w:rPr>
          <w:rFonts w:ascii="Arial" w:cs="Arial" w:eastAsia="Arial" w:hAnsi="Arial"/>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u w:val="single" w:color="auto"/>
          <w:color w:val="auto"/>
        </w:rPr>
        <w:t>Information</w:t>
      </w:r>
      <w:r>
        <w:rPr>
          <w:rFonts w:ascii="Arial" w:cs="Arial" w:eastAsia="Arial" w:hAnsi="Arial"/>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10.08. </w:t>
      </w:r>
      <w:r>
        <w:rPr>
          <w:rFonts w:ascii="Arial" w:cs="Arial" w:eastAsia="Arial" w:hAnsi="Arial"/>
          <w:sz w:val="20"/>
          <w:szCs w:val="20"/>
          <w:u w:val="single" w:color="auto"/>
          <w:color w:val="auto"/>
        </w:rPr>
        <w:t>Termination</w:t>
      </w:r>
      <w:r>
        <w:rPr>
          <w:rFonts w:ascii="Arial" w:cs="Arial" w:eastAsia="Arial" w:hAnsi="Arial"/>
          <w:sz w:val="20"/>
          <w:szCs w:val="20"/>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w:t>
      </w:r>
    </w:p>
    <w:p>
      <w:pPr>
        <w:sectPr>
          <w:pgSz w:w="11900" w:h="16838" w:orient="portrait"/>
          <w:cols w:equalWidth="0" w:num="1">
            <w:col w:w="11420"/>
          </w:cols>
          <w:pgMar w:left="240" w:top="582" w:right="23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0"/>
          <w:szCs w:val="20"/>
          <w:color w:val="auto"/>
        </w:rPr>
        <w:t>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10.09. </w:t>
      </w:r>
      <w:r>
        <w:rPr>
          <w:rFonts w:ascii="Arial" w:cs="Arial" w:eastAsia="Arial" w:hAnsi="Arial"/>
          <w:sz w:val="20"/>
          <w:szCs w:val="20"/>
          <w:u w:val="single" w:color="auto"/>
          <w:color w:val="auto"/>
        </w:rPr>
        <w:t>Taxes</w:t>
      </w:r>
      <w:r>
        <w:rPr>
          <w:rFonts w:ascii="Arial" w:cs="Arial" w:eastAsia="Arial" w:hAnsi="Arial"/>
          <w:sz w:val="20"/>
          <w:szCs w:val="20"/>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u w:val="single" w:color="auto"/>
          <w:color w:val="auto"/>
        </w:rPr>
        <w:t>Maximum Liability</w:t>
      </w:r>
      <w:r>
        <w:rPr>
          <w:rFonts w:ascii="Arial" w:cs="Arial" w:eastAsia="Arial" w:hAnsi="Arial"/>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10.11. </w:t>
      </w:r>
      <w:r>
        <w:rPr>
          <w:rFonts w:ascii="Arial" w:cs="Arial" w:eastAsia="Arial" w:hAnsi="Arial"/>
          <w:sz w:val="20"/>
          <w:szCs w:val="20"/>
          <w:u w:val="single" w:color="auto"/>
          <w:color w:val="auto"/>
        </w:rPr>
        <w:t>Contribution</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56" w:lineRule="auto"/>
        <w:tabs>
          <w:tab w:leader="none" w:pos="1749"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To the extent that any Loan Guarantor shall make a payment under this Loan Guaranty (a “</w:t>
      </w:r>
      <w:r>
        <w:rPr>
          <w:rFonts w:ascii="Arial" w:cs="Arial" w:eastAsia="Arial" w:hAnsi="Arial"/>
          <w:sz w:val="19"/>
          <w:szCs w:val="19"/>
          <w:u w:val="single" w:color="auto"/>
          <w:color w:val="auto"/>
        </w:rPr>
        <w:t>Guarantor Payment</w:t>
      </w:r>
      <w:r>
        <w:rPr>
          <w:rFonts w:ascii="Arial" w:cs="Arial" w:eastAsia="Arial" w:hAnsi="Arial"/>
          <w:sz w:val="19"/>
          <w:szCs w:val="19"/>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81" w:lineRule="exact"/>
        <w:rPr>
          <w:rFonts w:ascii="Arial" w:cs="Arial" w:eastAsia="Arial" w:hAnsi="Arial"/>
          <w:sz w:val="19"/>
          <w:szCs w:val="19"/>
          <w:color w:val="auto"/>
        </w:rPr>
      </w:pPr>
    </w:p>
    <w:p>
      <w:pPr>
        <w:jc w:val="both"/>
        <w:ind w:left="660" w:firstLine="645"/>
        <w:spacing w:after="0" w:line="260" w:lineRule="auto"/>
        <w:tabs>
          <w:tab w:leader="none" w:pos="17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0" w:lineRule="exact"/>
        <w:rPr>
          <w:rFonts w:ascii="Arial" w:cs="Arial" w:eastAsia="Arial" w:hAnsi="Arial"/>
          <w:sz w:val="19"/>
          <w:szCs w:val="19"/>
          <w:color w:val="auto"/>
        </w:rPr>
      </w:pPr>
    </w:p>
    <w:p>
      <w:pPr>
        <w:jc w:val="both"/>
        <w:ind w:left="660" w:firstLine="645"/>
        <w:spacing w:after="0" w:line="250" w:lineRule="auto"/>
        <w:tabs>
          <w:tab w:leader="none" w:pos="1789"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86" w:lineRule="exact"/>
        <w:rPr>
          <w:rFonts w:ascii="Arial" w:cs="Arial" w:eastAsia="Arial" w:hAnsi="Arial"/>
          <w:sz w:val="20"/>
          <w:szCs w:val="20"/>
          <w:color w:val="auto"/>
        </w:rPr>
      </w:pPr>
    </w:p>
    <w:p>
      <w:pPr>
        <w:ind w:left="660" w:firstLine="645"/>
        <w:spacing w:after="0" w:line="260" w:lineRule="auto"/>
        <w:tabs>
          <w:tab w:leader="none" w:pos="173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ectPr>
          <w:pgSz w:w="11900" w:h="16838" w:orient="portrait"/>
          <w:cols w:equalWidth="0" w:num="1">
            <w:col w:w="11420"/>
          </w:cols>
          <w:pgMar w:left="240" w:top="582" w:right="239" w:bottom="1440" w:gutter="0" w:footer="0" w:header="0"/>
        </w:sectPr>
      </w:pPr>
    </w:p>
    <w:bookmarkStart w:id="148" w:name="page149"/>
    <w:bookmarkEnd w:id="148"/>
    <w:p>
      <w:pPr>
        <w:ind w:left="660" w:right="20" w:firstLine="645"/>
        <w:spacing w:after="0" w:line="260" w:lineRule="auto"/>
        <w:tabs>
          <w:tab w:leader="none" w:pos="187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Liability Cumulative</w:t>
      </w:r>
      <w:r>
        <w:rPr>
          <w:rFonts w:ascii="Arial" w:cs="Arial" w:eastAsia="Arial" w:hAnsi="Arial"/>
          <w:sz w:val="20"/>
          <w:szCs w:val="20"/>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Keepwell</w:t>
      </w:r>
      <w:r>
        <w:rPr>
          <w:rFonts w:ascii="Arial" w:cs="Arial" w:eastAsia="Arial" w:hAnsi="Arial"/>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Borrower Representative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Appointment; Nature of Relationship</w:t>
      </w:r>
      <w:r>
        <w:rPr>
          <w:rFonts w:ascii="Arial" w:cs="Arial" w:eastAsia="Arial" w:hAnsi="Arial"/>
          <w:sz w:val="19"/>
          <w:szCs w:val="19"/>
          <w:color w:val="auto"/>
        </w:rPr>
        <w:t>. The Company is hereby appointed by each of the Borrowers as its contractual representative (herein referred to as the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provided that, in the case of a Revolving Loan, such amount shall not exceed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Powers</w:t>
      </w:r>
      <w:r>
        <w:rPr>
          <w:rFonts w:ascii="Arial" w:cs="Arial" w:eastAsia="Arial" w:hAnsi="Arial"/>
          <w:sz w:val="19"/>
          <w:szCs w:val="19"/>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u w:val="single" w:color="auto"/>
          <w:color w:val="auto"/>
        </w:rPr>
        <w:t>Employment of Agents</w:t>
      </w:r>
      <w:r>
        <w:rPr>
          <w:rFonts w:ascii="Arial" w:cs="Arial" w:eastAsia="Arial" w:hAnsi="Arial"/>
          <w:sz w:val="20"/>
          <w:szCs w:val="20"/>
          <w:color w:val="auto"/>
        </w:rPr>
        <w:t>. The Borrower Representative may execute any of its duties as the Borrower Representative hereunder and under any other Loan Document by or through authorized officers.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11.04. </w:t>
      </w:r>
      <w:r>
        <w:rPr>
          <w:rFonts w:ascii="Arial" w:cs="Arial" w:eastAsia="Arial" w:hAnsi="Arial"/>
          <w:sz w:val="20"/>
          <w:szCs w:val="20"/>
          <w:u w:val="single" w:color="auto"/>
          <w:color w:val="auto"/>
        </w:rPr>
        <w:t>Notices</w:t>
      </w:r>
      <w:r>
        <w:rPr>
          <w:rFonts w:ascii="Arial" w:cs="Arial" w:eastAsia="Arial" w:hAnsi="Arial"/>
          <w:sz w:val="20"/>
          <w:szCs w:val="20"/>
          <w:color w:val="auto"/>
        </w:rPr>
        <w:t>. Each Borrower shall immediately notify the Borrower Representative of the occurrence of any Default hereunder referring to this Agreement describing such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ectPr>
          <w:pgSz w:w="11900" w:h="16838" w:orient="portrait"/>
          <w:cols w:equalWidth="0" w:num="1">
            <w:col w:w="11420"/>
          </w:cols>
          <w:pgMar w:left="240" w:top="582" w:right="239" w:bottom="1440" w:gutter="0" w:footer="0" w:header="0"/>
        </w:sectPr>
      </w:pPr>
    </w:p>
    <w:bookmarkStart w:id="149" w:name="page150"/>
    <w:bookmarkEnd w:id="149"/>
    <w:p>
      <w:pPr>
        <w:jc w:val="both"/>
        <w:ind w:firstLine="648"/>
        <w:spacing w:after="0" w:line="250"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u w:val="single" w:color="auto"/>
          <w:color w:val="auto"/>
        </w:rPr>
        <w:t>Successor Borrower Representative</w:t>
      </w:r>
      <w:r>
        <w:rPr>
          <w:rFonts w:ascii="Arial" w:cs="Arial" w:eastAsia="Arial" w:hAnsi="Arial"/>
          <w:sz w:val="20"/>
          <w:szCs w:val="20"/>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Execution of Loan Documents; Borrowing Base Certificate</w:t>
      </w:r>
      <w:r>
        <w:rPr>
          <w:rFonts w:ascii="Arial" w:cs="Arial" w:eastAsia="Arial" w:hAnsi="Arial"/>
          <w:sz w:val="19"/>
          <w:szCs w:val="19"/>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u w:val="single" w:color="auto"/>
          <w:color w:val="auto"/>
        </w:rPr>
        <w:t>Reporting</w:t>
      </w:r>
      <w:r>
        <w:rPr>
          <w:rFonts w:ascii="Arial" w:cs="Arial" w:eastAsia="Arial" w:hAnsi="Arial"/>
          <w:sz w:val="20"/>
          <w:szCs w:val="20"/>
          <w:color w:val="auto"/>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582" w:right="239" w:bottom="1440" w:gutter="0" w:footer="0" w:header="0"/>
        </w:sectPr>
      </w:pPr>
    </w:p>
    <w:bookmarkStart w:id="150" w:name="page151"/>
    <w:bookmarkEnd w:id="15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respective authorized officers as of the day and year first above written.</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BORROWERS: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VERA BRADLEY DESIGNS, INC.</w:t>
      </w:r>
    </w:p>
    <w:p>
      <w:pPr>
        <w:spacing w:after="0" w:line="200" w:lineRule="exact"/>
        <w:rPr>
          <w:sz w:val="20"/>
          <w:szCs w:val="20"/>
          <w:color w:val="auto"/>
        </w:rPr>
      </w:pPr>
    </w:p>
    <w:p>
      <w:pPr>
        <w:spacing w:after="0" w:line="389" w:lineRule="exact"/>
        <w:rPr>
          <w:sz w:val="20"/>
          <w:szCs w:val="20"/>
          <w:color w:val="auto"/>
        </w:rPr>
      </w:pPr>
    </w:p>
    <w:tbl>
      <w:tblPr>
        <w:tblLayout w:type="fixed"/>
        <w:tblInd w:w="3900" w:type="dxa"/>
        <w:tblCellMar>
          <w:top w:w="0" w:type="dxa"/>
          <w:left w:w="0" w:type="dxa"/>
          <w:bottom w:w="0" w:type="dxa"/>
          <w:right w:w="0" w:type="dxa"/>
        </w:tblCellMar>
      </w:tblPr>
      <w:tr>
        <w:trPr>
          <w:trHeight w:val="285"/>
        </w:trPr>
        <w:tc>
          <w:tcPr>
            <w:tcW w:w="1820" w:type="dxa"/>
            <w:vAlign w:val="bottom"/>
          </w:tcPr>
          <w:p>
            <w:pPr>
              <w:ind w:left="700"/>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820" w:type="dxa"/>
            <w:vAlign w:val="bottom"/>
          </w:tcPr>
          <w:p>
            <w:pPr>
              <w:ind w:left="700"/>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820" w:type="dxa"/>
            <w:vAlign w:val="bottom"/>
          </w:tcPr>
          <w:p>
            <w:pPr>
              <w:ind w:left="700"/>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r>
        <w:trPr>
          <w:trHeight w:val="696"/>
        </w:trPr>
        <w:tc>
          <w:tcPr>
            <w:tcW w:w="7040" w:type="dxa"/>
            <w:vAlign w:val="bottom"/>
            <w:gridSpan w:val="2"/>
          </w:tcPr>
          <w:p>
            <w:pPr>
              <w:spacing w:after="0"/>
              <w:rPr>
                <w:sz w:val="20"/>
                <w:szCs w:val="20"/>
                <w:color w:val="auto"/>
              </w:rPr>
            </w:pPr>
            <w:r>
              <w:rPr>
                <w:rFonts w:ascii="Arial" w:cs="Arial" w:eastAsia="Arial" w:hAnsi="Arial"/>
                <w:sz w:val="20"/>
                <w:szCs w:val="20"/>
                <w:color w:val="auto"/>
              </w:rPr>
              <w:t>VERA BRADLEY INTERNATIONAL, LLC</w:t>
            </w:r>
          </w:p>
        </w:tc>
      </w:tr>
      <w:tr>
        <w:trPr>
          <w:trHeight w:val="638"/>
        </w:trPr>
        <w:tc>
          <w:tcPr>
            <w:tcW w:w="1820" w:type="dxa"/>
            <w:vAlign w:val="bottom"/>
          </w:tcPr>
          <w:p>
            <w:pPr>
              <w:ind w:left="700"/>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820" w:type="dxa"/>
            <w:vAlign w:val="bottom"/>
          </w:tcPr>
          <w:p>
            <w:pPr>
              <w:ind w:left="700"/>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820" w:type="dxa"/>
            <w:vAlign w:val="bottom"/>
          </w:tcPr>
          <w:p>
            <w:pPr>
              <w:ind w:left="700"/>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r>
        <w:trPr>
          <w:trHeight w:val="912"/>
        </w:trPr>
        <w:tc>
          <w:tcPr>
            <w:tcW w:w="7040" w:type="dxa"/>
            <w:vAlign w:val="bottom"/>
            <w:gridSpan w:val="2"/>
          </w:tcPr>
          <w:p>
            <w:pPr>
              <w:spacing w:after="0"/>
              <w:rPr>
                <w:sz w:val="20"/>
                <w:szCs w:val="20"/>
                <w:color w:val="auto"/>
              </w:rPr>
            </w:pPr>
            <w:r>
              <w:rPr>
                <w:rFonts w:ascii="Arial" w:cs="Arial" w:eastAsia="Arial" w:hAnsi="Arial"/>
                <w:sz w:val="20"/>
                <w:szCs w:val="20"/>
                <w:color w:val="auto"/>
              </w:rPr>
              <w:t>VERA BRADLEY SALES, LLC</w:t>
            </w:r>
          </w:p>
        </w:tc>
      </w:tr>
      <w:tr>
        <w:trPr>
          <w:trHeight w:val="638"/>
        </w:trPr>
        <w:tc>
          <w:tcPr>
            <w:tcW w:w="1820" w:type="dxa"/>
            <w:vAlign w:val="bottom"/>
          </w:tcPr>
          <w:p>
            <w:pPr>
              <w:ind w:left="700"/>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820" w:type="dxa"/>
            <w:vAlign w:val="bottom"/>
          </w:tcPr>
          <w:p>
            <w:pPr>
              <w:ind w:left="700"/>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820" w:type="dxa"/>
            <w:vAlign w:val="bottom"/>
          </w:tcPr>
          <w:p>
            <w:pPr>
              <w:ind w:left="700"/>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OTHER LOAN PARTIES: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VERA BRADLEY, INC.</w:t>
      </w:r>
    </w:p>
    <w:p>
      <w:pPr>
        <w:spacing w:after="0" w:line="200" w:lineRule="exact"/>
        <w:rPr>
          <w:sz w:val="20"/>
          <w:szCs w:val="20"/>
          <w:color w:val="auto"/>
        </w:rPr>
      </w:pPr>
    </w:p>
    <w:p>
      <w:pPr>
        <w:spacing w:after="0" w:line="389" w:lineRule="exact"/>
        <w:rPr>
          <w:sz w:val="20"/>
          <w:szCs w:val="20"/>
          <w:color w:val="auto"/>
        </w:rPr>
      </w:pPr>
    </w:p>
    <w:tbl>
      <w:tblPr>
        <w:tblLayout w:type="fixed"/>
        <w:tblInd w:w="460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151" w:name="page152"/>
    <w:bookmarkEnd w:id="151"/>
    <w:p>
      <w:pPr>
        <w:ind w:left="2700"/>
        <w:spacing w:after="0" w:line="260" w:lineRule="auto"/>
        <w:rPr>
          <w:sz w:val="20"/>
          <w:szCs w:val="20"/>
          <w:color w:val="auto"/>
        </w:rPr>
      </w:pPr>
      <w:r>
        <w:rPr>
          <w:rFonts w:ascii="Arial" w:cs="Arial" w:eastAsia="Arial" w:hAnsi="Arial"/>
          <w:sz w:val="20"/>
          <w:szCs w:val="20"/>
          <w:color w:val="auto"/>
        </w:rPr>
        <w:t>JPMORGAN CHASE BANK, N.A., individually and as Administrative Agent, Issuing Bank and Swingline Lender</w:t>
      </w:r>
    </w:p>
    <w:p>
      <w:pPr>
        <w:spacing w:after="0" w:line="200" w:lineRule="exact"/>
        <w:rPr>
          <w:sz w:val="20"/>
          <w:szCs w:val="20"/>
          <w:color w:val="auto"/>
        </w:rPr>
      </w:pPr>
    </w:p>
    <w:p>
      <w:pPr>
        <w:spacing w:after="0" w:line="351" w:lineRule="exact"/>
        <w:rPr>
          <w:sz w:val="20"/>
          <w:szCs w:val="20"/>
          <w:color w:val="auto"/>
        </w:rPr>
      </w:pPr>
    </w:p>
    <w:tbl>
      <w:tblPr>
        <w:tblLayout w:type="fixed"/>
        <w:tblInd w:w="340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Stephanie Lis</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Stephanie Lis</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Authorized Officer</w:t>
            </w:r>
          </w:p>
        </w:tc>
      </w:tr>
    </w:tbl>
    <w:p>
      <w:pPr>
        <w:sectPr>
          <w:pgSz w:w="11900" w:h="16838" w:orient="portrait"/>
          <w:cols w:equalWidth="0" w:num="1">
            <w:col w:w="10080"/>
          </w:cols>
          <w:pgMar w:left="1440" w:top="582" w:right="379" w:bottom="1440" w:gutter="0" w:footer="0" w:header="0"/>
        </w:sectPr>
      </w:pPr>
    </w:p>
    <w:bookmarkStart w:id="152" w:name="page153"/>
    <w:bookmarkEnd w:id="152"/>
    <w:p>
      <w:pPr>
        <w:ind w:left="2700"/>
        <w:spacing w:after="0"/>
        <w:rPr>
          <w:sz w:val="20"/>
          <w:szCs w:val="20"/>
          <w:color w:val="auto"/>
        </w:rPr>
      </w:pPr>
      <w:r>
        <w:rPr>
          <w:rFonts w:ascii="Arial" w:cs="Arial" w:eastAsia="Arial" w:hAnsi="Arial"/>
          <w:sz w:val="20"/>
          <w:szCs w:val="20"/>
          <w:color w:val="auto"/>
        </w:rPr>
        <w:t>WELLS FARGO BANK, N.A.</w:t>
      </w:r>
    </w:p>
    <w:p>
      <w:pPr>
        <w:spacing w:after="0" w:line="373" w:lineRule="exact"/>
        <w:rPr>
          <w:sz w:val="20"/>
          <w:szCs w:val="20"/>
          <w:color w:val="auto"/>
        </w:rPr>
      </w:pPr>
    </w:p>
    <w:tbl>
      <w:tblPr>
        <w:tblLayout w:type="fixed"/>
        <w:tblInd w:w="340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Tamar Scoville</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Tamar Scoville</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9740"/>
          </w:cols>
          <w:pgMar w:left="1440" w:top="582" w:right="719" w:bottom="1440" w:gutter="0" w:footer="0" w:header="0"/>
        </w:sectPr>
      </w:pPr>
    </w:p>
    <w:bookmarkStart w:id="153" w:name="page154"/>
    <w:bookmarkEnd w:id="153"/>
    <w:p>
      <w:pPr>
        <w:ind w:left="4480"/>
        <w:spacing w:after="0"/>
        <w:rPr>
          <w:sz w:val="20"/>
          <w:szCs w:val="20"/>
          <w:color w:val="auto"/>
        </w:rPr>
      </w:pPr>
      <w:r>
        <w:rPr>
          <w:rFonts w:ascii="Arial" w:cs="Arial" w:eastAsia="Arial" w:hAnsi="Arial"/>
          <w:sz w:val="20"/>
          <w:szCs w:val="20"/>
          <w:color w:val="auto"/>
        </w:rPr>
        <w:t>COMMITMENT SCHEDULE</w:t>
      </w:r>
    </w:p>
    <w:p>
      <w:pPr>
        <w:spacing w:after="0" w:line="200" w:lineRule="exact"/>
        <w:rPr>
          <w:sz w:val="20"/>
          <w:szCs w:val="20"/>
          <w:color w:val="auto"/>
        </w:rPr>
      </w:pPr>
    </w:p>
    <w:p>
      <w:pPr>
        <w:spacing w:after="0" w:line="364" w:lineRule="exact"/>
        <w:rPr>
          <w:sz w:val="20"/>
          <w:szCs w:val="20"/>
          <w:color w:val="auto"/>
        </w:rPr>
      </w:pPr>
    </w:p>
    <w:tbl>
      <w:tblPr>
        <w:tblLayout w:type="fixed"/>
        <w:tblInd w:w="2930" w:type="dxa"/>
        <w:tblCellMar>
          <w:top w:w="0" w:type="dxa"/>
          <w:left w:w="0" w:type="dxa"/>
          <w:bottom w:w="0" w:type="dxa"/>
          <w:right w:w="0" w:type="dxa"/>
        </w:tblCellMar>
      </w:tblPr>
      <w:tr>
        <w:trPr>
          <w:trHeight w:val="274"/>
        </w:trPr>
        <w:tc>
          <w:tcPr>
            <w:tcW w:w="3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Lender</w:t>
            </w:r>
          </w:p>
        </w:tc>
        <w:tc>
          <w:tcPr>
            <w:tcW w:w="2400" w:type="dxa"/>
            <w:vAlign w:val="bottom"/>
            <w:tcBorders>
              <w:top w:val="single" w:sz="8" w:color="auto"/>
              <w:right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97"/>
              </w:rPr>
              <w:t>Revolving Commitment</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JPMorgan Chase Bank, N.A.</w:t>
            </w:r>
          </w:p>
        </w:tc>
        <w:tc>
          <w:tcPr>
            <w:tcW w:w="240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color w:val="auto"/>
                <w:w w:val="88"/>
              </w:rPr>
              <w:t>$50,000,000</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Wells Fargo Bank, N.A.</w:t>
            </w:r>
          </w:p>
        </w:tc>
        <w:tc>
          <w:tcPr>
            <w:tcW w:w="240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color w:val="auto"/>
                <w:w w:val="88"/>
              </w:rPr>
              <w:t>$25,000,000</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Total</w:t>
            </w:r>
          </w:p>
        </w:tc>
        <w:tc>
          <w:tcPr>
            <w:tcW w:w="240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b w:val="1"/>
                <w:bCs w:val="1"/>
                <w:color w:val="auto"/>
                <w:w w:val="88"/>
              </w:rPr>
              <w:t>$75,000,000</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DETROIT 7-7748 1466002v13</w:t>
      </w:r>
    </w:p>
    <w:p>
      <w:pPr>
        <w:sectPr>
          <w:pgSz w:w="11900" w:h="16838" w:orient="portrait"/>
          <w:cols w:equalWidth="0" w:num="1">
            <w:col w:w="10219"/>
          </w:cols>
          <w:pgMar w:left="240" w:top="582" w:right="1440" w:bottom="1440" w:gutter="0" w:footer="0" w:header="0"/>
        </w:sectPr>
      </w:pPr>
    </w:p>
    <w:bookmarkStart w:id="154" w:name="page155"/>
    <w:bookmarkEnd w:id="1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10.2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PLEDGE AND SECURITY AGREEMENT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THIS PLEDGE AND SECURITY AGREEMENT (as it may be amended, restated, supplemented or otherwise modified from time to time, the “</w:t>
      </w:r>
      <w:r>
        <w:rPr>
          <w:rFonts w:ascii="Arial" w:cs="Arial" w:eastAsia="Arial" w:hAnsi="Arial"/>
          <w:sz w:val="19"/>
          <w:szCs w:val="19"/>
          <w:u w:val="single" w:color="auto"/>
          <w:color w:val="auto"/>
        </w:rPr>
        <w:t>Security Agreement</w:t>
      </w:r>
      <w:r>
        <w:rPr>
          <w:rFonts w:ascii="Arial" w:cs="Arial" w:eastAsia="Arial" w:hAnsi="Arial"/>
          <w:sz w:val="19"/>
          <w:szCs w:val="19"/>
          <w:color w:val="auto"/>
        </w:rPr>
        <w:t>”) is entered into as of September 7, 2018 by and among Vera Bradley Designs, Inc., an Indiana corporation (“</w:t>
      </w:r>
      <w:r>
        <w:rPr>
          <w:rFonts w:ascii="Arial" w:cs="Arial" w:eastAsia="Arial" w:hAnsi="Arial"/>
          <w:sz w:val="19"/>
          <w:szCs w:val="19"/>
          <w:u w:val="single" w:color="auto"/>
          <w:color w:val="auto"/>
        </w:rPr>
        <w:t>Vera Bradley Designs</w:t>
      </w:r>
      <w:r>
        <w:rPr>
          <w:rFonts w:ascii="Arial" w:cs="Arial" w:eastAsia="Arial" w:hAnsi="Arial"/>
          <w:sz w:val="19"/>
          <w:szCs w:val="19"/>
          <w:color w:val="auto"/>
        </w:rPr>
        <w:t>”), Vera Bradley, Inc., an Indiana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Vera Bradley International, LLC, an Indiana limited liability company (“</w:t>
      </w:r>
      <w:r>
        <w:rPr>
          <w:rFonts w:ascii="Arial" w:cs="Arial" w:eastAsia="Arial" w:hAnsi="Arial"/>
          <w:sz w:val="19"/>
          <w:szCs w:val="19"/>
          <w:u w:val="single" w:color="auto"/>
          <w:color w:val="auto"/>
        </w:rPr>
        <w:t>VB International</w:t>
      </w:r>
      <w:r>
        <w:rPr>
          <w:rFonts w:ascii="Arial" w:cs="Arial" w:eastAsia="Arial" w:hAnsi="Arial"/>
          <w:sz w:val="19"/>
          <w:szCs w:val="19"/>
          <w:color w:val="auto"/>
        </w:rPr>
        <w:t>”), Vera Bradley Sales, LLC, an Indiana limited liability company (“</w:t>
      </w:r>
      <w:r>
        <w:rPr>
          <w:rFonts w:ascii="Arial" w:cs="Arial" w:eastAsia="Arial" w:hAnsi="Arial"/>
          <w:sz w:val="19"/>
          <w:szCs w:val="19"/>
          <w:u w:val="single" w:color="auto"/>
          <w:color w:val="auto"/>
        </w:rPr>
        <w:t>VB Sales</w:t>
      </w:r>
      <w:r>
        <w:rPr>
          <w:rFonts w:ascii="Arial" w:cs="Arial" w:eastAsia="Arial" w:hAnsi="Arial"/>
          <w:sz w:val="19"/>
          <w:szCs w:val="19"/>
          <w:color w:val="auto"/>
        </w:rPr>
        <w:t>”), and any additional entities which become parties to this Security Agreement by executing a Security Agreement Supplement hereto in substantially the form of Annex I hereto (such additional entities, together with Vera Bradley Designs, Holdings, VB International, and VB Sales, each a “</w:t>
      </w:r>
      <w:r>
        <w:rPr>
          <w:rFonts w:ascii="Arial" w:cs="Arial" w:eastAsia="Arial" w:hAnsi="Arial"/>
          <w:sz w:val="19"/>
          <w:szCs w:val="19"/>
          <w:u w:val="single" w:color="auto"/>
          <w:color w:val="auto"/>
        </w:rPr>
        <w:t>Grantor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Grantors</w:t>
      </w:r>
      <w:r>
        <w:rPr>
          <w:rFonts w:ascii="Arial" w:cs="Arial" w:eastAsia="Arial" w:hAnsi="Arial"/>
          <w:sz w:val="19"/>
          <w:szCs w:val="19"/>
          <w:color w:val="auto"/>
        </w:rPr>
        <w:t>”), and JPMorgan Chase Bank, N.A., in its capacity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lenders party to the Credit Agreement referred to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PRELIMINARY STATEMENT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Grantors, the Administrative Agent, and the Lenders are entering into a Credit Agreement dated as of the date hereof (as it may be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Each Grantor is entering into this Security Agreement in order to induce the Lenders to enter into and extend credit to Vera Bradley Designs, VB International, and VB Sales (in such capacity,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under the Credit Agreement and to secure the Secured Obligations that it has agreed to guarantee pursuant to Article X of the Credit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ACCORDINGLY, the Grantors and the Administrative Agent, on behalf of the Secured Parties, hereby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Terms Defined in Credit Agreement</w:t>
      </w:r>
      <w:r>
        <w:rPr>
          <w:rFonts w:ascii="Arial" w:cs="Arial" w:eastAsia="Arial" w:hAnsi="Arial"/>
          <w:sz w:val="20"/>
          <w:szCs w:val="20"/>
          <w:color w:val="auto"/>
        </w:rPr>
        <w:t>. All capitalized terms used herein and not otherwise defined shall have the meanings assigned to such terms in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Terms Defined in UCC</w:t>
      </w:r>
      <w:r>
        <w:rPr>
          <w:rFonts w:ascii="Arial" w:cs="Arial" w:eastAsia="Arial" w:hAnsi="Arial"/>
          <w:sz w:val="20"/>
          <w:szCs w:val="20"/>
          <w:color w:val="auto"/>
        </w:rPr>
        <w:t>. Terms defined in the UCC which are not otherwise defined in this Security Agreement are used herein as defined in the UCC.</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Definitions of Certain Terms Used Herein</w:t>
      </w:r>
      <w:r>
        <w:rPr>
          <w:rFonts w:ascii="Arial" w:cs="Arial" w:eastAsia="Arial" w:hAnsi="Arial"/>
          <w:sz w:val="20"/>
          <w:szCs w:val="20"/>
          <w:color w:val="auto"/>
        </w:rPr>
        <w:t>. As used in this Security Agreement, in addition to the terms defined in the first paragraph hereof and in the Preliminary Statement, the following terms shall have the following meanings: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Accounts</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Article</w:t>
      </w:r>
      <w:r>
        <w:rPr>
          <w:rFonts w:ascii="Arial" w:cs="Arial" w:eastAsia="Arial" w:hAnsi="Arial"/>
          <w:sz w:val="20"/>
          <w:szCs w:val="20"/>
          <w:color w:val="auto"/>
        </w:rPr>
        <w:t>” means a numbered article of this Security Agreement, unless another document is specifically referenced.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Dominion Period</w:t>
      </w:r>
      <w:r>
        <w:rPr>
          <w:rFonts w:ascii="Arial" w:cs="Arial" w:eastAsia="Arial" w:hAnsi="Arial"/>
          <w:sz w:val="20"/>
          <w:szCs w:val="20"/>
          <w:color w:val="auto"/>
        </w:rPr>
        <w:t>” means any period when any Default exists and any other period beginning on the date that Availability is less than the greater of (i) $10,000,000, and (ii) 12.5% of the Aggregate Revolving Commitment, and ending on the date that Availability has been greater than the foregoing threshold for 60 consecutive days.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Chattel Paper</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of the Credit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shall have the meaning set forth in Article II.</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Access Agreement</w:t>
      </w:r>
      <w:r>
        <w:rPr>
          <w:rFonts w:ascii="Arial" w:cs="Arial" w:eastAsia="Arial" w:hAnsi="Arial"/>
          <w:sz w:val="20"/>
          <w:szCs w:val="20"/>
          <w:color w:val="auto"/>
        </w:rPr>
        <w:t>” means any landlord waiver or other agreement, in form and substance satisfactory to the Administrative Agent, between the Administrative Agent and any third party (including any bailee,</w:t>
      </w:r>
    </w:p>
    <w:p>
      <w:pPr>
        <w:sectPr>
          <w:pgSz w:w="11900" w:h="16838" w:orient="portrait"/>
          <w:cols w:equalWidth="0" w:num="1">
            <w:col w:w="11420"/>
          </w:cols>
          <w:pgMar w:left="240" w:top="576" w:right="239" w:bottom="1440" w:gutter="0" w:footer="0" w:header="0"/>
        </w:sectPr>
      </w:pPr>
    </w:p>
    <w:bookmarkStart w:id="156" w:name="page157"/>
    <w:bookmarkEnd w:id="156"/>
    <w:p>
      <w:pPr>
        <w:jc w:val="both"/>
        <w:ind w:right="20"/>
        <w:spacing w:after="0" w:line="316" w:lineRule="auto"/>
        <w:rPr>
          <w:sz w:val="20"/>
          <w:szCs w:val="20"/>
          <w:color w:val="auto"/>
        </w:rPr>
      </w:pPr>
      <w:r>
        <w:rPr>
          <w:rFonts w:ascii="Arial" w:cs="Arial" w:eastAsia="Arial" w:hAnsi="Arial"/>
          <w:sz w:val="18"/>
          <w:szCs w:val="18"/>
          <w:color w:val="auto"/>
        </w:rPr>
        <w:t>consignee, customs broker, or other similar Person) in possession of any Collateral or any landlord of any real property where any Collateral is located, as such landlord waiver or other agreement may be amended, restated, supplemented or otherwise modified from time to time.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Deposit Account</w:t>
      </w:r>
      <w:r>
        <w:rPr>
          <w:rFonts w:ascii="Arial" w:cs="Arial" w:eastAsia="Arial" w:hAnsi="Arial"/>
          <w:sz w:val="20"/>
          <w:szCs w:val="20"/>
          <w:color w:val="auto"/>
        </w:rPr>
        <w:t>” shall have the meaning set forth in Section 7.1(a).</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Report</w:t>
      </w:r>
      <w:r>
        <w:rPr>
          <w:rFonts w:ascii="Arial" w:cs="Arial" w:eastAsia="Arial" w:hAnsi="Arial"/>
          <w:sz w:val="20"/>
          <w:szCs w:val="20"/>
          <w:color w:val="auto"/>
        </w:rPr>
        <w:t>” means any certificate (including any Borrowing Base Certificate), report or other document delivered by any Grantor to the Administrative Agent or any Lender with respect to the Collateral pursuant to any Loan Document.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Collection Account</w:t>
      </w:r>
      <w:r>
        <w:rPr>
          <w:rFonts w:ascii="Arial" w:cs="Arial" w:eastAsia="Arial" w:hAnsi="Arial"/>
          <w:sz w:val="20"/>
          <w:szCs w:val="20"/>
          <w:color w:val="auto"/>
        </w:rPr>
        <w:t>” shall have the meaning set forth in Section 7.1(b).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shall have the meaning set forth in Article 8 or, if applicable, in Section 9-104, 9-105, 9-106 or 9-107 of Article 9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UCC.</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Agreement</w:t>
      </w:r>
      <w:r>
        <w:rPr>
          <w:rFonts w:ascii="Arial" w:cs="Arial" w:eastAsia="Arial" w:hAnsi="Arial"/>
          <w:sz w:val="20"/>
          <w:szCs w:val="20"/>
          <w:color w:val="auto"/>
        </w:rPr>
        <w:t>” means an agreement, in form and substance satisfactory to the Administrative Agent, among any Loan Party, a bank, financial institution, securities intermediary, or other Person holding such Loan Party’s funds or maintaining a Deposit Account or Securities Account for such Loan Party, and the Administrative Agent for the benefit of the Secured Parties with respect to collection and control of all deposits, balances, securities and other assets held in a Deposit Account or Securities Account maintained by such Loan Party with such bank, financial institution, securities intermediary, or other Person.</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Card Accounts</w:t>
      </w:r>
      <w:r>
        <w:rPr>
          <w:rFonts w:ascii="Arial" w:cs="Arial" w:eastAsia="Arial" w:hAnsi="Arial"/>
          <w:sz w:val="18"/>
          <w:szCs w:val="18"/>
          <w:color w:val="auto"/>
        </w:rPr>
        <w:t>” means any “payment intangibles,” as defined in the UCC, receivables, or other rights to payment of a monetary obligation due to any Debtor from a credit card issuer or a credit card processor in connection with purchases of Inventory of any Debtor in the ordinary course of business on (a) credit cards issued by Visa, MasterCard, American Express, Discover, each of their respective affiliates, and any other credit card issuers, (b) private label credit cards of any Debtor, or (c) debit cards issued by issuers or providers.</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Accounts</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means an event described in Section 5.1.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Exempt Accounts</w:t>
      </w:r>
      <w:r>
        <w:rPr>
          <w:rFonts w:ascii="Arial" w:cs="Arial" w:eastAsia="Arial" w:hAnsi="Arial"/>
          <w:sz w:val="20"/>
          <w:szCs w:val="20"/>
          <w:color w:val="auto"/>
        </w:rPr>
        <w:t>” means certain Deposits Accounts satisfying both of the following requirements: (a) the Administrative Agent has agreed in writing that such Deposits Accounts may be designated as Exempt Accounts and (b) the aggregate amount on deposit in all such Deposit Accounts that are Exempt Accounts does not exceed $1,000,000 in the aggregate at any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Exhibit</w:t>
      </w:r>
      <w:r>
        <w:rPr>
          <w:rFonts w:ascii="Arial" w:cs="Arial" w:eastAsia="Arial" w:hAnsi="Arial"/>
          <w:sz w:val="20"/>
          <w:szCs w:val="20"/>
          <w:color w:val="auto"/>
        </w:rPr>
        <w:t>” refers to a specific exhibit to this Security Agreement, unless another document is specifically referenced.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Intangibles</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Goods</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Instruments</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Property</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the lenders party to the Credit Agreement and their successors and assigns.</w:t>
      </w:r>
    </w:p>
    <w:p>
      <w:pPr>
        <w:sectPr>
          <w:pgSz w:w="11900" w:h="16838" w:orient="portrait"/>
          <w:cols w:equalWidth="0" w:num="1">
            <w:col w:w="11420"/>
          </w:cols>
          <w:pgMar w:left="240" w:top="582" w:right="239" w:bottom="1440" w:gutter="0" w:footer="0" w:header="0"/>
        </w:sectPr>
      </w:pPr>
    </w:p>
    <w:bookmarkStart w:id="157" w:name="page158"/>
    <w:bookmarkEnd w:id="157"/>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all claims, actions, suits, judgments, damages, losses, liability, obligations, responsibilities, fines, penalties, sanctions, costs, fees, Taxes, commissions, charges, disbursements and expenses (including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Lock Boxes</w:t>
      </w:r>
      <w:r>
        <w:rPr>
          <w:rFonts w:ascii="Arial" w:cs="Arial" w:eastAsia="Arial" w:hAnsi="Arial"/>
          <w:sz w:val="20"/>
          <w:szCs w:val="20"/>
          <w:color w:val="auto"/>
        </w:rPr>
        <w:t>” shall have the meaning set forth in Section 7.2.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Lock Box Agreements</w:t>
      </w:r>
      <w:r>
        <w:rPr>
          <w:rFonts w:ascii="Arial" w:cs="Arial" w:eastAsia="Arial" w:hAnsi="Arial"/>
          <w:sz w:val="20"/>
          <w:szCs w:val="20"/>
          <w:color w:val="auto"/>
        </w:rPr>
        <w:t>” shall have the meaning set forth in Section 7.2.</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Collateral</w:t>
      </w:r>
      <w:r>
        <w:rPr>
          <w:rFonts w:ascii="Arial" w:cs="Arial" w:eastAsia="Arial" w:hAnsi="Arial"/>
          <w:sz w:val="20"/>
          <w:szCs w:val="20"/>
          <w:color w:val="auto"/>
        </w:rPr>
        <w:t>” means all Instruments, Securities and other Investment Property of the Grantors, whether or not physically delivered to the Administrative Agent pursuant to this Security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means the Accounts, Credit Card Accounts, Chattel Paper, Documents, Investment Property, Instruments and any other rights or claims to receive money which are General Intangibles or which are otherwise included as Collateral.</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Secured Parties</w:t>
      </w:r>
      <w:r>
        <w:rPr>
          <w:rFonts w:ascii="Arial" w:cs="Arial" w:eastAsia="Arial" w:hAnsi="Arial"/>
          <w:sz w:val="18"/>
          <w:szCs w:val="18"/>
          <w:color w:val="auto"/>
        </w:rPr>
        <w:t>” means (a) prior to an acceleration of the Obligations under the Credit Agreement, the Required Lenders, (b) after an acceleration of the Obligations under the Credit Agreement but prior to the date upon which the Credit Agreement has terminated by its terms and all of the obligations thereunder have been Paid in Full, Lenders holding in the aggregate at least a majority of the total of the Aggregate Credit Exposure, and (c) after the Credit Agreement has terminated by its terms and all of the Obligations thereunder have been Paid in Full (whether or not the Obligations under the Credit Agreement were ever accelerated), the Secured Parties holding in the aggregate at least a majority of the aggregate net early termination payments and all other amounts then due and unpaid from any Grantor to the Secured Parties in respect of the Secured Obligations, as determined by the Administrative Agent in its reasonable discretion.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Retail Store</w:t>
      </w:r>
      <w:r>
        <w:rPr>
          <w:rFonts w:ascii="Arial" w:cs="Arial" w:eastAsia="Arial" w:hAnsi="Arial"/>
          <w:sz w:val="20"/>
          <w:szCs w:val="20"/>
          <w:color w:val="auto"/>
        </w:rPr>
        <w:t>” means any retail store of any Grantor located in the continental U.S.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w:t>
      </w:r>
      <w:r>
        <w:rPr>
          <w:rFonts w:ascii="Arial" w:cs="Arial" w:eastAsia="Arial" w:hAnsi="Arial"/>
          <w:sz w:val="20"/>
          <w:szCs w:val="20"/>
          <w:color w:val="auto"/>
        </w:rPr>
        <w:t>” means a numbered section of this Security Agreement, unless another document is specifically referenced.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Account</w:t>
      </w:r>
      <w:r>
        <w:rPr>
          <w:rFonts w:ascii="Arial" w:cs="Arial" w:eastAsia="Arial" w:hAnsi="Arial"/>
          <w:sz w:val="20"/>
          <w:szCs w:val="20"/>
          <w:color w:val="auto"/>
        </w:rPr>
        <w:t>” shall have the meaning set forth in Article 8 of the UCC.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w:t>
      </w:r>
      <w:r>
        <w:rPr>
          <w:rFonts w:ascii="Arial" w:cs="Arial" w:eastAsia="Arial" w:hAnsi="Arial"/>
          <w:sz w:val="20"/>
          <w:szCs w:val="20"/>
          <w:color w:val="auto"/>
        </w:rPr>
        <w:t>” shall have the meaning set forth in Article 8 of the UCC.</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 Supplement</w:t>
      </w:r>
      <w:r>
        <w:rPr>
          <w:rFonts w:ascii="Arial" w:cs="Arial" w:eastAsia="Arial" w:hAnsi="Arial"/>
          <w:sz w:val="19"/>
          <w:szCs w:val="19"/>
          <w:color w:val="auto"/>
        </w:rPr>
        <w:t>” shall mean any Security Agreement Supplement to this Security Agreement in substantially the form of Annex I hereto executed by an entity that becomes a Grantor under this Security Agreement after the date hereof.</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Rights</w:t>
      </w:r>
      <w:r>
        <w:rPr>
          <w:rFonts w:ascii="Arial" w:cs="Arial" w:eastAsia="Arial" w:hAnsi="Arial"/>
          <w:sz w:val="20"/>
          <w:szCs w:val="20"/>
          <w:color w:val="auto"/>
        </w:rPr>
        <w:t>” means all dividends, instruments or other distributions and any other right or property which the Grantors shall receive or shall become entitled to receive for any reason whatsoever with respect to, in substitution for or in exchange for any Equity Interest constituting Collateral, any right to receive an Equity Interest and any right to receive earnings, in which the Grantors now have or hereafter acquire any right, issued by an issuer of such Equity Interest.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Supporting Obligations</w:t>
      </w:r>
      <w:r>
        <w:rPr>
          <w:rFonts w:ascii="Arial" w:cs="Arial" w:eastAsia="Arial" w:hAnsi="Arial"/>
          <w:sz w:val="20"/>
          <w:szCs w:val="20"/>
          <w:color w:val="auto"/>
        </w:rPr>
        <w:t>” shall have the meaning set forth in Article 9 of the UCC.</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of the State of Illinois or of any other state the laws of which are required as a result thereof to be applied in connection with the attachment, perfection or priority of, or remedies with respect to, Administrative Agent’s or any other Secured Party’s Lien on any Collateral.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foregoing definitions shall be equally applicable to both the singular and plural forms of the defined terms.</w:t>
      </w:r>
    </w:p>
    <w:p>
      <w:pPr>
        <w:sectPr>
          <w:pgSz w:w="11900" w:h="16838" w:orient="portrait"/>
          <w:cols w:equalWidth="0" w:num="1">
            <w:col w:w="11420"/>
          </w:cols>
          <w:pgMar w:left="240" w:top="582"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SECURITY INTEREST</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Grantor hereby pledges, assigns and grants to the Administrative Agent, on behalf of and for the ratable benefit of the Secured Parties, a security interest in all of its right, title and interest in, to and under all personal property and other assets, whether now owned by or owing to, or hereafter acquired by or arising in favor of such Grantor (including under any trade name or derivations thereof), and whether owned or consigned by or to, or leased from or to, such Grantor, and regardless of where located (all of which will be collectively referred to as the “</w:t>
      </w:r>
      <w:r>
        <w:rPr>
          <w:rFonts w:ascii="Arial" w:cs="Arial" w:eastAsia="Arial" w:hAnsi="Arial"/>
          <w:sz w:val="20"/>
          <w:szCs w:val="20"/>
          <w:u w:val="single" w:color="auto"/>
          <w:color w:val="auto"/>
        </w:rPr>
        <w:t>Collateral</w:t>
      </w:r>
      <w:r>
        <w:rPr>
          <w:rFonts w:ascii="Arial" w:cs="Arial" w:eastAsia="Arial" w:hAnsi="Arial"/>
          <w:sz w:val="20"/>
          <w:szCs w:val="20"/>
          <w:color w:val="auto"/>
        </w:rPr>
        <w:t>”), including:</w:t>
      </w:r>
    </w:p>
    <w:p>
      <w:pPr>
        <w:spacing w:after="0" w:line="262" w:lineRule="exact"/>
        <w:rPr>
          <w:sz w:val="20"/>
          <w:szCs w:val="20"/>
          <w:color w:val="auto"/>
        </w:rPr>
      </w:pPr>
    </w:p>
    <w:p>
      <w:pPr>
        <w:ind w:left="2780" w:hanging="827"/>
        <w:spacing w:after="0"/>
        <w:tabs>
          <w:tab w:leader="none" w:pos="278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all Accounts and Credit Card Accounts;</w:t>
      </w:r>
    </w:p>
    <w:p>
      <w:pPr>
        <w:spacing w:after="0" w:line="134" w:lineRule="exact"/>
        <w:rPr>
          <w:rFonts w:ascii="Arial" w:cs="Arial" w:eastAsia="Arial" w:hAnsi="Arial"/>
          <w:sz w:val="18"/>
          <w:szCs w:val="18"/>
          <w:color w:val="auto"/>
        </w:rPr>
      </w:pPr>
    </w:p>
    <w:p>
      <w:pPr>
        <w:ind w:left="2820" w:hanging="867"/>
        <w:spacing w:after="0"/>
        <w:tabs>
          <w:tab w:leader="none" w:pos="282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all Receivables;</w:t>
      </w:r>
    </w:p>
    <w:p>
      <w:pPr>
        <w:spacing w:after="0" w:line="134" w:lineRule="exact"/>
        <w:rPr>
          <w:rFonts w:ascii="Arial" w:cs="Arial" w:eastAsia="Arial" w:hAnsi="Arial"/>
          <w:sz w:val="18"/>
          <w:szCs w:val="18"/>
          <w:color w:val="auto"/>
        </w:rPr>
      </w:pPr>
    </w:p>
    <w:p>
      <w:pPr>
        <w:ind w:left="2880" w:hanging="927"/>
        <w:spacing w:after="0"/>
        <w:tabs>
          <w:tab w:leader="none" w:pos="288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all Inventory;</w:t>
      </w:r>
    </w:p>
    <w:p>
      <w:pPr>
        <w:spacing w:after="0" w:line="67" w:lineRule="exact"/>
        <w:rPr>
          <w:rFonts w:ascii="Arial" w:cs="Arial" w:eastAsia="Arial" w:hAnsi="Arial"/>
          <w:sz w:val="18"/>
          <w:szCs w:val="18"/>
          <w:color w:val="auto"/>
        </w:rPr>
      </w:pPr>
    </w:p>
    <w:p>
      <w:pPr>
        <w:ind w:left="2600" w:hanging="647"/>
        <w:spacing w:after="0"/>
        <w:tabs>
          <w:tab w:leader="none" w:pos="260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all Instruments, Documents, and Chattel Paper evidencing or substituted for the foregoing;</w:t>
      </w:r>
    </w:p>
    <w:p>
      <w:pPr>
        <w:spacing w:after="0" w:line="215" w:lineRule="exact"/>
        <w:rPr>
          <w:rFonts w:ascii="Arial" w:cs="Arial" w:eastAsia="Arial" w:hAnsi="Arial"/>
          <w:sz w:val="18"/>
          <w:szCs w:val="18"/>
          <w:color w:val="auto"/>
        </w:rPr>
      </w:pPr>
    </w:p>
    <w:p>
      <w:pPr>
        <w:ind w:left="2600" w:hanging="647"/>
        <w:spacing w:after="0"/>
        <w:tabs>
          <w:tab w:leader="none" w:pos="260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all Equity Interests in Subsidiaries, subject to Section 5.14(b) of the Credit Agreement;</w:t>
      </w:r>
    </w:p>
    <w:p>
      <w:pPr>
        <w:spacing w:after="0" w:line="215" w:lineRule="exact"/>
        <w:rPr>
          <w:rFonts w:ascii="Arial" w:cs="Arial" w:eastAsia="Arial" w:hAnsi="Arial"/>
          <w:sz w:val="18"/>
          <w:szCs w:val="18"/>
          <w:color w:val="auto"/>
        </w:rPr>
      </w:pPr>
    </w:p>
    <w:p>
      <w:pPr>
        <w:jc w:val="both"/>
        <w:ind w:left="2600" w:hanging="647"/>
        <w:spacing w:after="0" w:line="250" w:lineRule="auto"/>
        <w:tabs>
          <w:tab w:leader="none" w:pos="260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all Deposit Accounts with any bank or other financial institution (including all cash, cash equivalents, financial assets, negotiable instruments and other evidence of payment, and other funds on deposit therein or credited thereto);</w:t>
      </w:r>
    </w:p>
    <w:p>
      <w:pPr>
        <w:spacing w:after="0" w:line="186" w:lineRule="exact"/>
        <w:rPr>
          <w:rFonts w:ascii="Arial" w:cs="Arial" w:eastAsia="Arial" w:hAnsi="Arial"/>
          <w:sz w:val="18"/>
          <w:szCs w:val="18"/>
          <w:color w:val="auto"/>
        </w:rPr>
      </w:pPr>
    </w:p>
    <w:p>
      <w:pPr>
        <w:ind w:left="2600" w:hanging="647"/>
        <w:spacing w:after="0" w:line="260" w:lineRule="auto"/>
        <w:tabs>
          <w:tab w:leader="none" w:pos="260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all Securities Accounts with any securities intermediary (including any and all Investment Property held therein or credited thereto); and</w:t>
      </w:r>
    </w:p>
    <w:p>
      <w:pPr>
        <w:spacing w:after="0" w:line="176" w:lineRule="exact"/>
        <w:rPr>
          <w:rFonts w:ascii="Arial" w:cs="Arial" w:eastAsia="Arial" w:hAnsi="Arial"/>
          <w:sz w:val="18"/>
          <w:szCs w:val="18"/>
          <w:color w:val="auto"/>
        </w:rPr>
      </w:pPr>
    </w:p>
    <w:p>
      <w:pPr>
        <w:jc w:val="both"/>
        <w:ind w:left="2600" w:hanging="647"/>
        <w:spacing w:after="0" w:line="278" w:lineRule="auto"/>
        <w:tabs>
          <w:tab w:leader="none" w:pos="2600" w:val="left"/>
        </w:tabs>
        <w:numPr>
          <w:ilvl w:val="0"/>
          <w:numId w:val="194"/>
        </w:numPr>
        <w:rPr>
          <w:rFonts w:ascii="Arial" w:cs="Arial" w:eastAsia="Arial" w:hAnsi="Arial"/>
          <w:sz w:val="16"/>
          <w:szCs w:val="16"/>
          <w:color w:val="auto"/>
        </w:rPr>
      </w:pPr>
      <w:r>
        <w:rPr>
          <w:rFonts w:ascii="Arial" w:cs="Arial" w:eastAsia="Arial" w:hAnsi="Arial"/>
          <w:sz w:val="18"/>
          <w:szCs w:val="18"/>
          <w:color w:val="auto"/>
        </w:rPr>
        <w:t>all accessions to, substitutions for and replacements, proceeds (including Stock Rights), insurance proceeds, Supporting Obligations, and products of the foregoing and all collateral security and guarantees given by any Person with respect to any of the foregoing, together with all books and records, customer lists, credit files, computer files, programs, printouts and other computer materials and records related thereto and any General Intangibles at any time evidencing or relating to any of the foregoing;</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to secure the prompt and complete payment and performance of the Secured Obligations.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Grantor represents and warrants, and each Grantor that becomes a party to this Security Agreement pursuant to the execution of a Security Agreement Supplement represents and warrants (after giving effect to supplements, if any, to each of the Exhibits hereto with respect to such Grantor as attached to such Security Agreement Supplement), to the Administrative Agent and the Lenders that:</w:t>
      </w:r>
    </w:p>
    <w:p>
      <w:pPr>
        <w:spacing w:after="0" w:line="165" w:lineRule="exact"/>
        <w:rPr>
          <w:sz w:val="20"/>
          <w:szCs w:val="20"/>
          <w:color w:val="auto"/>
        </w:rPr>
      </w:pPr>
    </w:p>
    <w:p>
      <w:pPr>
        <w:jc w:val="both"/>
        <w:ind w:left="660" w:firstLine="645"/>
        <w:spacing w:after="0" w:line="287" w:lineRule="auto"/>
        <w:tabs>
          <w:tab w:leader="none" w:pos="2091" w:val="left"/>
        </w:tabs>
        <w:numPr>
          <w:ilvl w:val="0"/>
          <w:numId w:val="195"/>
        </w:numPr>
        <w:rPr>
          <w:rFonts w:ascii="Arial" w:cs="Arial" w:eastAsia="Arial" w:hAnsi="Arial"/>
          <w:sz w:val="17"/>
          <w:szCs w:val="17"/>
          <w:color w:val="auto"/>
        </w:rPr>
      </w:pPr>
      <w:r>
        <w:rPr>
          <w:rFonts w:ascii="Arial" w:cs="Arial" w:eastAsia="Arial" w:hAnsi="Arial"/>
          <w:sz w:val="19"/>
          <w:szCs w:val="19"/>
          <w:u w:val="single" w:color="auto"/>
          <w:color w:val="auto"/>
        </w:rPr>
        <w:t>Title, Authorization, Validity, Enforceability, Perfection and Priority</w:t>
      </w:r>
      <w:r>
        <w:rPr>
          <w:rFonts w:ascii="Arial" w:cs="Arial" w:eastAsia="Arial" w:hAnsi="Arial"/>
          <w:sz w:val="19"/>
          <w:szCs w:val="19"/>
          <w:color w:val="auto"/>
        </w:rPr>
        <w:t>. Such Grantor has good and valid rights in or the power to transfer the Collateral and title to the Collateral with respect to which it has purported to grant a security interest hereunder, free and clear of all Liens except for Liens permitted under Section 4.1(e), and has full power and authority to grant to the Administrative Agent the security interest in the Collateral pursuant hereto. The execution and delivery by such Grantor of this Security Agreement has been duly authorized by proper corporate or limited liability company proceedings, as applicable, of such Grantor, and this Security Agreement constitutes a legal valid and binding obligation of such Grantor and creates a security interest which is enforceable against such Grantor in all Collateral it now owns or hereafter</w:t>
      </w:r>
    </w:p>
    <w:p>
      <w:pPr>
        <w:sectPr>
          <w:pgSz w:w="11900" w:h="16838" w:orient="portrait"/>
          <w:cols w:equalWidth="0" w:num="1">
            <w:col w:w="11420"/>
          </w:cols>
          <w:pgMar w:left="240" w:top="576" w:right="239" w:bottom="1440" w:gutter="0" w:footer="0" w:header="0"/>
        </w:sectPr>
      </w:pPr>
    </w:p>
    <w:bookmarkStart w:id="159" w:name="page160"/>
    <w:bookmarkEnd w:id="159"/>
    <w:p>
      <w:pPr>
        <w:jc w:val="both"/>
        <w:spacing w:after="0" w:line="273" w:lineRule="auto"/>
        <w:rPr>
          <w:sz w:val="20"/>
          <w:szCs w:val="20"/>
          <w:color w:val="auto"/>
        </w:rPr>
      </w:pPr>
      <w:r>
        <w:rPr>
          <w:rFonts w:ascii="Arial" w:cs="Arial" w:eastAsia="Arial" w:hAnsi="Arial"/>
          <w:sz w:val="20"/>
          <w:szCs w:val="20"/>
          <w:color w:val="auto"/>
        </w:rPr>
        <w:t xml:space="preserve">acquires, subject to applicable bankruptcy, insolvency, reorganization, moratorium or other laws affecting creditors’ rights generally and subject to general principles of equity, regardless of whether considered in a proceeding in equity or at law. When financing statements have been filed in the appropriate offices against such Grantor in the locations listed on </w:t>
      </w:r>
      <w:r>
        <w:rPr>
          <w:rFonts w:ascii="Arial" w:cs="Arial" w:eastAsia="Arial" w:hAnsi="Arial"/>
          <w:sz w:val="20"/>
          <w:szCs w:val="20"/>
          <w:u w:val="single" w:color="auto"/>
          <w:color w:val="auto"/>
        </w:rPr>
        <w:t>Exhibit H</w:t>
      </w:r>
      <w:r>
        <w:rPr>
          <w:rFonts w:ascii="Arial" w:cs="Arial" w:eastAsia="Arial" w:hAnsi="Arial"/>
          <w:sz w:val="20"/>
          <w:szCs w:val="20"/>
          <w:color w:val="auto"/>
        </w:rPr>
        <w:t>, the Administrative Agent will have a fully perfected first priority security interest in that Collateral of such Grantor in which a security interest may be perfected by filing, subject only to Liens permitted under Section 4.1(e).</w:t>
      </w:r>
    </w:p>
    <w:p>
      <w:pPr>
        <w:spacing w:after="0" w:line="191" w:lineRule="exact"/>
        <w:rPr>
          <w:sz w:val="20"/>
          <w:szCs w:val="20"/>
          <w:color w:val="auto"/>
        </w:rPr>
      </w:pPr>
    </w:p>
    <w:p>
      <w:pPr>
        <w:jc w:val="both"/>
        <w:ind w:firstLine="645"/>
        <w:spacing w:after="0" w:line="278" w:lineRule="auto"/>
        <w:tabs>
          <w:tab w:leader="none" w:pos="1431" w:val="left"/>
        </w:tabs>
        <w:numPr>
          <w:ilvl w:val="0"/>
          <w:numId w:val="196"/>
        </w:numPr>
        <w:rPr>
          <w:rFonts w:ascii="Arial" w:cs="Arial" w:eastAsia="Arial" w:hAnsi="Arial"/>
          <w:sz w:val="18"/>
          <w:szCs w:val="18"/>
          <w:color w:val="auto"/>
        </w:rPr>
      </w:pPr>
      <w:r>
        <w:rPr>
          <w:rFonts w:ascii="Arial" w:cs="Arial" w:eastAsia="Arial" w:hAnsi="Arial"/>
          <w:sz w:val="20"/>
          <w:szCs w:val="20"/>
          <w:u w:val="single" w:color="auto"/>
          <w:color w:val="auto"/>
        </w:rPr>
        <w:t>Type and Jurisdiction of Organization, Organizational and Identification Numbers</w:t>
      </w:r>
      <w:r>
        <w:rPr>
          <w:rFonts w:ascii="Arial" w:cs="Arial" w:eastAsia="Arial" w:hAnsi="Arial"/>
          <w:sz w:val="20"/>
          <w:szCs w:val="20"/>
          <w:color w:val="auto"/>
        </w:rPr>
        <w:t xml:space="preserve">. The type of entity of such Grantor, its state of organization, the organizational number issued to it by its state of organization and its federal employer identification number are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6" w:lineRule="exact"/>
        <w:rPr>
          <w:rFonts w:ascii="Arial" w:cs="Arial" w:eastAsia="Arial" w:hAnsi="Arial"/>
          <w:sz w:val="18"/>
          <w:szCs w:val="18"/>
          <w:color w:val="auto"/>
        </w:rPr>
      </w:pPr>
    </w:p>
    <w:p>
      <w:pPr>
        <w:jc w:val="both"/>
        <w:ind w:firstLine="645"/>
        <w:spacing w:after="0" w:line="278" w:lineRule="auto"/>
        <w:tabs>
          <w:tab w:leader="none" w:pos="1431" w:val="left"/>
        </w:tabs>
        <w:numPr>
          <w:ilvl w:val="0"/>
          <w:numId w:val="196"/>
        </w:numPr>
        <w:rPr>
          <w:rFonts w:ascii="Arial" w:cs="Arial" w:eastAsia="Arial" w:hAnsi="Arial"/>
          <w:sz w:val="18"/>
          <w:szCs w:val="18"/>
          <w:color w:val="auto"/>
        </w:rPr>
      </w:pPr>
      <w:r>
        <w:rPr>
          <w:rFonts w:ascii="Arial" w:cs="Arial" w:eastAsia="Arial" w:hAnsi="Arial"/>
          <w:sz w:val="20"/>
          <w:szCs w:val="20"/>
          <w:u w:val="single" w:color="auto"/>
          <w:color w:val="auto"/>
        </w:rPr>
        <w:t>Principal Location</w:t>
      </w:r>
      <w:r>
        <w:rPr>
          <w:rFonts w:ascii="Arial" w:cs="Arial" w:eastAsia="Arial" w:hAnsi="Arial"/>
          <w:sz w:val="20"/>
          <w:szCs w:val="20"/>
          <w:color w:val="auto"/>
        </w:rPr>
        <w:t xml:space="preserve">. Such Grantor’s mailing address and the location of its place of business (if it has only one) or its chief executive office (if it has more than one place of business), are disclosed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such Grantor has no other places of business except those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6" w:lineRule="exact"/>
        <w:rPr>
          <w:rFonts w:ascii="Arial" w:cs="Arial" w:eastAsia="Arial" w:hAnsi="Arial"/>
          <w:sz w:val="18"/>
          <w:szCs w:val="18"/>
          <w:color w:val="auto"/>
        </w:rPr>
      </w:pPr>
    </w:p>
    <w:p>
      <w:pPr>
        <w:jc w:val="both"/>
        <w:ind w:firstLine="645"/>
        <w:spacing w:after="0" w:line="274" w:lineRule="auto"/>
        <w:tabs>
          <w:tab w:leader="none" w:pos="1431" w:val="left"/>
        </w:tabs>
        <w:numPr>
          <w:ilvl w:val="0"/>
          <w:numId w:val="196"/>
        </w:numPr>
        <w:rPr>
          <w:rFonts w:ascii="Arial" w:cs="Arial" w:eastAsia="Arial" w:hAnsi="Arial"/>
          <w:sz w:val="18"/>
          <w:szCs w:val="18"/>
          <w:color w:val="auto"/>
        </w:rPr>
      </w:pPr>
      <w:r>
        <w:rPr>
          <w:rFonts w:ascii="Arial" w:cs="Arial" w:eastAsia="Arial" w:hAnsi="Arial"/>
          <w:sz w:val="20"/>
          <w:szCs w:val="20"/>
          <w:u w:val="single" w:color="auto"/>
          <w:color w:val="auto"/>
        </w:rPr>
        <w:t>Collateral Locations</w:t>
      </w:r>
      <w:r>
        <w:rPr>
          <w:rFonts w:ascii="Arial" w:cs="Arial" w:eastAsia="Arial" w:hAnsi="Arial"/>
          <w:sz w:val="20"/>
          <w:szCs w:val="20"/>
          <w:color w:val="auto"/>
        </w:rPr>
        <w:t xml:space="preserve">. All of such Grantor’s locations where Collateral is located are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All of said locations are owned by such Grantor except for locations (i) which are leased by the Grantor as lessee and designated in </w:t>
      </w:r>
      <w:r>
        <w:rPr>
          <w:rFonts w:ascii="Arial" w:cs="Arial" w:eastAsia="Arial" w:hAnsi="Arial"/>
          <w:sz w:val="20"/>
          <w:szCs w:val="20"/>
          <w:u w:val="single" w:color="auto"/>
          <w:color w:val="auto"/>
        </w:rPr>
        <w:t>Part VII(b)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(ii) at which Inventory is held in a public warehouse or is otherwise held by a bailee or on consignment as designated in </w:t>
      </w:r>
      <w:r>
        <w:rPr>
          <w:rFonts w:ascii="Arial" w:cs="Arial" w:eastAsia="Arial" w:hAnsi="Arial"/>
          <w:sz w:val="20"/>
          <w:szCs w:val="20"/>
          <w:u w:val="single" w:color="auto"/>
          <w:color w:val="auto"/>
        </w:rPr>
        <w:t>Part VII(c)</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Exhibit A.</w:t>
      </w:r>
    </w:p>
    <w:p>
      <w:pPr>
        <w:spacing w:after="0" w:line="192" w:lineRule="exact"/>
        <w:rPr>
          <w:rFonts w:ascii="Arial" w:cs="Arial" w:eastAsia="Arial" w:hAnsi="Arial"/>
          <w:sz w:val="18"/>
          <w:szCs w:val="18"/>
          <w:color w:val="auto"/>
        </w:rPr>
      </w:pPr>
    </w:p>
    <w:p>
      <w:pPr>
        <w:ind w:right="20" w:firstLine="645"/>
        <w:spacing w:after="0" w:line="289" w:lineRule="auto"/>
        <w:tabs>
          <w:tab w:leader="none" w:pos="1431" w:val="left"/>
        </w:tabs>
        <w:numPr>
          <w:ilvl w:val="0"/>
          <w:numId w:val="196"/>
        </w:numPr>
        <w:rPr>
          <w:rFonts w:ascii="Arial" w:cs="Arial" w:eastAsia="Arial" w:hAnsi="Arial"/>
          <w:sz w:val="18"/>
          <w:szCs w:val="18"/>
          <w:color w:val="auto"/>
        </w:rPr>
      </w:pPr>
      <w:r>
        <w:rPr>
          <w:rFonts w:ascii="Arial" w:cs="Arial" w:eastAsia="Arial" w:hAnsi="Arial"/>
          <w:sz w:val="20"/>
          <w:szCs w:val="20"/>
          <w:u w:val="single" w:color="auto"/>
          <w:color w:val="auto"/>
        </w:rPr>
        <w:t>Deposit Accounts and Securities Accounts</w:t>
      </w:r>
      <w:r>
        <w:rPr>
          <w:rFonts w:ascii="Arial" w:cs="Arial" w:eastAsia="Arial" w:hAnsi="Arial"/>
          <w:sz w:val="20"/>
          <w:szCs w:val="20"/>
          <w:color w:val="auto"/>
        </w:rPr>
        <w:t xml:space="preserve">. All of such Grantor’s Deposit Accounts and Securities Accounts are listed on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5" w:lineRule="exact"/>
        <w:rPr>
          <w:rFonts w:ascii="Arial" w:cs="Arial" w:eastAsia="Arial" w:hAnsi="Arial"/>
          <w:sz w:val="18"/>
          <w:szCs w:val="18"/>
          <w:color w:val="auto"/>
        </w:rPr>
      </w:pPr>
    </w:p>
    <w:p>
      <w:pPr>
        <w:jc w:val="both"/>
        <w:ind w:firstLine="645"/>
        <w:spacing w:after="0" w:line="274" w:lineRule="auto"/>
        <w:tabs>
          <w:tab w:leader="none" w:pos="1431" w:val="left"/>
        </w:tabs>
        <w:numPr>
          <w:ilvl w:val="0"/>
          <w:numId w:val="196"/>
        </w:numPr>
        <w:rPr>
          <w:rFonts w:ascii="Arial" w:cs="Arial" w:eastAsia="Arial" w:hAnsi="Arial"/>
          <w:sz w:val="18"/>
          <w:szCs w:val="18"/>
          <w:color w:val="auto"/>
        </w:rPr>
      </w:pPr>
      <w:r>
        <w:rPr>
          <w:rFonts w:ascii="Arial" w:cs="Arial" w:eastAsia="Arial" w:hAnsi="Arial"/>
          <w:sz w:val="20"/>
          <w:szCs w:val="20"/>
          <w:u w:val="single" w:color="auto"/>
          <w:color w:val="auto"/>
        </w:rPr>
        <w:t>Exact Names</w:t>
      </w:r>
      <w:r>
        <w:rPr>
          <w:rFonts w:ascii="Arial" w:cs="Arial" w:eastAsia="Arial" w:hAnsi="Arial"/>
          <w:sz w:val="20"/>
          <w:szCs w:val="20"/>
          <w:color w:val="auto"/>
        </w:rPr>
        <w:t>. Such Grantor’s name in which it has executed this Security Agreement is the exact name as it appears in such Grantor’s organizational documents, as amended, as filed with such Grantor’s jurisdiction of organization. Such Grantor has not, during the past five years, been known by or used any other corporate or fictitious name, or been a party to any merger or consolidation, or been a party to any acquisition.</w:t>
      </w:r>
    </w:p>
    <w:p>
      <w:pPr>
        <w:spacing w:after="0" w:line="192" w:lineRule="exact"/>
        <w:rPr>
          <w:rFonts w:ascii="Arial" w:cs="Arial" w:eastAsia="Arial" w:hAnsi="Arial"/>
          <w:sz w:val="18"/>
          <w:szCs w:val="18"/>
          <w:color w:val="auto"/>
        </w:rPr>
      </w:pPr>
    </w:p>
    <w:p>
      <w:pPr>
        <w:jc w:val="both"/>
        <w:ind w:firstLine="645"/>
        <w:spacing w:after="0" w:line="273" w:lineRule="auto"/>
        <w:tabs>
          <w:tab w:leader="none" w:pos="1431" w:val="left"/>
        </w:tabs>
        <w:numPr>
          <w:ilvl w:val="0"/>
          <w:numId w:val="196"/>
        </w:numPr>
        <w:rPr>
          <w:rFonts w:ascii="Arial" w:cs="Arial" w:eastAsia="Arial" w:hAnsi="Arial"/>
          <w:sz w:val="18"/>
          <w:szCs w:val="18"/>
          <w:color w:val="auto"/>
        </w:rPr>
      </w:pPr>
      <w:r>
        <w:rPr>
          <w:rFonts w:ascii="Arial" w:cs="Arial" w:eastAsia="Arial" w:hAnsi="Arial"/>
          <w:sz w:val="20"/>
          <w:szCs w:val="20"/>
          <w:u w:val="single" w:color="auto"/>
          <w:color w:val="auto"/>
        </w:rPr>
        <w:t>Chattel Paper</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lists all Chattel Paper of such Grantor that is Collateral. All action by such Grantor necessary or desirable to protect and perfect the Administrative Agent’s Lien on each item listed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(including the delivery of all originals and the placement of a legend on all Chattel Paper as required hereunder) has been duly taken. The Administrative Agent will have a fully perfected first priority security interest in the Collateral listed on </w:t>
      </w:r>
      <w:r>
        <w:rPr>
          <w:rFonts w:ascii="Arial" w:cs="Arial" w:eastAsia="Arial" w:hAnsi="Arial"/>
          <w:sz w:val="20"/>
          <w:szCs w:val="20"/>
          <w:u w:val="single" w:color="auto"/>
          <w:color w:val="auto"/>
        </w:rPr>
        <w:t>Exhibit C</w:t>
      </w:r>
      <w:r>
        <w:rPr>
          <w:rFonts w:ascii="Arial" w:cs="Arial" w:eastAsia="Arial" w:hAnsi="Arial"/>
          <w:sz w:val="20"/>
          <w:szCs w:val="20"/>
          <w:color w:val="auto"/>
        </w:rPr>
        <w:t>, subject only to Liens permitted under Section 4.1(e).</w:t>
      </w:r>
    </w:p>
    <w:p>
      <w:pPr>
        <w:spacing w:after="0" w:line="191" w:lineRule="exact"/>
        <w:rPr>
          <w:rFonts w:ascii="Arial" w:cs="Arial" w:eastAsia="Arial" w:hAnsi="Arial"/>
          <w:sz w:val="18"/>
          <w:szCs w:val="18"/>
          <w:color w:val="auto"/>
        </w:rPr>
      </w:pPr>
    </w:p>
    <w:p>
      <w:pPr>
        <w:ind w:left="1420" w:hanging="775"/>
        <w:spacing w:after="0"/>
        <w:tabs>
          <w:tab w:leader="none" w:pos="1420" w:val="left"/>
        </w:tabs>
        <w:numPr>
          <w:ilvl w:val="0"/>
          <w:numId w:val="196"/>
        </w:numPr>
        <w:rPr>
          <w:rFonts w:ascii="Arial" w:cs="Arial" w:eastAsia="Arial" w:hAnsi="Arial"/>
          <w:sz w:val="18"/>
          <w:szCs w:val="18"/>
          <w:color w:val="auto"/>
        </w:rPr>
      </w:pPr>
      <w:r>
        <w:rPr>
          <w:rFonts w:ascii="Arial" w:cs="Arial" w:eastAsia="Arial" w:hAnsi="Arial"/>
          <w:sz w:val="20"/>
          <w:szCs w:val="20"/>
          <w:u w:val="single" w:color="auto"/>
          <w:color w:val="auto"/>
        </w:rPr>
        <w:t>Accounts and Chattel Paper</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jc w:val="both"/>
        <w:ind w:firstLine="1293"/>
        <w:spacing w:after="0" w:line="272" w:lineRule="auto"/>
        <w:tabs>
          <w:tab w:leader="none" w:pos="2144" w:val="left"/>
        </w:tabs>
        <w:numPr>
          <w:ilvl w:val="1"/>
          <w:numId w:val="196"/>
        </w:numPr>
        <w:rPr>
          <w:rFonts w:ascii="Arial" w:cs="Arial" w:eastAsia="Arial" w:hAnsi="Arial"/>
          <w:sz w:val="18"/>
          <w:szCs w:val="18"/>
          <w:color w:val="auto"/>
        </w:rPr>
      </w:pPr>
      <w:r>
        <w:rPr>
          <w:rFonts w:ascii="Arial" w:cs="Arial" w:eastAsia="Arial" w:hAnsi="Arial"/>
          <w:sz w:val="20"/>
          <w:szCs w:val="20"/>
          <w:color w:val="auto"/>
        </w:rPr>
        <w:t>The names of the obligors, amounts owing, due dates and other information with respect to its Accounts and Chattel Paper that is Collateral are and will be correctly stated in all material respects in all records of such Grantor relating thereto and in all invoices and Collateral Reports with respect thereto furnished to the Administrative Agent by such Grantor from time to time. As of the time when each Account or each item of Chattel Paper that shall be Collateral arises, such Grantor shall be deemed to have represented and warranted that such Account or Chattel Paper, as the case may be, and all records relating thereto, are genuine and in all material respects what they purport to be.</w:t>
      </w:r>
    </w:p>
    <w:p>
      <w:pPr>
        <w:spacing w:after="0" w:line="191" w:lineRule="exact"/>
        <w:rPr>
          <w:rFonts w:ascii="Arial" w:cs="Arial" w:eastAsia="Arial" w:hAnsi="Arial"/>
          <w:sz w:val="18"/>
          <w:szCs w:val="18"/>
          <w:color w:val="auto"/>
        </w:rPr>
      </w:pPr>
    </w:p>
    <w:p>
      <w:pPr>
        <w:jc w:val="both"/>
        <w:ind w:firstLine="1293"/>
        <w:spacing w:after="0" w:line="287" w:lineRule="auto"/>
        <w:tabs>
          <w:tab w:leader="none" w:pos="2155" w:val="left"/>
        </w:tabs>
        <w:numPr>
          <w:ilvl w:val="1"/>
          <w:numId w:val="196"/>
        </w:numPr>
        <w:rPr>
          <w:rFonts w:ascii="Arial" w:cs="Arial" w:eastAsia="Arial" w:hAnsi="Arial"/>
          <w:sz w:val="17"/>
          <w:szCs w:val="17"/>
          <w:color w:val="auto"/>
        </w:rPr>
      </w:pPr>
      <w:r>
        <w:rPr>
          <w:rFonts w:ascii="Arial" w:cs="Arial" w:eastAsia="Arial" w:hAnsi="Arial"/>
          <w:sz w:val="19"/>
          <w:szCs w:val="19"/>
          <w:color w:val="auto"/>
        </w:rPr>
        <w:t>With respect to its Accounts, except as specifically disclosed on the most recent Collateral Report, (i) all Accounts are Eligible Accounts; (ii) to such Grantor’s knowledge, there are no facts, events or occurrences which in any way impair the validity or enforceability thereof or could reasonably be expected to reduce the amount payable thereunder as shown on such Grantor’s books and records and any invoices, statements and Collateral Reports with respect thereto; (iii) such Grantor has not received any notice of proceedings or actions which are threatened or pending against any Account Debtor which might result in any adverse change in such Account Debtor’s financial condition; and (iv) such Grantor has no knowledge that any Account Debtor has become insolvent or is generally unable to pay its debts as they become due.</w:t>
      </w:r>
    </w:p>
    <w:p>
      <w:pPr>
        <w:sectPr>
          <w:pgSz w:w="11900" w:h="16838" w:orient="portrait"/>
          <w:cols w:equalWidth="0" w:num="1">
            <w:col w:w="10760"/>
          </w:cols>
          <w:pgMar w:left="900" w:top="595" w:right="239" w:bottom="1440" w:gutter="0" w:footer="0" w:header="0"/>
        </w:sectPr>
      </w:pPr>
    </w:p>
    <w:bookmarkStart w:id="160" w:name="page161"/>
    <w:bookmarkEnd w:id="160"/>
    <w:p>
      <w:pPr>
        <w:jc w:val="both"/>
        <w:ind w:left="-540" w:firstLine="1293"/>
        <w:spacing w:after="0" w:line="273" w:lineRule="auto"/>
        <w:tabs>
          <w:tab w:leader="none" w:pos="1604" w:val="left"/>
        </w:tabs>
        <w:numPr>
          <w:ilvl w:val="1"/>
          <w:numId w:val="197"/>
        </w:numPr>
        <w:rPr>
          <w:rFonts w:ascii="Arial" w:cs="Arial" w:eastAsia="Arial" w:hAnsi="Arial"/>
          <w:sz w:val="18"/>
          <w:szCs w:val="18"/>
          <w:color w:val="auto"/>
        </w:rPr>
      </w:pPr>
      <w:r>
        <w:rPr>
          <w:rFonts w:ascii="Arial" w:cs="Arial" w:eastAsia="Arial" w:hAnsi="Arial"/>
          <w:sz w:val="20"/>
          <w:szCs w:val="20"/>
          <w:color w:val="auto"/>
        </w:rPr>
        <w:t>In addition, with respect to all of its Accounts, (i) the amounts shown on all invoices, statements and Collateral Reports with respect thereto are actually and absolutely owing to such Grantor as indicated thereon and are not in any way contingent; (ii) no payments have been or shall be made thereon except payments immediately delivered to a Lock Box or a Collateral Deposit Account as required pursuant to Sections 7.1 or 7.2; and (iii) to such Grantor’s knowledge, all Account Debtors have the capacity to contract.</w:t>
      </w:r>
    </w:p>
    <w:p>
      <w:pPr>
        <w:spacing w:after="0" w:line="191" w:lineRule="exact"/>
        <w:rPr>
          <w:rFonts w:ascii="Arial" w:cs="Arial" w:eastAsia="Arial" w:hAnsi="Arial"/>
          <w:sz w:val="18"/>
          <w:szCs w:val="18"/>
          <w:color w:val="auto"/>
        </w:rPr>
      </w:pPr>
    </w:p>
    <w:p>
      <w:pPr>
        <w:jc w:val="both"/>
        <w:ind w:left="-540" w:firstLine="645"/>
        <w:spacing w:after="0" w:line="303" w:lineRule="auto"/>
        <w:tabs>
          <w:tab w:leader="none" w:pos="891" w:val="left"/>
        </w:tabs>
        <w:numPr>
          <w:ilvl w:val="0"/>
          <w:numId w:val="198"/>
        </w:numPr>
        <w:rPr>
          <w:rFonts w:ascii="Arial" w:cs="Arial" w:eastAsia="Arial" w:hAnsi="Arial"/>
          <w:sz w:val="16"/>
          <w:szCs w:val="16"/>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With respect to any of its Inventory scheduled or listed on the most recent Collateral Report, except as specifically disclosed on the most recent Collateral Report, (a) such Inventory (other than Inventory in transit) is located at one of such Grantor’s locations as permitted by Sections 4.1(g) or 4.15 hereof, (b) no Inventory (other than Inventory in transit) is now, or shall at any time or times hereafter be stored at any other location except as permitted by Sections 4.1(g) or 4.15 hereof, (c) such Grantor has good, indefeasible and merchantable title to such Inventory, (d) such Inventory is Eligible Inventory, (e) such Inventory has been produced in accordance with the Federal Fair Labor Standards Act of 1938, as amended, and all rules, regulations and orders thereunder and (f) the completion of manufacture, sale or other disposition of such Inventory by the Administrative Agent following an Event of Default shall not require the consent of any Person and shall not constitute a breach or default under any contract or agreement to which such Grantor is a party or to which such property is subject.</w:t>
      </w:r>
    </w:p>
    <w:p>
      <w:pPr>
        <w:spacing w:after="0" w:line="173" w:lineRule="exact"/>
        <w:rPr>
          <w:rFonts w:ascii="Arial" w:cs="Arial" w:eastAsia="Arial" w:hAnsi="Arial"/>
          <w:sz w:val="16"/>
          <w:szCs w:val="16"/>
          <w:color w:val="auto"/>
        </w:rPr>
      </w:pPr>
    </w:p>
    <w:p>
      <w:pPr>
        <w:ind w:left="980" w:hanging="875"/>
        <w:spacing w:after="0"/>
        <w:tabs>
          <w:tab w:leader="none" w:pos="980" w:val="left"/>
        </w:tabs>
        <w:numPr>
          <w:ilvl w:val="0"/>
          <w:numId w:val="198"/>
        </w:numPr>
        <w:rPr>
          <w:rFonts w:ascii="Arial" w:cs="Arial" w:eastAsia="Arial" w:hAnsi="Arial"/>
          <w:sz w:val="18"/>
          <w:szCs w:val="18"/>
          <w:color w:val="auto"/>
        </w:rPr>
      </w:pPr>
      <w:r>
        <w:rPr>
          <w:rFonts w:ascii="Arial" w:cs="Arial" w:eastAsia="Arial" w:hAnsi="Arial"/>
          <w:sz w:val="20"/>
          <w:szCs w:val="20"/>
          <w:u w:val="single" w:color="auto"/>
          <w:color w:val="auto"/>
        </w:rPr>
        <w:t>Reserved.</w:t>
      </w:r>
    </w:p>
    <w:p>
      <w:pPr>
        <w:spacing w:after="0" w:line="242" w:lineRule="exact"/>
        <w:rPr>
          <w:rFonts w:ascii="Arial" w:cs="Arial" w:eastAsia="Arial" w:hAnsi="Arial"/>
          <w:sz w:val="18"/>
          <w:szCs w:val="18"/>
          <w:color w:val="auto"/>
        </w:rPr>
      </w:pPr>
    </w:p>
    <w:p>
      <w:pPr>
        <w:ind w:left="-540" w:firstLine="645"/>
        <w:spacing w:after="0" w:line="289" w:lineRule="auto"/>
        <w:tabs>
          <w:tab w:leader="none" w:pos="975" w:val="left"/>
        </w:tabs>
        <w:numPr>
          <w:ilvl w:val="0"/>
          <w:numId w:val="198"/>
        </w:numPr>
        <w:rPr>
          <w:rFonts w:ascii="Arial" w:cs="Arial" w:eastAsia="Arial" w:hAnsi="Arial"/>
          <w:sz w:val="18"/>
          <w:szCs w:val="18"/>
          <w:color w:val="auto"/>
        </w:rPr>
      </w:pPr>
      <w:r>
        <w:rPr>
          <w:rFonts w:ascii="Arial" w:cs="Arial" w:eastAsia="Arial" w:hAnsi="Arial"/>
          <w:sz w:val="20"/>
          <w:szCs w:val="20"/>
          <w:u w:val="single" w:color="auto"/>
          <w:color w:val="auto"/>
        </w:rPr>
        <w:t>Filing Requirements</w:t>
      </w:r>
      <w:r>
        <w:rPr>
          <w:rFonts w:ascii="Arial" w:cs="Arial" w:eastAsia="Arial" w:hAnsi="Arial"/>
          <w:sz w:val="20"/>
          <w:szCs w:val="20"/>
          <w:color w:val="auto"/>
        </w:rPr>
        <w:t>. None of the Collateral owned by it is of a type for which security interests or liens may be perfected by filing under any federal statute.</w:t>
      </w:r>
    </w:p>
    <w:p>
      <w:pPr>
        <w:spacing w:after="0" w:line="175" w:lineRule="exact"/>
        <w:rPr>
          <w:rFonts w:ascii="Arial" w:cs="Arial" w:eastAsia="Arial" w:hAnsi="Arial"/>
          <w:sz w:val="18"/>
          <w:szCs w:val="18"/>
          <w:color w:val="auto"/>
        </w:rPr>
      </w:pPr>
    </w:p>
    <w:p>
      <w:pPr>
        <w:jc w:val="both"/>
        <w:ind w:left="-540" w:firstLine="645"/>
        <w:spacing w:after="0" w:line="273" w:lineRule="auto"/>
        <w:tabs>
          <w:tab w:leader="none" w:pos="982" w:val="left"/>
        </w:tabs>
        <w:numPr>
          <w:ilvl w:val="0"/>
          <w:numId w:val="198"/>
        </w:numPr>
        <w:rPr>
          <w:rFonts w:ascii="Arial" w:cs="Arial" w:eastAsia="Arial" w:hAnsi="Arial"/>
          <w:sz w:val="18"/>
          <w:szCs w:val="18"/>
          <w:color w:val="auto"/>
        </w:rPr>
      </w:pPr>
      <w:r>
        <w:rPr>
          <w:rFonts w:ascii="Arial" w:cs="Arial" w:eastAsia="Arial" w:hAnsi="Arial"/>
          <w:sz w:val="20"/>
          <w:szCs w:val="20"/>
          <w:u w:val="single" w:color="auto"/>
          <w:color w:val="auto"/>
        </w:rPr>
        <w:t>No Financing Statements, Security Agreements</w:t>
      </w:r>
      <w:r>
        <w:rPr>
          <w:rFonts w:ascii="Arial" w:cs="Arial" w:eastAsia="Arial" w:hAnsi="Arial"/>
          <w:sz w:val="20"/>
          <w:szCs w:val="20"/>
          <w:color w:val="auto"/>
        </w:rPr>
        <w:t>. No financing statement or security agreement describing all or any portion of the Collateral which has not lapsed or been terminated (by a filing authorized by the secured party in respect thereof) naming such Grantor as debtor has been filed or is of record in any jurisdiction except for financing statements or security agreements (a) naming the Administrative Agent on behalf of the Secured Parties as the secured party and (b) in respect to other Permitted Encumbrances.</w:t>
      </w:r>
    </w:p>
    <w:p>
      <w:pPr>
        <w:spacing w:after="0" w:line="191" w:lineRule="exact"/>
        <w:rPr>
          <w:rFonts w:ascii="Arial" w:cs="Arial" w:eastAsia="Arial" w:hAnsi="Arial"/>
          <w:sz w:val="18"/>
          <w:szCs w:val="18"/>
          <w:color w:val="auto"/>
        </w:rPr>
      </w:pPr>
    </w:p>
    <w:p>
      <w:pPr>
        <w:ind w:left="980" w:hanging="875"/>
        <w:spacing w:after="0"/>
        <w:tabs>
          <w:tab w:leader="none" w:pos="980" w:val="left"/>
        </w:tabs>
        <w:numPr>
          <w:ilvl w:val="0"/>
          <w:numId w:val="198"/>
        </w:numPr>
        <w:rPr>
          <w:rFonts w:ascii="Arial" w:cs="Arial" w:eastAsia="Arial" w:hAnsi="Arial"/>
          <w:sz w:val="18"/>
          <w:szCs w:val="18"/>
          <w:color w:val="auto"/>
        </w:rPr>
      </w:pPr>
      <w:r>
        <w:rPr>
          <w:rFonts w:ascii="Arial" w:cs="Arial" w:eastAsia="Arial" w:hAnsi="Arial"/>
          <w:sz w:val="20"/>
          <w:szCs w:val="20"/>
          <w:u w:val="single" w:color="auto"/>
          <w:color w:val="auto"/>
        </w:rPr>
        <w:t>Pledged Collateral</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jc w:val="both"/>
        <w:ind w:left="-540" w:firstLine="1293"/>
        <w:spacing w:after="0" w:line="256" w:lineRule="exact"/>
        <w:tabs>
          <w:tab w:leader="none" w:pos="1604" w:val="left"/>
        </w:tabs>
        <w:numPr>
          <w:ilvl w:val="1"/>
          <w:numId w:val="198"/>
        </w:numPr>
        <w:rPr>
          <w:rFonts w:ascii="Arial" w:cs="Arial" w:eastAsia="Arial" w:hAnsi="Arial"/>
          <w:sz w:val="16"/>
          <w:szCs w:val="16"/>
          <w:color w:val="auto"/>
        </w:rPr>
      </w:pP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sets forth a complete and accurate list of all Pledged Collateral owned by such Grantor. Such Grantor is the direct, sole beneficial owner and sole holder of record of the Pledged Collateral listed on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as being owned by it, free and clear of any Liens, except for any Liens permitted by Section 4.1(e). Such Grantor further represents and warrants that (i) all Pledged Collateral owned by it constituting an Equity Interest has been (to the extent such concepts are relevant with respect to such Pledged Collateral) duly authorized, validly issued, are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(ii) with respect to any certificates delivered to the Administrative Agent representing an Equity Interest, either such certificates are Securities as defined in Article 8 of the UCC as a result of actions by the issuer or otherwise, or, if such certificates are not Securities, such Grantor has so informed the Administrative Agent so that the Administrative Agent may take steps to perfect its security interest therein as a General Intangible, (iii) all such Pledged Collateral held by a securities intermediary is covered by a Control Agreement among such Grantor, the securities intermediary and the Administrative Agent pursuant to which the Administrative Agent has Control and (iv) all Pledged Collateral which represents Indebtedness owed to such Grantor has been duly authorized, authenticated or issued and delivered by the issuer of such Indebtedness, is the legal, valid and binding obligation of such issuer and such issuer is not in default thereunder.</w:t>
      </w:r>
    </w:p>
    <w:p>
      <w:pPr>
        <w:spacing w:after="0" w:line="231" w:lineRule="exact"/>
        <w:rPr>
          <w:rFonts w:ascii="Arial" w:cs="Arial" w:eastAsia="Arial" w:hAnsi="Arial"/>
          <w:sz w:val="16"/>
          <w:szCs w:val="16"/>
          <w:color w:val="auto"/>
        </w:rPr>
      </w:pPr>
    </w:p>
    <w:p>
      <w:pPr>
        <w:jc w:val="both"/>
        <w:ind w:left="-540" w:firstLine="1293"/>
        <w:spacing w:after="0" w:line="307" w:lineRule="auto"/>
        <w:tabs>
          <w:tab w:leader="none" w:pos="1615" w:val="left"/>
        </w:tabs>
        <w:numPr>
          <w:ilvl w:val="1"/>
          <w:numId w:val="198"/>
        </w:numPr>
        <w:rPr>
          <w:rFonts w:ascii="Arial" w:cs="Arial" w:eastAsia="Arial" w:hAnsi="Arial"/>
          <w:sz w:val="16"/>
          <w:szCs w:val="16"/>
          <w:color w:val="auto"/>
        </w:rPr>
      </w:pPr>
      <w:r>
        <w:rPr>
          <w:rFonts w:ascii="Arial" w:cs="Arial" w:eastAsia="Arial" w:hAnsi="Arial"/>
          <w:sz w:val="18"/>
          <w:szCs w:val="18"/>
          <w:color w:val="auto"/>
        </w:rPr>
        <w:t>In addition, (i) none of the Pledged Collateral owned by it has been issued or transferred in violation of the securities registration, securities disclosure or similar laws of any jurisdiction to which such issuance or transfer may be subject, (ii) no options, warrants, calls or commitments of any character whatsoever (A) exist relating to such Pledged Collateral or (B) obligate the issuer of any Equity Interest included in the Pledged Collateral to issue additional Equity Interests, and (iii) no consent, approval, authorization, or other action by, and no giving of notice, filing with, any governmental authority or any other Person is required for the pledge by such Grantor of such Pledged Collateral pursuant to this Security Agreement or for the execution,</w:t>
      </w:r>
    </w:p>
    <w:p>
      <w:pPr>
        <w:sectPr>
          <w:pgSz w:w="11900" w:h="16838" w:orient="portrait"/>
          <w:cols w:equalWidth="0" w:num="1">
            <w:col w:w="10220"/>
          </w:cols>
          <w:pgMar w:left="1440" w:top="596" w:right="239" w:bottom="1440" w:gutter="0" w:footer="0" w:header="0"/>
        </w:sectPr>
      </w:pPr>
    </w:p>
    <w:bookmarkStart w:id="161" w:name="page162"/>
    <w:bookmarkEnd w:id="161"/>
    <w:p>
      <w:pPr>
        <w:jc w:val="both"/>
        <w:ind w:left="660"/>
        <w:spacing w:after="0" w:line="274" w:lineRule="auto"/>
        <w:rPr>
          <w:sz w:val="20"/>
          <w:szCs w:val="20"/>
          <w:color w:val="auto"/>
        </w:rPr>
      </w:pPr>
      <w:r>
        <w:rPr>
          <w:rFonts w:ascii="Arial" w:cs="Arial" w:eastAsia="Arial" w:hAnsi="Arial"/>
          <w:sz w:val="20"/>
          <w:szCs w:val="20"/>
          <w:color w:val="auto"/>
        </w:rPr>
        <w:t>delivery and performance of this Security Agreement by such Grantor, or for the exercise by the Administrative Agent of the voting or other rights provided for in this Security Agreement or for the remedies in respect of the Pledged Collateral pursuant to this Security Agreement, except as may be required in connection with such disposition by laws affecting the offering and sale of securities generally.</w:t>
      </w:r>
    </w:p>
    <w:p>
      <w:pPr>
        <w:spacing w:after="0" w:line="192" w:lineRule="exact"/>
        <w:rPr>
          <w:sz w:val="20"/>
          <w:szCs w:val="20"/>
          <w:color w:val="auto"/>
        </w:rPr>
      </w:pPr>
    </w:p>
    <w:p>
      <w:pPr>
        <w:jc w:val="both"/>
        <w:ind w:left="660" w:right="20" w:firstLine="1293"/>
        <w:spacing w:after="0" w:line="299" w:lineRule="auto"/>
        <w:tabs>
          <w:tab w:leader="none" w:pos="2804" w:val="left"/>
        </w:tabs>
        <w:numPr>
          <w:ilvl w:val="0"/>
          <w:numId w:val="199"/>
        </w:numPr>
        <w:rPr>
          <w:rFonts w:ascii="Arial" w:cs="Arial" w:eastAsia="Arial" w:hAnsi="Arial"/>
          <w:sz w:val="17"/>
          <w:szCs w:val="17"/>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Exhibit G</w:t>
      </w:r>
      <w:r>
        <w:rPr>
          <w:rFonts w:ascii="Arial" w:cs="Arial" w:eastAsia="Arial" w:hAnsi="Arial"/>
          <w:sz w:val="19"/>
          <w:szCs w:val="19"/>
          <w:color w:val="auto"/>
        </w:rPr>
        <w:t>, such Grantor owns 100% of the issued and outstanding Equity Interests which constitute Pledged Collateral owned by it and none of the Pledged Collateral which represents Indebtedness owed to such Grantor is subordinated in right of payment to other Indebtedness or subject to the terms of an indenture.</w:t>
      </w:r>
    </w:p>
    <w:p>
      <w:pPr>
        <w:spacing w:after="0" w:line="36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COVENANTS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From the date of this Security Agreement and thereafter until this Security Agreement is terminated pursuant to the terms hereof, each Grantor party hereto as of the date hereof agrees, and from and after the effective date of any Security Agreement Supplement applicable to any Grantor (and after giving effect to supplements, if any, to each of the Exhibits hereto with respect to such subsequent Grantor as attached to such Security Agreement Supplement) and thereafter until this Security Agreement is terminated pursuant to the terms hereof, each such additional Grantor agrees that:</w:t>
      </w:r>
    </w:p>
    <w:p>
      <w:pPr>
        <w:spacing w:after="0" w:line="1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278" w:lineRule="auto"/>
        <w:tabs>
          <w:tab w:leader="none" w:pos="2804" w:val="left"/>
        </w:tabs>
        <w:numPr>
          <w:ilvl w:val="0"/>
          <w:numId w:val="200"/>
        </w:numPr>
        <w:rPr>
          <w:rFonts w:ascii="Arial" w:cs="Arial" w:eastAsia="Arial" w:hAnsi="Arial"/>
          <w:sz w:val="18"/>
          <w:szCs w:val="18"/>
          <w:color w:val="auto"/>
        </w:rPr>
      </w:pPr>
      <w:r>
        <w:rPr>
          <w:rFonts w:ascii="Arial" w:cs="Arial" w:eastAsia="Arial" w:hAnsi="Arial"/>
          <w:sz w:val="20"/>
          <w:szCs w:val="20"/>
          <w:u w:val="single" w:color="auto"/>
          <w:color w:val="auto"/>
        </w:rPr>
        <w:t>Collateral Records</w:t>
      </w:r>
      <w:r>
        <w:rPr>
          <w:rFonts w:ascii="Arial" w:cs="Arial" w:eastAsia="Arial" w:hAnsi="Arial"/>
          <w:sz w:val="20"/>
          <w:szCs w:val="20"/>
          <w:color w:val="auto"/>
        </w:rPr>
        <w:t>. Such Grantor will maintain complete and accurate books and records with respect to the Collateral owned by it, and furnish to the Administrative Agent, with sufficient copies for each of the Lenders, such reports relating to such Collateral as the Administrative Agent shall from time to time request.</w:t>
      </w:r>
    </w:p>
    <w:p>
      <w:pPr>
        <w:spacing w:after="0" w:line="186" w:lineRule="exact"/>
        <w:rPr>
          <w:rFonts w:ascii="Arial" w:cs="Arial" w:eastAsia="Arial" w:hAnsi="Arial"/>
          <w:sz w:val="18"/>
          <w:szCs w:val="18"/>
          <w:color w:val="auto"/>
        </w:rPr>
      </w:pPr>
    </w:p>
    <w:p>
      <w:pPr>
        <w:jc w:val="both"/>
        <w:ind w:left="660" w:firstLine="1293"/>
        <w:spacing w:after="0" w:line="302" w:lineRule="auto"/>
        <w:tabs>
          <w:tab w:leader="none" w:pos="2815" w:val="left"/>
        </w:tabs>
        <w:numPr>
          <w:ilvl w:val="0"/>
          <w:numId w:val="200"/>
        </w:numPr>
        <w:rPr>
          <w:rFonts w:ascii="Arial" w:cs="Arial" w:eastAsia="Arial" w:hAnsi="Arial"/>
          <w:sz w:val="16"/>
          <w:szCs w:val="16"/>
          <w:color w:val="auto"/>
        </w:rPr>
      </w:pPr>
      <w:r>
        <w:rPr>
          <w:rFonts w:ascii="Arial" w:cs="Arial" w:eastAsia="Arial" w:hAnsi="Arial"/>
          <w:sz w:val="18"/>
          <w:szCs w:val="18"/>
          <w:u w:val="single" w:color="auto"/>
          <w:color w:val="auto"/>
        </w:rPr>
        <w:t>Authorization to File Financing Statements; Ratification</w:t>
      </w:r>
      <w:r>
        <w:rPr>
          <w:rFonts w:ascii="Arial" w:cs="Arial" w:eastAsia="Arial" w:hAnsi="Arial"/>
          <w:sz w:val="18"/>
          <w:szCs w:val="18"/>
          <w:color w:val="auto"/>
        </w:rPr>
        <w:t>. Such Grantor hereby authorizes the Administrative Agent to file, and if requested will deliver to the Administrative Agent, all financing statements and other documents and take such other actions as may from time to time be requested by the Administrative Agent in order to maintain a first perfected security interest in and, if applicable, Control of, the Collateral owned by such Grantor. Any financing statement filed by the Administrative Agent may be filed in any filing office in any UCC jurisdiction and may (i) indicate such Grantor’s Collateral by any description which reasonably approximates the description contained in this Security Agreement, and (ii) contain any other information required by part 5 of Article 9 of the UCC for the sufficiency or filing office acceptance of any financing statement or amendment, including whether such Grantor is an organization, the type of organization and any organization identification number issued to such Grantor. Such Grantor also agrees to furnish any such information described in the foregoing sentence to the Administrative Agent promptly upon request. Such Grantor also ratifies its authorization for the Administrative Agent to have filed in any UCC jurisdiction any initial financing statements or amendments thereto if filed prior to the date hereof.</w:t>
      </w:r>
    </w:p>
    <w:p>
      <w:pPr>
        <w:spacing w:after="0" w:line="173" w:lineRule="exact"/>
        <w:rPr>
          <w:rFonts w:ascii="Arial" w:cs="Arial" w:eastAsia="Arial" w:hAnsi="Arial"/>
          <w:sz w:val="16"/>
          <w:szCs w:val="16"/>
          <w:color w:val="auto"/>
        </w:rPr>
      </w:pPr>
    </w:p>
    <w:p>
      <w:pPr>
        <w:jc w:val="both"/>
        <w:ind w:left="660" w:firstLine="1293"/>
        <w:spacing w:after="0" w:line="288" w:lineRule="auto"/>
        <w:tabs>
          <w:tab w:leader="none" w:pos="2804" w:val="left"/>
        </w:tabs>
        <w:numPr>
          <w:ilvl w:val="0"/>
          <w:numId w:val="200"/>
        </w:numPr>
        <w:rPr>
          <w:rFonts w:ascii="Arial" w:cs="Arial" w:eastAsia="Arial" w:hAnsi="Arial"/>
          <w:sz w:val="17"/>
          <w:szCs w:val="17"/>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Such Grantor will, if so requested by the Administrative Agent, furnish to the Administrative Agent, as often as the Administrative Agent requests, statements and schedules further identifying and describing the Collateral owned by it and such other reports and information in connection with its Collateral as the Administrative Agent may reasonably request, all in such detail as the Administrative Agent may specify. Such Grantor also agrees to take any and all actions necessary to defend title to the Collateral against all persons and to defend the security interest of the Administrative Agent in its Collateral and the priority thereof against any Lien not expressly permitted hereunder.</w:t>
      </w:r>
    </w:p>
    <w:p>
      <w:pPr>
        <w:spacing w:after="0" w:line="182" w:lineRule="exact"/>
        <w:rPr>
          <w:rFonts w:ascii="Arial" w:cs="Arial" w:eastAsia="Arial" w:hAnsi="Arial"/>
          <w:sz w:val="17"/>
          <w:szCs w:val="17"/>
          <w:color w:val="auto"/>
        </w:rPr>
      </w:pPr>
    </w:p>
    <w:p>
      <w:pPr>
        <w:ind w:left="660" w:firstLine="1293"/>
        <w:spacing w:after="0" w:line="289" w:lineRule="auto"/>
        <w:tabs>
          <w:tab w:leader="none" w:pos="2815" w:val="left"/>
        </w:tabs>
        <w:numPr>
          <w:ilvl w:val="0"/>
          <w:numId w:val="200"/>
        </w:numPr>
        <w:rPr>
          <w:rFonts w:ascii="Arial" w:cs="Arial" w:eastAsia="Arial" w:hAnsi="Arial"/>
          <w:sz w:val="18"/>
          <w:szCs w:val="18"/>
          <w:color w:val="auto"/>
        </w:rPr>
      </w:pPr>
      <w:r>
        <w:rPr>
          <w:rFonts w:ascii="Arial" w:cs="Arial" w:eastAsia="Arial" w:hAnsi="Arial"/>
          <w:sz w:val="20"/>
          <w:szCs w:val="20"/>
          <w:u w:val="single" w:color="auto"/>
          <w:color w:val="auto"/>
        </w:rPr>
        <w:t>Disposition of Collateral</w:t>
      </w:r>
      <w:r>
        <w:rPr>
          <w:rFonts w:ascii="Arial" w:cs="Arial" w:eastAsia="Arial" w:hAnsi="Arial"/>
          <w:sz w:val="20"/>
          <w:szCs w:val="20"/>
          <w:color w:val="auto"/>
        </w:rPr>
        <w:t>. Such Grantor will not sell, lease or otherwise dispose of the Collateral owned by it except for dispositions specifically permitted pursuant to Section 6.05 of the Credit Agreement.</w:t>
      </w:r>
    </w:p>
    <w:p>
      <w:pPr>
        <w:sectPr>
          <w:pgSz w:w="11900" w:h="16838" w:orient="portrait"/>
          <w:cols w:equalWidth="0" w:num="1">
            <w:col w:w="11420"/>
          </w:cols>
          <w:pgMar w:left="240" w:top="595" w:right="239" w:bottom="1440" w:gutter="0" w:footer="0" w:header="0"/>
        </w:sectPr>
      </w:pPr>
    </w:p>
    <w:bookmarkStart w:id="162" w:name="page163"/>
    <w:bookmarkEnd w:id="162"/>
    <w:p>
      <w:pPr>
        <w:ind w:right="20" w:firstLine="1293"/>
        <w:spacing w:after="0" w:line="289" w:lineRule="auto"/>
        <w:tabs>
          <w:tab w:leader="none" w:pos="2144" w:val="left"/>
        </w:tabs>
        <w:numPr>
          <w:ilvl w:val="0"/>
          <w:numId w:val="201"/>
        </w:numPr>
        <w:rPr>
          <w:rFonts w:ascii="Arial" w:cs="Arial" w:eastAsia="Arial" w:hAnsi="Arial"/>
          <w:sz w:val="18"/>
          <w:szCs w:val="18"/>
          <w:color w:val="auto"/>
        </w:rPr>
      </w:pPr>
      <w:r>
        <w:rPr>
          <w:rFonts w:ascii="Arial" w:cs="Arial" w:eastAsia="Arial" w:hAnsi="Arial"/>
          <w:sz w:val="20"/>
          <w:szCs w:val="20"/>
          <w:u w:val="single" w:color="auto"/>
          <w:color w:val="auto"/>
        </w:rPr>
        <w:t>Liens</w:t>
      </w:r>
      <w:r>
        <w:rPr>
          <w:rFonts w:ascii="Arial" w:cs="Arial" w:eastAsia="Arial" w:hAnsi="Arial"/>
          <w:sz w:val="20"/>
          <w:szCs w:val="20"/>
          <w:color w:val="auto"/>
        </w:rPr>
        <w:t>. Such Grantor will not create, incur, or suffer to exist any Lien on the Collateral owned by it except (i) the security interest created by this Security Agreement, and (ii) other Permitted Encumbrances.</w:t>
      </w:r>
    </w:p>
    <w:p>
      <w:pPr>
        <w:spacing w:after="0" w:line="175" w:lineRule="exact"/>
        <w:rPr>
          <w:rFonts w:ascii="Arial" w:cs="Arial" w:eastAsia="Arial" w:hAnsi="Arial"/>
          <w:sz w:val="18"/>
          <w:szCs w:val="18"/>
          <w:color w:val="auto"/>
        </w:rPr>
      </w:pPr>
    </w:p>
    <w:p>
      <w:pPr>
        <w:jc w:val="both"/>
        <w:ind w:firstLine="1293"/>
        <w:spacing w:after="0" w:line="356" w:lineRule="auto"/>
        <w:tabs>
          <w:tab w:leader="none" w:pos="2125" w:val="left"/>
        </w:tabs>
        <w:numPr>
          <w:ilvl w:val="0"/>
          <w:numId w:val="201"/>
        </w:numPr>
        <w:rPr>
          <w:rFonts w:ascii="Arial" w:cs="Arial" w:eastAsia="Arial" w:hAnsi="Arial"/>
          <w:sz w:val="15"/>
          <w:szCs w:val="15"/>
          <w:color w:val="auto"/>
        </w:rPr>
      </w:pPr>
      <w:r>
        <w:rPr>
          <w:rFonts w:ascii="Arial" w:cs="Arial" w:eastAsia="Arial" w:hAnsi="Arial"/>
          <w:sz w:val="16"/>
          <w:szCs w:val="16"/>
          <w:u w:val="single" w:color="auto"/>
          <w:color w:val="auto"/>
        </w:rPr>
        <w:t>Other Financing Statements</w:t>
      </w:r>
      <w:r>
        <w:rPr>
          <w:rFonts w:ascii="Arial" w:cs="Arial" w:eastAsia="Arial" w:hAnsi="Arial"/>
          <w:sz w:val="16"/>
          <w:szCs w:val="16"/>
          <w:color w:val="auto"/>
        </w:rPr>
        <w:t>. Such Grantor will not authorize the filing of any financing statement naming it as debtor covering all or any portion of the Collateral owned by it, except for financing statements (i) naming the Administrative Agent on behalf of the Secured Parties as the secured party, and (ii) in respect to other Permitted Encumbrances. Such Grantor acknowledges that it is not authorized to file any financing statement or amendment or termination statement with respect to any financing statement without the prior written consent of the Administrative Agent, subject to such Grantor’s rights under Section 9-509(d)(2) of the UCC.</w:t>
      </w:r>
    </w:p>
    <w:p>
      <w:pPr>
        <w:spacing w:after="0" w:line="134" w:lineRule="exact"/>
        <w:rPr>
          <w:rFonts w:ascii="Arial" w:cs="Arial" w:eastAsia="Arial" w:hAnsi="Arial"/>
          <w:sz w:val="15"/>
          <w:szCs w:val="15"/>
          <w:color w:val="auto"/>
        </w:rPr>
      </w:pPr>
    </w:p>
    <w:p>
      <w:pPr>
        <w:jc w:val="both"/>
        <w:ind w:firstLine="1293"/>
        <w:spacing w:after="0" w:line="271" w:lineRule="auto"/>
        <w:tabs>
          <w:tab w:leader="none" w:pos="2155" w:val="left"/>
        </w:tabs>
        <w:numPr>
          <w:ilvl w:val="0"/>
          <w:numId w:val="201"/>
        </w:numPr>
        <w:rPr>
          <w:rFonts w:ascii="Arial" w:cs="Arial" w:eastAsia="Arial" w:hAnsi="Arial"/>
          <w:sz w:val="18"/>
          <w:szCs w:val="18"/>
          <w:color w:val="auto"/>
        </w:rPr>
      </w:pPr>
      <w:r>
        <w:rPr>
          <w:rFonts w:ascii="Arial" w:cs="Arial" w:eastAsia="Arial" w:hAnsi="Arial"/>
          <w:sz w:val="20"/>
          <w:szCs w:val="20"/>
          <w:u w:val="single" w:color="auto"/>
          <w:color w:val="auto"/>
        </w:rPr>
        <w:t>Locations</w:t>
      </w:r>
      <w:r>
        <w:rPr>
          <w:rFonts w:ascii="Arial" w:cs="Arial" w:eastAsia="Arial" w:hAnsi="Arial"/>
          <w:sz w:val="20"/>
          <w:szCs w:val="20"/>
          <w:color w:val="auto"/>
        </w:rPr>
        <w:t xml:space="preserve">. Such Grantor will not (i) maintain any Collateral owned by it at any location other than those locations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(which Exhibit A shall be updated in accordance with Section 5.01(h) of the Credit Agreement), (ii) otherwise change, or add to, such locations without the Administrative Agent’s prior written consent as required by the Credit Agreement (and if the Administrative Agent gives such consent, such Grantor will concurrently therewith use commercially reasonable efforts to obtain a Collateral Access Agreement for each such location to the extent required by Section 4.13) except as permitted under Section 4.15, or (iii) change its principal place of business or chief executive office from the location identified on </w:t>
      </w:r>
      <w:r>
        <w:rPr>
          <w:rFonts w:ascii="Arial" w:cs="Arial" w:eastAsia="Arial" w:hAnsi="Arial"/>
          <w:sz w:val="20"/>
          <w:szCs w:val="20"/>
          <w:u w:val="single" w:color="auto"/>
          <w:color w:val="auto"/>
        </w:rPr>
        <w:t>Exhibit A</w:t>
      </w:r>
      <w:r>
        <w:rPr>
          <w:rFonts w:ascii="Arial" w:cs="Arial" w:eastAsia="Arial" w:hAnsi="Arial"/>
          <w:sz w:val="20"/>
          <w:szCs w:val="20"/>
          <w:color w:val="auto"/>
        </w:rPr>
        <w:t>, other than as permitted by the Credit Agreement.</w:t>
      </w:r>
    </w:p>
    <w:p>
      <w:pPr>
        <w:spacing w:after="0" w:line="194" w:lineRule="exact"/>
        <w:rPr>
          <w:rFonts w:ascii="Arial" w:cs="Arial" w:eastAsia="Arial" w:hAnsi="Arial"/>
          <w:sz w:val="18"/>
          <w:szCs w:val="18"/>
          <w:color w:val="auto"/>
        </w:rPr>
      </w:pPr>
    </w:p>
    <w:p>
      <w:pPr>
        <w:ind w:firstLine="1293"/>
        <w:spacing w:after="0" w:line="289" w:lineRule="auto"/>
        <w:tabs>
          <w:tab w:leader="none" w:pos="2155" w:val="left"/>
        </w:tabs>
        <w:numPr>
          <w:ilvl w:val="0"/>
          <w:numId w:val="201"/>
        </w:numPr>
        <w:rPr>
          <w:rFonts w:ascii="Arial" w:cs="Arial" w:eastAsia="Arial" w:hAnsi="Arial"/>
          <w:sz w:val="18"/>
          <w:szCs w:val="18"/>
          <w:color w:val="auto"/>
        </w:rPr>
      </w:pPr>
      <w:r>
        <w:rPr>
          <w:rFonts w:ascii="Arial" w:cs="Arial" w:eastAsia="Arial" w:hAnsi="Arial"/>
          <w:sz w:val="20"/>
          <w:szCs w:val="20"/>
          <w:u w:val="single" w:color="auto"/>
          <w:color w:val="auto"/>
        </w:rPr>
        <w:t>Compliance with Terms</w:t>
      </w:r>
      <w:r>
        <w:rPr>
          <w:rFonts w:ascii="Arial" w:cs="Arial" w:eastAsia="Arial" w:hAnsi="Arial"/>
          <w:sz w:val="20"/>
          <w:szCs w:val="20"/>
          <w:color w:val="auto"/>
        </w:rPr>
        <w:t>. Such Grantor will perform and comply with all obligations in respect of the Collateral owned by it and all agreements to which it is a party or by which it is bound relating to such Collateral.</w:t>
      </w:r>
    </w:p>
    <w:p>
      <w:pPr>
        <w:spacing w:after="0" w:line="162"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Receivables</w:t>
      </w:r>
      <w:r>
        <w:rPr>
          <w:rFonts w:ascii="Arial" w:cs="Arial" w:eastAsia="Arial" w:hAnsi="Arial"/>
          <w:sz w:val="16"/>
          <w:szCs w:val="16"/>
          <w:color w:val="auto"/>
        </w:rPr>
        <w:t>.</w:t>
      </w:r>
    </w:p>
    <w:p>
      <w:pPr>
        <w:spacing w:after="0" w:line="229" w:lineRule="exact"/>
        <w:rPr>
          <w:sz w:val="20"/>
          <w:szCs w:val="20"/>
          <w:color w:val="auto"/>
        </w:rPr>
      </w:pPr>
    </w:p>
    <w:p>
      <w:pPr>
        <w:jc w:val="both"/>
        <w:ind w:firstLine="1293"/>
        <w:spacing w:after="0" w:line="293" w:lineRule="auto"/>
        <w:tabs>
          <w:tab w:leader="none" w:pos="2144" w:val="left"/>
        </w:tabs>
        <w:numPr>
          <w:ilvl w:val="0"/>
          <w:numId w:val="202"/>
        </w:numPr>
        <w:rPr>
          <w:rFonts w:ascii="Arial" w:cs="Arial" w:eastAsia="Arial" w:hAnsi="Arial"/>
          <w:sz w:val="17"/>
          <w:szCs w:val="17"/>
          <w:color w:val="auto"/>
        </w:rPr>
      </w:pPr>
      <w:r>
        <w:rPr>
          <w:rFonts w:ascii="Arial" w:cs="Arial" w:eastAsia="Arial" w:hAnsi="Arial"/>
          <w:sz w:val="19"/>
          <w:szCs w:val="19"/>
          <w:u w:val="single" w:color="auto"/>
          <w:color w:val="auto"/>
        </w:rPr>
        <w:t>Certain Agreements on Receivables.</w:t>
      </w:r>
      <w:r>
        <w:rPr>
          <w:rFonts w:ascii="Arial" w:cs="Arial" w:eastAsia="Arial" w:hAnsi="Arial"/>
          <w:sz w:val="19"/>
          <w:szCs w:val="19"/>
          <w:color w:val="auto"/>
        </w:rPr>
        <w:t xml:space="preserve"> Such Grantor will not make or agree to make any discount, credit, rebate or other reduction in the original amount owing on a Receivable or accept in satisfaction of a Receivable less than the original amount thereof, except that, prior to the occurrence of an Event of Default, such Grantor may reduce the amount of Accounts arising from the sale of Inventory in accordance with its present policies and in the ordinary course of business.</w:t>
      </w:r>
    </w:p>
    <w:p>
      <w:pPr>
        <w:spacing w:after="0" w:line="175" w:lineRule="exact"/>
        <w:rPr>
          <w:rFonts w:ascii="Arial" w:cs="Arial" w:eastAsia="Arial" w:hAnsi="Arial"/>
          <w:sz w:val="17"/>
          <w:szCs w:val="17"/>
          <w:color w:val="auto"/>
        </w:rPr>
      </w:pPr>
    </w:p>
    <w:p>
      <w:pPr>
        <w:jc w:val="both"/>
        <w:ind w:firstLine="1293"/>
        <w:spacing w:after="0" w:line="278" w:lineRule="auto"/>
        <w:tabs>
          <w:tab w:leader="none" w:pos="2155" w:val="left"/>
        </w:tabs>
        <w:numPr>
          <w:ilvl w:val="0"/>
          <w:numId w:val="202"/>
        </w:numPr>
        <w:rPr>
          <w:rFonts w:ascii="Arial" w:cs="Arial" w:eastAsia="Arial" w:hAnsi="Arial"/>
          <w:sz w:val="18"/>
          <w:szCs w:val="18"/>
          <w:color w:val="auto"/>
        </w:rPr>
      </w:pPr>
      <w:r>
        <w:rPr>
          <w:rFonts w:ascii="Arial" w:cs="Arial" w:eastAsia="Arial" w:hAnsi="Arial"/>
          <w:sz w:val="20"/>
          <w:szCs w:val="20"/>
          <w:u w:val="single" w:color="auto"/>
          <w:color w:val="auto"/>
        </w:rPr>
        <w:t>Collection of Receivables</w:t>
      </w:r>
      <w:r>
        <w:rPr>
          <w:rFonts w:ascii="Arial" w:cs="Arial" w:eastAsia="Arial" w:hAnsi="Arial"/>
          <w:sz w:val="20"/>
          <w:szCs w:val="20"/>
          <w:color w:val="auto"/>
        </w:rPr>
        <w:t>. Except as otherwise provided in this Security Agreement, such Grantor will collect and enforce, at such Grantor’s sole expense, all amounts due or hereafter due to such Grantor under the Receivables owned by it consistent with the ordinary course of such Grantor’s business.</w:t>
      </w:r>
    </w:p>
    <w:p>
      <w:pPr>
        <w:spacing w:after="0" w:line="186" w:lineRule="exact"/>
        <w:rPr>
          <w:rFonts w:ascii="Arial" w:cs="Arial" w:eastAsia="Arial" w:hAnsi="Arial"/>
          <w:sz w:val="18"/>
          <w:szCs w:val="18"/>
          <w:color w:val="auto"/>
        </w:rPr>
      </w:pPr>
    </w:p>
    <w:p>
      <w:pPr>
        <w:jc w:val="both"/>
        <w:ind w:firstLine="1293"/>
        <w:spacing w:after="0" w:line="278" w:lineRule="auto"/>
        <w:tabs>
          <w:tab w:leader="none" w:pos="2144" w:val="left"/>
        </w:tabs>
        <w:numPr>
          <w:ilvl w:val="0"/>
          <w:numId w:val="202"/>
        </w:numPr>
        <w:rPr>
          <w:rFonts w:ascii="Arial" w:cs="Arial" w:eastAsia="Arial" w:hAnsi="Arial"/>
          <w:sz w:val="18"/>
          <w:szCs w:val="18"/>
          <w:color w:val="auto"/>
        </w:rPr>
      </w:pPr>
      <w:r>
        <w:rPr>
          <w:rFonts w:ascii="Arial" w:cs="Arial" w:eastAsia="Arial" w:hAnsi="Arial"/>
          <w:sz w:val="20"/>
          <w:szCs w:val="20"/>
          <w:u w:val="single" w:color="auto"/>
          <w:color w:val="auto"/>
        </w:rPr>
        <w:t>Delivery of Invoice</w:t>
      </w:r>
      <w:r>
        <w:rPr>
          <w:rFonts w:ascii="Arial" w:cs="Arial" w:eastAsia="Arial" w:hAnsi="Arial"/>
          <w:sz w:val="20"/>
          <w:szCs w:val="20"/>
          <w:color w:val="auto"/>
        </w:rPr>
        <w:t>s. Such Grantor will deliver to the Administrative Agent promptly upon its request duplicate invoices with respect to each Account owned by it bearing such language of assignment as the Administrative Agent shall specify.</w:t>
      </w:r>
    </w:p>
    <w:p>
      <w:pPr>
        <w:spacing w:after="0" w:line="186" w:lineRule="exact"/>
        <w:rPr>
          <w:rFonts w:ascii="Arial" w:cs="Arial" w:eastAsia="Arial" w:hAnsi="Arial"/>
          <w:sz w:val="18"/>
          <w:szCs w:val="18"/>
          <w:color w:val="auto"/>
        </w:rPr>
      </w:pPr>
    </w:p>
    <w:p>
      <w:pPr>
        <w:jc w:val="both"/>
        <w:ind w:firstLine="1293"/>
        <w:spacing w:after="0" w:line="272" w:lineRule="auto"/>
        <w:tabs>
          <w:tab w:leader="none" w:pos="2155" w:val="left"/>
        </w:tabs>
        <w:numPr>
          <w:ilvl w:val="0"/>
          <w:numId w:val="202"/>
        </w:numPr>
        <w:rPr>
          <w:rFonts w:ascii="Arial" w:cs="Arial" w:eastAsia="Arial" w:hAnsi="Arial"/>
          <w:sz w:val="18"/>
          <w:szCs w:val="18"/>
          <w:color w:val="auto"/>
        </w:rPr>
      </w:pPr>
      <w:r>
        <w:rPr>
          <w:rFonts w:ascii="Arial" w:cs="Arial" w:eastAsia="Arial" w:hAnsi="Arial"/>
          <w:sz w:val="20"/>
          <w:szCs w:val="20"/>
          <w:u w:val="single" w:color="auto"/>
          <w:color w:val="auto"/>
        </w:rPr>
        <w:t>Disclosure of Counterclaims on Receivables</w:t>
      </w:r>
      <w:r>
        <w:rPr>
          <w:rFonts w:ascii="Arial" w:cs="Arial" w:eastAsia="Arial" w:hAnsi="Arial"/>
          <w:sz w:val="20"/>
          <w:szCs w:val="20"/>
          <w:color w:val="auto"/>
        </w:rPr>
        <w:t>. Each Grantor shall disclose on each Borrowing Base Certificate delivered pursuant to the Credit Agreement whether (i) any discount, credit or agreement to make a rebate or to otherwise reduce the amount owing on any Receivable owned by such Grantor exists, (ii) to the knowledge of such Grantor, any dispute, setoff, claim, counterclaim or defense exists or has been asserted or threatened with respect to any such Receivable, and (iii) any credit memorandum has been issued. Such Grantor shall send the Administrative Agent a copy of each credit memorandum in excess of $250,000 as soon as issued.</w:t>
      </w:r>
    </w:p>
    <w:p>
      <w:pPr>
        <w:spacing w:after="0" w:line="191" w:lineRule="exact"/>
        <w:rPr>
          <w:rFonts w:ascii="Arial" w:cs="Arial" w:eastAsia="Arial" w:hAnsi="Arial"/>
          <w:sz w:val="18"/>
          <w:szCs w:val="18"/>
          <w:color w:val="auto"/>
        </w:rPr>
      </w:pPr>
    </w:p>
    <w:p>
      <w:pPr>
        <w:jc w:val="both"/>
        <w:ind w:firstLine="1293"/>
        <w:spacing w:after="0" w:line="299" w:lineRule="auto"/>
        <w:tabs>
          <w:tab w:leader="none" w:pos="2144" w:val="left"/>
        </w:tabs>
        <w:numPr>
          <w:ilvl w:val="0"/>
          <w:numId w:val="202"/>
        </w:numPr>
        <w:rPr>
          <w:rFonts w:ascii="Arial" w:cs="Arial" w:eastAsia="Arial" w:hAnsi="Arial"/>
          <w:sz w:val="17"/>
          <w:szCs w:val="17"/>
          <w:color w:val="auto"/>
        </w:rPr>
      </w:pPr>
      <w:r>
        <w:rPr>
          <w:rFonts w:ascii="Arial" w:cs="Arial" w:eastAsia="Arial" w:hAnsi="Arial"/>
          <w:sz w:val="19"/>
          <w:szCs w:val="19"/>
          <w:u w:val="single" w:color="auto"/>
          <w:color w:val="auto"/>
        </w:rPr>
        <w:t>Electronic Chattel Paper</w:t>
      </w:r>
      <w:r>
        <w:rPr>
          <w:rFonts w:ascii="Arial" w:cs="Arial" w:eastAsia="Arial" w:hAnsi="Arial"/>
          <w:sz w:val="19"/>
          <w:szCs w:val="19"/>
          <w:color w:val="auto"/>
        </w:rPr>
        <w:t>. Such Grantor shall take all steps necessary to grant the Administrative Agent Control of all electronic Chattel Paper that is Collateral in accordance with the UCC and all “transferable records” as defined in each of the Uniform Electronic Transactions Act and the Electronic Signatures in Global and National Commerce Act.</w:t>
      </w:r>
    </w:p>
    <w:p>
      <w:pPr>
        <w:sectPr>
          <w:pgSz w:w="11900" w:h="16838" w:orient="portrait"/>
          <w:cols w:equalWidth="0" w:num="1">
            <w:col w:w="10760"/>
          </w:cols>
          <w:pgMar w:left="900" w:top="596" w:right="239" w:bottom="1440" w:gutter="0" w:footer="0" w:header="0"/>
        </w:sectPr>
      </w:pPr>
    </w:p>
    <w:bookmarkStart w:id="163" w:name="page164"/>
    <w:bookmarkEnd w:id="163"/>
    <w:p>
      <w:pPr>
        <w:ind w:left="660"/>
        <w:spacing w:after="0"/>
        <w:tabs>
          <w:tab w:leader="none" w:pos="11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Inventory.</w:t>
      </w:r>
    </w:p>
    <w:p>
      <w:pPr>
        <w:spacing w:after="0" w:line="229" w:lineRule="exact"/>
        <w:rPr>
          <w:sz w:val="20"/>
          <w:szCs w:val="20"/>
          <w:color w:val="auto"/>
        </w:rPr>
      </w:pPr>
    </w:p>
    <w:p>
      <w:pPr>
        <w:jc w:val="both"/>
        <w:ind w:left="660" w:firstLine="1293"/>
        <w:spacing w:after="0" w:line="278" w:lineRule="auto"/>
        <w:tabs>
          <w:tab w:leader="none" w:pos="2804" w:val="left"/>
        </w:tabs>
        <w:numPr>
          <w:ilvl w:val="2"/>
          <w:numId w:val="203"/>
        </w:numPr>
        <w:rPr>
          <w:rFonts w:ascii="Arial" w:cs="Arial" w:eastAsia="Arial" w:hAnsi="Arial"/>
          <w:sz w:val="18"/>
          <w:szCs w:val="18"/>
          <w:color w:val="auto"/>
        </w:rPr>
      </w:pPr>
      <w:r>
        <w:rPr>
          <w:rFonts w:ascii="Arial" w:cs="Arial" w:eastAsia="Arial" w:hAnsi="Arial"/>
          <w:sz w:val="20"/>
          <w:szCs w:val="20"/>
          <w:u w:val="single" w:color="auto"/>
          <w:color w:val="auto"/>
        </w:rPr>
        <w:t>Maintenance of Goods</w:t>
      </w:r>
      <w:r>
        <w:rPr>
          <w:rFonts w:ascii="Arial" w:cs="Arial" w:eastAsia="Arial" w:hAnsi="Arial"/>
          <w:sz w:val="20"/>
          <w:szCs w:val="20"/>
          <w:color w:val="auto"/>
        </w:rPr>
        <w:t>. Such Grantor will do all things necessary to maintain, preserve, protect and keep its Inventory in good repair and working and saleable condition, except for damaged or defective goods arising in the ordinary course of such Grantor’s business.</w:t>
      </w:r>
    </w:p>
    <w:p>
      <w:pPr>
        <w:spacing w:after="0" w:line="173" w:lineRule="exact"/>
        <w:rPr>
          <w:rFonts w:ascii="Arial" w:cs="Arial" w:eastAsia="Arial" w:hAnsi="Arial"/>
          <w:sz w:val="18"/>
          <w:szCs w:val="18"/>
          <w:color w:val="auto"/>
        </w:rPr>
      </w:pPr>
    </w:p>
    <w:p>
      <w:pPr>
        <w:jc w:val="both"/>
        <w:ind w:firstLine="656"/>
        <w:spacing w:after="0" w:line="271" w:lineRule="auto"/>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Returned Inventory</w:t>
      </w:r>
      <w:r>
        <w:rPr>
          <w:rFonts w:ascii="Arial" w:cs="Arial" w:eastAsia="Arial" w:hAnsi="Arial"/>
          <w:sz w:val="18"/>
          <w:szCs w:val="18"/>
          <w:color w:val="auto"/>
        </w:rPr>
        <w:t>. If an Account Debtor returns any Inventory to such Grantor when no Event of Default exists, then such Grantor shall promptly determine the reason for such return and shall issue a credit memorandum to the Account Debtor in the appropriate amount. Such Grantor shall immediately report to the Administrative Agent any return involving an amount in excess of $1,000,000. Each such report shall indicate the reasons for the returns and the locations and condition of the returned Inventory. In the event any Account Debtor returns Inventory to such Grantor when an Event of Default exists, such Grantor, upon the request of the Administrative Agent, shall: (i) hold the returned Inventory in trust for the Administrative Agent; (ii) segregate all returned Inventory from all of its other property; (iii) dispose of the returned Inventory solely according to the Administrative Agent’s written instructions; and (iv) not issue any credits or allowances with respect thereto without the Administrative Agent’s prior written consent. All returned Inventory shall be subject to the Administrative Agent’s Liens thereon. Whenever any Inventory is returned, the related Account shall be deemed ineligible to the extent of the amount owing by the Account Debtor with respect to such returned Inventory and such returned Inventory shall not be Eligible Inventory.</w:t>
      </w:r>
    </w:p>
    <w:p>
      <w:pPr>
        <w:spacing w:after="0" w:line="174" w:lineRule="exact"/>
        <w:rPr>
          <w:rFonts w:ascii="Arial" w:cs="Arial" w:eastAsia="Arial" w:hAnsi="Arial"/>
          <w:sz w:val="18"/>
          <w:szCs w:val="18"/>
          <w:color w:val="auto"/>
        </w:rPr>
      </w:pPr>
    </w:p>
    <w:p>
      <w:pPr>
        <w:jc w:val="both"/>
        <w:ind w:firstLine="1305"/>
        <w:spacing w:after="0" w:line="244" w:lineRule="auto"/>
        <w:tabs>
          <w:tab w:leader="none" w:pos="1764" w:val="left"/>
        </w:tabs>
        <w:numPr>
          <w:ilvl w:val="1"/>
          <w:numId w:val="204"/>
        </w:numPr>
        <w:rPr>
          <w:rFonts w:ascii="Arial" w:cs="Arial" w:eastAsia="Arial" w:hAnsi="Arial"/>
          <w:sz w:val="20"/>
          <w:szCs w:val="20"/>
          <w:color w:val="auto"/>
        </w:rPr>
      </w:pPr>
      <w:r>
        <w:rPr>
          <w:rFonts w:ascii="Arial" w:cs="Arial" w:eastAsia="Arial" w:hAnsi="Arial"/>
          <w:sz w:val="20"/>
          <w:szCs w:val="20"/>
          <w:u w:val="single" w:color="auto"/>
          <w:color w:val="auto"/>
        </w:rPr>
        <w:t>Inventory Count; Perpetual Inventory System</w:t>
      </w:r>
      <w:r>
        <w:rPr>
          <w:rFonts w:ascii="Arial" w:cs="Arial" w:eastAsia="Arial" w:hAnsi="Arial"/>
          <w:sz w:val="20"/>
          <w:szCs w:val="20"/>
          <w:color w:val="auto"/>
        </w:rPr>
        <w:t>. Such Grantor will conduct a physical count of its Inventory in cycles at least once per fiscal year, and after and during the continuation of an Event of Default, at such other times as the Administrative Agent requests. Such Grantor, at its own expense, shall deliver to the Administrative Agent the results of each physical verification, which such Grantor has made, or has caused any other Person to make on its behalf, of all or any portion of its Inventory. Such Grantor will maintain a perpetual inventory reporting system at all times.</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Delivery of Instruments, Securities, Chattel Paper and Documents</w:t>
      </w:r>
      <w:r>
        <w:rPr>
          <w:rFonts w:ascii="Arial" w:cs="Arial" w:eastAsia="Arial" w:hAnsi="Arial"/>
          <w:sz w:val="19"/>
          <w:szCs w:val="19"/>
          <w:color w:val="auto"/>
        </w:rPr>
        <w:t xml:space="preserve">. Such Grantor will (a) deliver to the Administrative Agent immediately upon execution of this Security Agreement the originals of all Chattel Paper, Securities and Instruments constituting Collateral owned by it (if any then exist), (b) hold in trust for the Administrative Agent upon receipt and immediately thereafter deliver to the Administrative Agent any such Chattel Paper, Securities and Instruments constituting Collateral, (c) upon the Administrative Agent’s request, deliver to the Administrative Agent (and thereafter hold in trust for the Administrative Agent upon receipt and immediately deliver to the Administrative Agent) any Document evidencing or constituting Collateral, and (d) promptly upon the Administrative Agent’s request, deliver to the Administrative Agent a duly executed amendment to this Security Agreement,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Amendment</w:t>
      </w:r>
      <w:r>
        <w:rPr>
          <w:rFonts w:ascii="Arial" w:cs="Arial" w:eastAsia="Arial" w:hAnsi="Arial"/>
          <w:sz w:val="19"/>
          <w:szCs w:val="19"/>
          <w:color w:val="auto"/>
        </w:rPr>
        <w:t>”), pursuant to which such Grantor will pledge such additional Collateral. Such Grantor hereby authorizes the Administrative Agent to attach each Amendment to this Security Agreement and agrees that all additional Collateral owned by it set forth in such Amendments shall be considered to be part of the Collateral.</w:t>
      </w:r>
    </w:p>
    <w:p>
      <w:pPr>
        <w:spacing w:after="0" w:line="2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Uncertificated Pledged Collateral</w:t>
      </w:r>
      <w:r>
        <w:rPr>
          <w:rFonts w:ascii="Arial" w:cs="Arial" w:eastAsia="Arial" w:hAnsi="Arial"/>
          <w:sz w:val="19"/>
          <w:szCs w:val="19"/>
          <w:color w:val="auto"/>
        </w:rPr>
        <w:t>. Such Grantor will permit the Administrative Agent from time to time to cause the appropriate issuers (and, if held with a securities intermediary, such securities intermediary) of uncertificated securities or other types of Pledged Collateral owned by it not represented by certificates to mark their books and records with the numbers and face amounts of all such uncertificated securities or other types of Pledged Collateral not represented by certificates and all rollovers and replacements therefor to reflect the Lien of the Administrative Agent granted pursuant to this Security Agreement. With respect to any Pledged Collateral owned by it, such Grantor will take any actions necessary to cause (a) the issuers of uncertificated securities which are Pledged Collateral and (b) any securities intermediary which is the holder of any such Pledged Collateral, to cause the Administrative Agent to have and retain Control over such Pledged Collateral. Without limiting the foregoing, such Grantor will, with respect to any such Pledged Collateral held with a securities intermediary, cause such securities intermediary to enter into a Control Agreement with the Administrative Agent, in form and substance satisfactory to the Administrative Agent, giving the Administrative Agent Control.</w:t>
      </w:r>
    </w:p>
    <w:p>
      <w:pPr>
        <w:sectPr>
          <w:pgSz w:w="11900" w:h="16838" w:orient="portrait"/>
          <w:cols w:equalWidth="0" w:num="1">
            <w:col w:w="11420"/>
          </w:cols>
          <w:pgMar w:left="240" w:top="582" w:right="239" w:bottom="1440" w:gutter="0" w:footer="0" w:header="0"/>
        </w:sectPr>
      </w:pPr>
    </w:p>
    <w:bookmarkStart w:id="164" w:name="page165"/>
    <w:bookmarkEnd w:id="164"/>
    <w:p>
      <w:pPr>
        <w:spacing w:after="0"/>
        <w:tabs>
          <w:tab w:leader="none" w:pos="46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u w:val="single" w:color="auto"/>
          <w:color w:val="auto"/>
        </w:rPr>
        <w:t>Pledged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1293"/>
        <w:spacing w:after="0" w:line="273" w:lineRule="auto"/>
        <w:tabs>
          <w:tab w:leader="none" w:pos="2144" w:val="left"/>
        </w:tabs>
        <w:numPr>
          <w:ilvl w:val="0"/>
          <w:numId w:val="205"/>
        </w:numPr>
        <w:rPr>
          <w:rFonts w:ascii="Arial" w:cs="Arial" w:eastAsia="Arial" w:hAnsi="Arial"/>
          <w:sz w:val="18"/>
          <w:szCs w:val="18"/>
          <w:color w:val="auto"/>
        </w:rPr>
      </w:pPr>
      <w:r>
        <w:rPr>
          <w:rFonts w:ascii="Arial" w:cs="Arial" w:eastAsia="Arial" w:hAnsi="Arial"/>
          <w:sz w:val="20"/>
          <w:szCs w:val="20"/>
          <w:u w:val="single" w:color="auto"/>
          <w:color w:val="auto"/>
        </w:rPr>
        <w:t>Changes in Capital Structure of Issuers.</w:t>
      </w:r>
      <w:r>
        <w:rPr>
          <w:rFonts w:ascii="Arial" w:cs="Arial" w:eastAsia="Arial" w:hAnsi="Arial"/>
          <w:sz w:val="20"/>
          <w:szCs w:val="20"/>
          <w:color w:val="auto"/>
        </w:rPr>
        <w:t xml:space="preserve"> Such Grantor will not (i) permit or suffer any issuer of an Equity Interest constituting Pledged Collateral owned by it to dissolve, merge, liquidate, retire any of its Equity Interests or other Instruments or Securities evidencing ownership, reduce its capital, sell or encumber all or substantially all of its assets (except for Permitted Encumbrances and sales of assets permitted pursuant to </w:t>
      </w:r>
      <w:r>
        <w:rPr>
          <w:rFonts w:ascii="Arial" w:cs="Arial" w:eastAsia="Arial" w:hAnsi="Arial"/>
          <w:sz w:val="20"/>
          <w:szCs w:val="20"/>
          <w:u w:val="single" w:color="auto"/>
          <w:color w:val="auto"/>
        </w:rPr>
        <w:t>Section 4.1(d)</w:t>
      </w:r>
      <w:r>
        <w:rPr>
          <w:rFonts w:ascii="Arial" w:cs="Arial" w:eastAsia="Arial" w:hAnsi="Arial"/>
          <w:sz w:val="20"/>
          <w:szCs w:val="20"/>
          <w:color w:val="auto"/>
        </w:rPr>
        <w:t>) or merge or consolidate with any other entity, or (ii) vote any such Pledged Collateral in favor of any of the foregoing.</w:t>
      </w:r>
    </w:p>
    <w:p>
      <w:pPr>
        <w:spacing w:after="0" w:line="191" w:lineRule="exact"/>
        <w:rPr>
          <w:rFonts w:ascii="Arial" w:cs="Arial" w:eastAsia="Arial" w:hAnsi="Arial"/>
          <w:sz w:val="18"/>
          <w:szCs w:val="18"/>
          <w:color w:val="auto"/>
        </w:rPr>
      </w:pPr>
    </w:p>
    <w:p>
      <w:pPr>
        <w:jc w:val="both"/>
        <w:ind w:firstLine="1293"/>
        <w:spacing w:after="0" w:line="278" w:lineRule="auto"/>
        <w:tabs>
          <w:tab w:leader="none" w:pos="2155" w:val="left"/>
        </w:tabs>
        <w:numPr>
          <w:ilvl w:val="0"/>
          <w:numId w:val="205"/>
        </w:numPr>
        <w:rPr>
          <w:rFonts w:ascii="Arial" w:cs="Arial" w:eastAsia="Arial" w:hAnsi="Arial"/>
          <w:sz w:val="18"/>
          <w:szCs w:val="18"/>
          <w:color w:val="auto"/>
        </w:rPr>
      </w:pPr>
      <w:r>
        <w:rPr>
          <w:rFonts w:ascii="Arial" w:cs="Arial" w:eastAsia="Arial" w:hAnsi="Arial"/>
          <w:sz w:val="20"/>
          <w:szCs w:val="20"/>
          <w:u w:val="single" w:color="auto"/>
          <w:color w:val="auto"/>
        </w:rPr>
        <w:t>Issuance of Additional Securities</w:t>
      </w:r>
      <w:r>
        <w:rPr>
          <w:rFonts w:ascii="Arial" w:cs="Arial" w:eastAsia="Arial" w:hAnsi="Arial"/>
          <w:sz w:val="20"/>
          <w:szCs w:val="20"/>
          <w:color w:val="auto"/>
        </w:rPr>
        <w:t>. Such Grantor will not permit or suffer the issuer of an Equity Interest constituting Pledged Collateral owned by it to issue additional Equity Interests, any right to receive the same or any right to receive earnings, except to such Grantor.</w:t>
      </w:r>
    </w:p>
    <w:p>
      <w:pPr>
        <w:spacing w:after="0" w:line="186" w:lineRule="exact"/>
        <w:rPr>
          <w:rFonts w:ascii="Arial" w:cs="Arial" w:eastAsia="Arial" w:hAnsi="Arial"/>
          <w:sz w:val="18"/>
          <w:szCs w:val="18"/>
          <w:color w:val="auto"/>
        </w:rPr>
      </w:pPr>
    </w:p>
    <w:p>
      <w:pPr>
        <w:ind w:firstLine="1293"/>
        <w:spacing w:after="0" w:line="347" w:lineRule="auto"/>
        <w:tabs>
          <w:tab w:leader="none" w:pos="2144" w:val="left"/>
        </w:tabs>
        <w:numPr>
          <w:ilvl w:val="0"/>
          <w:numId w:val="205"/>
        </w:numPr>
        <w:rPr>
          <w:rFonts w:ascii="Arial" w:cs="Arial" w:eastAsia="Arial" w:hAnsi="Arial"/>
          <w:sz w:val="16"/>
          <w:szCs w:val="16"/>
          <w:color w:val="auto"/>
        </w:rPr>
      </w:pPr>
      <w:r>
        <w:rPr>
          <w:rFonts w:ascii="Arial" w:cs="Arial" w:eastAsia="Arial" w:hAnsi="Arial"/>
          <w:sz w:val="18"/>
          <w:szCs w:val="18"/>
          <w:u w:val="single" w:color="auto"/>
          <w:color w:val="auto"/>
        </w:rPr>
        <w:t>Registration of Pledged Collateral</w:t>
      </w:r>
      <w:r>
        <w:rPr>
          <w:rFonts w:ascii="Arial" w:cs="Arial" w:eastAsia="Arial" w:hAnsi="Arial"/>
          <w:sz w:val="18"/>
          <w:szCs w:val="18"/>
          <w:color w:val="auto"/>
        </w:rPr>
        <w:t>. Such Grantor will permit any registerable Pledged Collateral owned by it to be registered in the name of the Administrative Agent or its nominee at any time at the option of the Required Secured Parties.</w:t>
      </w:r>
    </w:p>
    <w:p>
      <w:pPr>
        <w:spacing w:after="0" w:line="130" w:lineRule="exact"/>
        <w:rPr>
          <w:rFonts w:ascii="Arial" w:cs="Arial" w:eastAsia="Arial" w:hAnsi="Arial"/>
          <w:sz w:val="16"/>
          <w:szCs w:val="16"/>
          <w:color w:val="auto"/>
        </w:rPr>
      </w:pPr>
    </w:p>
    <w:p>
      <w:pPr>
        <w:ind w:left="2160" w:hanging="867"/>
        <w:spacing w:after="0"/>
        <w:tabs>
          <w:tab w:leader="none" w:pos="2160" w:val="left"/>
        </w:tabs>
        <w:numPr>
          <w:ilvl w:val="0"/>
          <w:numId w:val="205"/>
        </w:numPr>
        <w:rPr>
          <w:rFonts w:ascii="Arial" w:cs="Arial" w:eastAsia="Arial" w:hAnsi="Arial"/>
          <w:sz w:val="18"/>
          <w:szCs w:val="18"/>
          <w:color w:val="auto"/>
        </w:rPr>
      </w:pPr>
      <w:r>
        <w:rPr>
          <w:rFonts w:ascii="Arial" w:cs="Arial" w:eastAsia="Arial" w:hAnsi="Arial"/>
          <w:sz w:val="20"/>
          <w:szCs w:val="20"/>
          <w:u w:val="single" w:color="auto"/>
          <w:color w:val="auto"/>
        </w:rPr>
        <w:t>Exercise of Rights in Pledged Collateral</w:t>
      </w:r>
      <w:r>
        <w:rPr>
          <w:rFonts w:ascii="Arial" w:cs="Arial" w:eastAsia="Arial" w:hAnsi="Arial"/>
          <w:sz w:val="20"/>
          <w:szCs w:val="20"/>
          <w:color w:val="auto"/>
        </w:rPr>
        <w:t>.</w:t>
      </w:r>
    </w:p>
    <w:p>
      <w:pPr>
        <w:spacing w:after="0" w:line="229" w:lineRule="exact"/>
        <w:rPr>
          <w:sz w:val="20"/>
          <w:szCs w:val="20"/>
          <w:color w:val="auto"/>
        </w:rPr>
      </w:pPr>
    </w:p>
    <w:p>
      <w:pPr>
        <w:jc w:val="both"/>
        <w:ind w:firstLine="1293"/>
        <w:spacing w:after="0" w:line="244" w:lineRule="auto"/>
        <w:tabs>
          <w:tab w:leader="none" w:pos="171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Without in any way limiting the foregoing and subject to clause (ii) below, such Grantor shall have the right to exercise all voting rights or other rights relating to the Pledged Collateral owned by it for all purposes not inconsistent with this Security Agreement, the Credit Agreement or any other Loan Document;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no vote or other right shall be exercised or action taken which would have the effect of impairing the rights of the Administrative Agent in respect of such Pledged Collateral.</w:t>
      </w:r>
    </w:p>
    <w:p>
      <w:pPr>
        <w:spacing w:after="0" w:line="208" w:lineRule="exact"/>
        <w:rPr>
          <w:sz w:val="20"/>
          <w:szCs w:val="20"/>
          <w:color w:val="auto"/>
        </w:rPr>
      </w:pPr>
    </w:p>
    <w:p>
      <w:pPr>
        <w:jc w:val="both"/>
        <w:ind w:firstLine="1293"/>
        <w:spacing w:after="0" w:line="274" w:lineRule="auto"/>
        <w:tabs>
          <w:tab w:leader="none" w:pos="2115" w:val="left"/>
        </w:tabs>
        <w:numPr>
          <w:ilvl w:val="0"/>
          <w:numId w:val="207"/>
        </w:numPr>
        <w:rPr>
          <w:rFonts w:ascii="Arial" w:cs="Arial" w:eastAsia="Arial" w:hAnsi="Arial"/>
          <w:sz w:val="18"/>
          <w:szCs w:val="18"/>
          <w:color w:val="auto"/>
        </w:rPr>
      </w:pPr>
      <w:r>
        <w:rPr>
          <w:rFonts w:ascii="Arial" w:cs="Arial" w:eastAsia="Arial" w:hAnsi="Arial"/>
          <w:sz w:val="20"/>
          <w:szCs w:val="20"/>
          <w:color w:val="auto"/>
        </w:rPr>
        <w:t>Such Grantor will permit the Administrative Agent or its nominee at any time after the occurrence of an Event of Default, without notice, to exercise all voting rights or other rights relating to the Pledged Collateral owned by it, including, without limitation, exchange, subscription or any other rights, privileges, or options pertaining to any Equity Interest or Investment Property constituting such Pledged Collateral as if it were the absolute owner thereof.</w:t>
      </w:r>
    </w:p>
    <w:p>
      <w:pPr>
        <w:spacing w:after="0" w:line="192" w:lineRule="exact"/>
        <w:rPr>
          <w:rFonts w:ascii="Arial" w:cs="Arial" w:eastAsia="Arial" w:hAnsi="Arial"/>
          <w:sz w:val="18"/>
          <w:szCs w:val="18"/>
          <w:color w:val="auto"/>
        </w:rPr>
      </w:pPr>
    </w:p>
    <w:p>
      <w:pPr>
        <w:jc w:val="both"/>
        <w:ind w:firstLine="1293"/>
        <w:spacing w:after="0" w:line="286" w:lineRule="auto"/>
        <w:tabs>
          <w:tab w:leader="none" w:pos="2165" w:val="left"/>
        </w:tabs>
        <w:numPr>
          <w:ilvl w:val="0"/>
          <w:numId w:val="207"/>
        </w:numPr>
        <w:rPr>
          <w:rFonts w:ascii="Arial" w:cs="Arial" w:eastAsia="Arial" w:hAnsi="Arial"/>
          <w:sz w:val="17"/>
          <w:szCs w:val="17"/>
          <w:color w:val="auto"/>
        </w:rPr>
      </w:pPr>
      <w:r>
        <w:rPr>
          <w:rFonts w:ascii="Arial" w:cs="Arial" w:eastAsia="Arial" w:hAnsi="Arial"/>
          <w:sz w:val="19"/>
          <w:szCs w:val="19"/>
          <w:color w:val="auto"/>
        </w:rPr>
        <w:t xml:space="preserve">Such Grantor shall be entitled to collect and receive for its own use all cash dividends and interest paid in respect of the Pledged Collateral owned by it to the extent not in violation of the Credit Agreement </w:t>
      </w:r>
      <w:r>
        <w:rPr>
          <w:rFonts w:ascii="Arial" w:cs="Arial" w:eastAsia="Arial" w:hAnsi="Arial"/>
          <w:sz w:val="19"/>
          <w:szCs w:val="19"/>
          <w:u w:val="single" w:color="auto"/>
          <w:color w:val="auto"/>
        </w:rPr>
        <w:t>other than</w:t>
      </w:r>
      <w:r>
        <w:rPr>
          <w:rFonts w:ascii="Arial" w:cs="Arial" w:eastAsia="Arial" w:hAnsi="Arial"/>
          <w:sz w:val="19"/>
          <w:szCs w:val="19"/>
          <w:color w:val="auto"/>
        </w:rPr>
        <w:t xml:space="preserve"> any of the following distributions and payments (collectively referred to as the “</w:t>
      </w:r>
      <w:r>
        <w:rPr>
          <w:rFonts w:ascii="Arial" w:cs="Arial" w:eastAsia="Arial" w:hAnsi="Arial"/>
          <w:sz w:val="19"/>
          <w:szCs w:val="19"/>
          <w:u w:val="single" w:color="auto"/>
          <w:color w:val="auto"/>
        </w:rPr>
        <w:t>Excluded Payments</w:t>
      </w:r>
      <w:r>
        <w:rPr>
          <w:rFonts w:ascii="Arial" w:cs="Arial" w:eastAsia="Arial" w:hAnsi="Arial"/>
          <w:sz w:val="19"/>
          <w:szCs w:val="19"/>
          <w:color w:val="auto"/>
        </w:rPr>
        <w:t xml:space="preserve">”): (A) dividends and interest paid or payable other than in cash in respect of such Pledged Collateral, and instruments and other property received, receivable or otherwise distributed in respect of, or in exchange for, any Pledged Collateral; (B) dividends and other distributions paid or payable in cash in respect of such Pledged Collateral in connection with a partial or total liquidation or dissolution or in connection with a reduction of capital, capital surplus or paid-in capital of an issuer; and (C) cash paid, payable or otherwise distributed, in respect of principal of, or in redemption of, or in exchange for, such Pledged Collateral; </w:t>
      </w:r>
      <w:r>
        <w:rPr>
          <w:rFonts w:ascii="Arial" w:cs="Arial" w:eastAsia="Arial" w:hAnsi="Arial"/>
          <w:sz w:val="19"/>
          <w:szCs w:val="19"/>
          <w:i w:val="1"/>
          <w:iCs w:val="1"/>
          <w:color w:val="auto"/>
        </w:rPr>
        <w:t>provided however, that</w:t>
      </w:r>
      <w:r>
        <w:rPr>
          <w:rFonts w:ascii="Arial" w:cs="Arial" w:eastAsia="Arial" w:hAnsi="Arial"/>
          <w:sz w:val="19"/>
          <w:szCs w:val="19"/>
          <w:color w:val="auto"/>
        </w:rPr>
        <w:t xml:space="preserve"> until actually paid, all rights to such distributions shall remain subject to the Lien created by this Security Agreement; and</w:t>
      </w:r>
    </w:p>
    <w:p>
      <w:pPr>
        <w:spacing w:after="0" w:line="182" w:lineRule="exact"/>
        <w:rPr>
          <w:rFonts w:ascii="Arial" w:cs="Arial" w:eastAsia="Arial" w:hAnsi="Arial"/>
          <w:sz w:val="17"/>
          <w:szCs w:val="17"/>
          <w:color w:val="auto"/>
        </w:rPr>
      </w:pPr>
    </w:p>
    <w:p>
      <w:pPr>
        <w:jc w:val="both"/>
        <w:ind w:firstLine="1293"/>
        <w:spacing w:after="0" w:line="273" w:lineRule="auto"/>
        <w:tabs>
          <w:tab w:leader="none" w:pos="2215" w:val="left"/>
        </w:tabs>
        <w:numPr>
          <w:ilvl w:val="0"/>
          <w:numId w:val="207"/>
        </w:numPr>
        <w:rPr>
          <w:rFonts w:ascii="Arial" w:cs="Arial" w:eastAsia="Arial" w:hAnsi="Arial"/>
          <w:sz w:val="18"/>
          <w:szCs w:val="18"/>
          <w:color w:val="auto"/>
        </w:rPr>
      </w:pPr>
      <w:r>
        <w:rPr>
          <w:rFonts w:ascii="Arial" w:cs="Arial" w:eastAsia="Arial" w:hAnsi="Arial"/>
          <w:sz w:val="20"/>
          <w:szCs w:val="20"/>
          <w:color w:val="auto"/>
        </w:rPr>
        <w:t>All Excluded Payments and all other distributions in respect of any Pledged Collateral owned by such Grantor, whenever paid or made, shall be delivered to the Administrative Agent to hold as Pledged Collateral and shall, if received by such Grantor, be received in trust for the benefit of the Administrative Agent, be segregated from the other property or funds of such Grantor, and be forthwith delivered to the Administrative Agent as Pledged Collateral in the same form as so received (with any necessary endorsement).</w:t>
      </w:r>
    </w:p>
    <w:p>
      <w:pPr>
        <w:spacing w:after="0" w:line="191" w:lineRule="exact"/>
        <w:rPr>
          <w:sz w:val="20"/>
          <w:szCs w:val="20"/>
          <w:color w:val="auto"/>
        </w:rPr>
      </w:pPr>
    </w:p>
    <w:p>
      <w:pPr>
        <w:jc w:val="both"/>
        <w:ind w:firstLine="1293"/>
        <w:spacing w:after="0" w:line="278" w:lineRule="auto"/>
        <w:tabs>
          <w:tab w:leader="none" w:pos="2144" w:val="left"/>
        </w:tabs>
        <w:numPr>
          <w:ilvl w:val="0"/>
          <w:numId w:val="208"/>
        </w:numPr>
        <w:rPr>
          <w:rFonts w:ascii="Arial" w:cs="Arial" w:eastAsia="Arial" w:hAnsi="Arial"/>
          <w:sz w:val="18"/>
          <w:szCs w:val="18"/>
          <w:color w:val="auto"/>
        </w:rPr>
      </w:pPr>
      <w:r>
        <w:rPr>
          <w:rFonts w:ascii="Arial" w:cs="Arial" w:eastAsia="Arial" w:hAnsi="Arial"/>
          <w:sz w:val="20"/>
          <w:szCs w:val="20"/>
          <w:u w:val="single" w:color="auto"/>
          <w:color w:val="auto"/>
        </w:rPr>
        <w:t>Interests in Limited Liability Companies and Limited Partnerships</w:t>
      </w:r>
      <w:r>
        <w:rPr>
          <w:rFonts w:ascii="Arial" w:cs="Arial" w:eastAsia="Arial" w:hAnsi="Arial"/>
          <w:sz w:val="20"/>
          <w:szCs w:val="20"/>
          <w:color w:val="auto"/>
        </w:rPr>
        <w:t>. Each Grantor agrees that no ownership interests in a limited liability company or a limited partnership which are included within the Collateral owned by such Grantor shall at any time constitute a Security under Article 8 of the UCC of the applicable jurisdiction.</w:t>
      </w:r>
    </w:p>
    <w:p>
      <w:pPr>
        <w:sectPr>
          <w:pgSz w:w="11900" w:h="16838" w:orient="portrait"/>
          <w:cols w:equalWidth="0" w:num="1">
            <w:col w:w="10760"/>
          </w:cols>
          <w:pgMar w:left="900" w:top="582" w:right="239" w:bottom="1440" w:gutter="0" w:footer="0" w:header="0"/>
        </w:sectPr>
      </w:pPr>
    </w:p>
    <w:bookmarkStart w:id="165" w:name="page166"/>
    <w:bookmarkEnd w:id="165"/>
    <w:p>
      <w:pPr>
        <w:jc w:val="both"/>
        <w:ind w:left="660" w:firstLine="1293"/>
        <w:spacing w:after="0" w:line="299" w:lineRule="auto"/>
        <w:tabs>
          <w:tab w:leader="none" w:pos="2785" w:val="left"/>
        </w:tabs>
        <w:numPr>
          <w:ilvl w:val="1"/>
          <w:numId w:val="209"/>
        </w:numPr>
        <w:rPr>
          <w:rFonts w:ascii="Arial" w:cs="Arial" w:eastAsia="Arial" w:hAnsi="Arial"/>
          <w:sz w:val="16"/>
          <w:szCs w:val="16"/>
          <w:color w:val="auto"/>
        </w:rPr>
      </w:pPr>
      <w:r>
        <w:rPr>
          <w:rFonts w:ascii="Arial" w:cs="Arial" w:eastAsia="Arial" w:hAnsi="Arial"/>
          <w:sz w:val="18"/>
          <w:szCs w:val="18"/>
          <w:u w:val="single" w:color="auto"/>
          <w:color w:val="auto"/>
        </w:rPr>
        <w:t>Pledge of Limited Liability Company Equity Interests</w:t>
      </w:r>
      <w:r>
        <w:rPr>
          <w:rFonts w:ascii="Arial" w:cs="Arial" w:eastAsia="Arial" w:hAnsi="Arial"/>
          <w:sz w:val="18"/>
          <w:szCs w:val="18"/>
          <w:color w:val="auto"/>
        </w:rPr>
        <w:t>. Notwithstanding anything contained in an operating agreement (a “</w:t>
      </w:r>
      <w:r>
        <w:rPr>
          <w:rFonts w:ascii="Arial" w:cs="Arial" w:eastAsia="Arial" w:hAnsi="Arial"/>
          <w:sz w:val="18"/>
          <w:szCs w:val="18"/>
          <w:u w:val="single" w:color="auto"/>
          <w:color w:val="auto"/>
        </w:rPr>
        <w:t>Pledged LLC Operating Agreement</w:t>
      </w:r>
      <w:r>
        <w:rPr>
          <w:rFonts w:ascii="Arial" w:cs="Arial" w:eastAsia="Arial" w:hAnsi="Arial"/>
          <w:sz w:val="18"/>
          <w:szCs w:val="18"/>
          <w:color w:val="auto"/>
        </w:rPr>
        <w:t>”) of a limited liability company (a “</w:t>
      </w:r>
      <w:r>
        <w:rPr>
          <w:rFonts w:ascii="Arial" w:cs="Arial" w:eastAsia="Arial" w:hAnsi="Arial"/>
          <w:sz w:val="18"/>
          <w:szCs w:val="18"/>
          <w:u w:val="single" w:color="auto"/>
          <w:color w:val="auto"/>
        </w:rPr>
        <w:t>Pledged LLC</w:t>
      </w:r>
      <w:r>
        <w:rPr>
          <w:rFonts w:ascii="Arial" w:cs="Arial" w:eastAsia="Arial" w:hAnsi="Arial"/>
          <w:sz w:val="18"/>
          <w:szCs w:val="18"/>
          <w:color w:val="auto"/>
        </w:rPr>
        <w:t>”) whose Equity Interests are being pledged by a Loan Party (a “</w:t>
      </w:r>
      <w:r>
        <w:rPr>
          <w:rFonts w:ascii="Arial" w:cs="Arial" w:eastAsia="Arial" w:hAnsi="Arial"/>
          <w:sz w:val="18"/>
          <w:szCs w:val="18"/>
          <w:u w:val="single" w:color="auto"/>
          <w:color w:val="auto"/>
        </w:rPr>
        <w:t>Pledging Party</w:t>
      </w:r>
      <w:r>
        <w:rPr>
          <w:rFonts w:ascii="Arial" w:cs="Arial" w:eastAsia="Arial" w:hAnsi="Arial"/>
          <w:sz w:val="18"/>
          <w:szCs w:val="18"/>
          <w:color w:val="auto"/>
        </w:rPr>
        <w:t>”) pursuant hereto, each Pledging Party shall be permitted to pledge or hypothecate any or all of its membership interests in such Pledged LLC, including all economic rights, control rights and status rights as a member, to the Administrative Agent on behalf of the Lenders, and any transfer of such membership interests pursuant to the Administrative Agent’s exercise of remedies in connection with any such pledge or hypothecation shall be permitted under the applicable Pledged LLC Operating Agreement with no further action or approval required thereunder. Notwithstanding anything contained in a Pledged LLC Operating Agreement to the contrary, subject to the terms of the Loan Documents, the Administrative Agent shall have the right, to the extent set forth in the this Agreement, and without further approval of the Pledging Party or any other member of the Pledged LLC and without becoming a member of the Pledged LLC (unless the Administrative Agent elects to become a member), to exercise the membership voting rights of the Pledging Party. Notwithstanding anything contained in a Pledged LLC Operating Agreement to the contrary, and without complying with any other procedures set forth in such Pledged LLC Operating Agreement, upon the exercise of remedies in connection with a pledge or hypothecation, to the extent set forth in this Agreement, (a) the Administrative Agent or its transferee, as the case may be, shall, if it so elects, become a member of the Pledged LLC under the applicable Pledged LLC Operating Agreement and, in such event, shall succeed to all of the rights and powers of the Pledging Party, including the right to participate in the management of the business and affairs of the Pledged LLC, and shall be bound by all of the obligations, of a member under such Pledged LLC Operating Agreement without taking any further action on the part of the Administrative Agent or its transferee, as the case may be, and (b) following such exercise of remedies, the Pledging Party shall cease to be a member of the Pledged LLC and shall have no further rights or powers under the applicable Pledged LLC Operating Agreement. The execution and delivery of this Agreement by a Pledging Party shall constitute any necessary approval of such Pledging Party as a member of a Pledged LLC under the Pledged LLC Operating Agreement to the foregoing provisions of this Section 4.6(f). The Administrative Agent, on behalf of the Lenders, shall be a third party beneficiary of the Pledged LLC Operating Agreement with respect to the terms contained in this Section 4.6(f).</w:t>
      </w:r>
    </w:p>
    <w:p>
      <w:pPr>
        <w:spacing w:after="0" w:line="186" w:lineRule="exact"/>
        <w:rPr>
          <w:rFonts w:ascii="Arial" w:cs="Arial" w:eastAsia="Arial" w:hAnsi="Arial"/>
          <w:sz w:val="16"/>
          <w:szCs w:val="16"/>
          <w:color w:val="auto"/>
        </w:rPr>
      </w:pPr>
    </w:p>
    <w:p>
      <w:pPr>
        <w:ind w:left="2080" w:hanging="775"/>
        <w:spacing w:after="0"/>
        <w:tabs>
          <w:tab w:leader="none" w:pos="2080" w:val="left"/>
        </w:tabs>
        <w:numPr>
          <w:ilvl w:val="0"/>
          <w:numId w:val="210"/>
        </w:numPr>
        <w:rPr>
          <w:rFonts w:ascii="Arial" w:cs="Arial" w:eastAsia="Arial" w:hAnsi="Arial"/>
          <w:sz w:val="18"/>
          <w:szCs w:val="18"/>
          <w:color w:val="auto"/>
        </w:rPr>
      </w:pPr>
      <w:r>
        <w:rPr>
          <w:rFonts w:ascii="Arial" w:cs="Arial" w:eastAsia="Arial" w:hAnsi="Arial"/>
          <w:sz w:val="20"/>
          <w:szCs w:val="20"/>
          <w:u w:val="single" w:color="auto"/>
          <w:color w:val="auto"/>
        </w:rPr>
        <w:t>Reserved.</w:t>
      </w:r>
    </w:p>
    <w:p>
      <w:pPr>
        <w:spacing w:after="0" w:line="22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Federal, State or Municipal Claims</w:t>
      </w:r>
      <w:r>
        <w:rPr>
          <w:rFonts w:ascii="Arial" w:cs="Arial" w:eastAsia="Arial" w:hAnsi="Arial"/>
          <w:sz w:val="20"/>
          <w:szCs w:val="20"/>
          <w:color w:val="auto"/>
        </w:rPr>
        <w:t>. Such Grantor will promptly notify the Administrative Agent of any Collateral which constitutes a claim against the United States government or any state or local government or any instrumentality or agency thereof, the assignment of which claim is restricted by federal, state or municipal law.</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No Interference</w:t>
      </w:r>
      <w:r>
        <w:rPr>
          <w:rFonts w:ascii="Arial" w:cs="Arial" w:eastAsia="Arial" w:hAnsi="Arial"/>
          <w:sz w:val="20"/>
          <w:szCs w:val="20"/>
          <w:color w:val="auto"/>
        </w:rPr>
        <w:t>. Such Grantor agrees that it will not interfere with any right, power and remedy of the Administrative Agent provided for in this Security Agreement or now or hereafter existing at law or in equity or by statute or otherwise, or the exercise or beginning of the exercise by the Administrative Agent of any one or more of such rights, powers or remedies.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Insurance</w:t>
      </w:r>
      <w:r>
        <w:rPr>
          <w:rFonts w:ascii="Arial" w:cs="Arial" w:eastAsia="Arial" w:hAnsi="Arial"/>
          <w:sz w:val="20"/>
          <w:szCs w:val="20"/>
          <w:color w:val="auto"/>
        </w:rPr>
        <w:t>. (a) In the event any Collateral is located in any area that has been designated by the Federal Emergency Management Agency as a “Special Flood Hazard Area”, such Grantor shall purchase and maintain flood insurance on such Collateral (including any personal property which is located on any real property leased by such Loan Party within a “Special Flood Hazard Area”). The amount of flood insurance required by this Section shall at a minimum comply with applicable law, including the Flood Disaster Protection Act of 1973, as amended</w:t>
      </w:r>
      <w:r>
        <w:rPr>
          <w:rFonts w:ascii="Arial" w:cs="Arial" w:eastAsia="Arial" w:hAnsi="Arial"/>
          <w:sz w:val="20"/>
          <w:szCs w:val="20"/>
          <w:b w:val="1"/>
          <w:bCs w:val="1"/>
          <w:color w:val="auto"/>
        </w:rPr>
        <w:t>.</w:t>
      </w:r>
    </w:p>
    <w:p>
      <w:pPr>
        <w:spacing w:after="0" w:line="195" w:lineRule="exact"/>
        <w:rPr>
          <w:sz w:val="20"/>
          <w:szCs w:val="20"/>
          <w:color w:val="auto"/>
        </w:rPr>
      </w:pPr>
    </w:p>
    <w:p>
      <w:pPr>
        <w:jc w:val="both"/>
        <w:ind w:firstLine="836"/>
        <w:spacing w:after="0" w:line="246" w:lineRule="auto"/>
        <w:tabs>
          <w:tab w:leader="none" w:pos="1252"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All insurance policies required hereunder and under Section 5.10 of the Credit Agreement shall name the Administrative Agent (for the benefit of the Administrative Agent and the Lenders) as an additional insured or as lender loss payee, as applicable, and shall contain lender loss payable clauses or mortgagee clauses, through endorsements in form and substance satisfactory to the Administrative Agent, which provide that: (i) all</w:t>
      </w:r>
    </w:p>
    <w:p>
      <w:pPr>
        <w:sectPr>
          <w:pgSz w:w="11900" w:h="16838" w:orient="portrait"/>
          <w:cols w:equalWidth="0" w:num="1">
            <w:col w:w="11420"/>
          </w:cols>
          <w:pgMar w:left="240" w:top="596" w:right="239" w:bottom="1440" w:gutter="0" w:footer="0" w:header="0"/>
        </w:sectPr>
      </w:pPr>
    </w:p>
    <w:bookmarkStart w:id="166" w:name="page167"/>
    <w:bookmarkEnd w:id="166"/>
    <w:p>
      <w:pPr>
        <w:jc w:val="both"/>
        <w:spacing w:after="0" w:line="291" w:lineRule="auto"/>
        <w:rPr>
          <w:sz w:val="20"/>
          <w:szCs w:val="20"/>
          <w:color w:val="auto"/>
        </w:rPr>
      </w:pPr>
      <w:r>
        <w:rPr>
          <w:rFonts w:ascii="Arial" w:cs="Arial" w:eastAsia="Arial" w:hAnsi="Arial"/>
          <w:sz w:val="18"/>
          <w:szCs w:val="18"/>
          <w:color w:val="auto"/>
        </w:rPr>
        <w:t>proceeds thereunder with respect to any Collateral shall be payable to the Administrative Agent; (ii) no such insurance shall be affected by any act or neglect of the insured or owner of the property described in such policy; and (iii) such policy and lender loss payable or mortgagee clauses may be canceled, amended, or terminated only upon at least thirty (30) days prior written notice given to the Administrative Agent.</w:t>
      </w:r>
    </w:p>
    <w:p>
      <w:pPr>
        <w:spacing w:after="0" w:line="152" w:lineRule="exact"/>
        <w:rPr>
          <w:sz w:val="20"/>
          <w:szCs w:val="20"/>
          <w:color w:val="auto"/>
        </w:rPr>
      </w:pPr>
    </w:p>
    <w:p>
      <w:pPr>
        <w:jc w:val="both"/>
        <w:ind w:firstLine="656"/>
        <w:spacing w:after="0" w:line="255" w:lineRule="auto"/>
        <w:tabs>
          <w:tab w:leader="none" w:pos="118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All premiums on any such insurance shall be paid when due by such Grantor, and copies of the policies delivered to the Administrative Agent. Unless a Grantor provides the Administrative Agent with evidence of the insurance coverage required by this Agreement, the Administrative Agent may purchase insurance at such Grantor’s or the Borrower’s expense to protect the Administrative Agent’s and the other Secured Parties’ interests in the Collateral. This insurance may, but need not, protect such Grantor’s interests. The coverage that the Administrative Agent purchases may not pay any claim that such Grantor makes or any claim that is made against such Grantor in connection with the Collateral. Such Grantor may later cancel any insurance purchased by the Administrative Agent, but only after providing the Administrative Agent with evidence that such Grantor has obtained insurance as required by this Agreement. If the Administrative Agent purchases insurance for the Collateral, such Grantor and the Borrower will be responsible for the costs of that insurance, including interest and any other charges the Administrative Agent may impose in connection with the placement of the insurance, until the effective date of the cancellation or expiration of the insurance. The costs of the insurance may be added to the Borrower’s or such Grantor’s total outstanding balance or obligation. The costs of the insurance may be more than the cost of insurance such Grantor may be able to obtain on its own. By purchasing such insurance, the Administrative Agent shall not be deemed to have waived any Default arising from the Grantor’s failure to maintain such insurance or pay any premiums therefor.</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Collateral Access Agreements</w:t>
      </w:r>
      <w:r>
        <w:rPr>
          <w:rFonts w:ascii="Arial" w:cs="Arial" w:eastAsia="Arial" w:hAnsi="Arial"/>
          <w:sz w:val="18"/>
          <w:szCs w:val="18"/>
          <w:color w:val="auto"/>
        </w:rPr>
        <w:t>. Such Grantor shall use commercially reasonable efforts to obtain a Collateral Access Agreement, from the lessor of each leased property, mortgagee of owned property or bailee or consignee with respect to any warehouse, processor or converter facility or other location where Collateral is stored or located, which agreement or letter shall provide access rights, contain a waiver or subordination of all Liens or claims that the landlord, mortgagee, bailee or consignee may assert against the Collateral at that location, and shall otherwise be reasonably satisfactory in form and substance to the Administrative Agent, provided that the Grantors shall not be required to use such commercially reasonable efforts with respect to Retail Stores unless requested to do so by the Administrative Agent. With respect to such locations or warehouse space leased as of the Closing Date and thereafter, if the Administrative Agent has not received a Collateral Access Agreement as of the Effective Date (or, if later, as of the date such location is acquired or leased), the Borrower’s Eligible Inventory at that location shall be subject to such Reserves as may be established by the Administrative Agent. If, after the Closing Date, any real property or warehouse space shall be leased by such Grantor or any Inventory shall be shipped to a processor or converter under arrangements established after the Closing Date, such Grantor shall (i) comply with the requirements of Section 4.13, and (ii) use commercially reasonable efforts to obtain a satisfactory Collateral Access Agreement with respect to such location and if such Collateral Access Agreement has not been obtained, the Borrower’s Eligible Inventory at that location shall be subject to the establishment of Reserves acceptable to the Administrative Agent. Such Grantor shall timely and fully pay and perform its obligations under all leases and other agreements with respect to each leased location or third party warehouse where any Collateral is or may be located.</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4.14. </w:t>
      </w:r>
      <w:r>
        <w:rPr>
          <w:rFonts w:ascii="Arial" w:cs="Arial" w:eastAsia="Arial" w:hAnsi="Arial"/>
          <w:sz w:val="20"/>
          <w:szCs w:val="20"/>
          <w:u w:val="single" w:color="auto"/>
          <w:color w:val="auto"/>
        </w:rPr>
        <w:t>Control Agreements</w:t>
      </w:r>
      <w:r>
        <w:rPr>
          <w:rFonts w:ascii="Arial" w:cs="Arial" w:eastAsia="Arial" w:hAnsi="Arial"/>
          <w:sz w:val="20"/>
          <w:szCs w:val="20"/>
          <w:color w:val="auto"/>
        </w:rPr>
        <w:t xml:space="preserve">. Such Grantor will provide to the Administrative Agent promptly upon the Administrative Agent’s request, a Control Agreement duly executed on behalf of each bank, financial institution, securities intermediary, or other Person holding such Grantor’s funds or maintaining a Deposit Account or Securities Account of such Grantor as set forth in this Security Agreement; </w:t>
      </w:r>
      <w:r>
        <w:rPr>
          <w:rFonts w:ascii="Arial" w:cs="Arial" w:eastAsia="Arial" w:hAnsi="Arial"/>
          <w:sz w:val="20"/>
          <w:szCs w:val="20"/>
          <w:i w:val="1"/>
          <w:iCs w:val="1"/>
          <w:color w:val="auto"/>
        </w:rPr>
        <w:t>provided that</w:t>
      </w:r>
      <w:r>
        <w:rPr>
          <w:rFonts w:ascii="Arial" w:cs="Arial" w:eastAsia="Arial" w:hAnsi="Arial"/>
          <w:sz w:val="20"/>
          <w:szCs w:val="20"/>
          <w:color w:val="auto"/>
        </w:rPr>
        <w:t>, the Administrative Agent may, in its discretion, defer delivery of any such Control Agreement, establish a Reserve with respect to any Deposit Account or Securities Account for which the Administrative Agent has not received such Control Agreement, and require such Grantor to open and maintain a new Deposit Accounts or Securities Accounts with a bank, financial institution, securities intermediary, or other Person subject to a Control Agreement.</w:t>
      </w:r>
    </w:p>
    <w:p>
      <w:pPr>
        <w:spacing w:after="0" w:line="3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4.15. </w:t>
      </w:r>
      <w:r>
        <w:rPr>
          <w:rFonts w:ascii="Arial" w:cs="Arial" w:eastAsia="Arial" w:hAnsi="Arial"/>
          <w:sz w:val="20"/>
          <w:szCs w:val="20"/>
          <w:u w:val="single" w:color="auto"/>
          <w:color w:val="auto"/>
        </w:rPr>
        <w:t>Change of Name or Location; Change of Fiscal Year</w:t>
      </w:r>
      <w:r>
        <w:rPr>
          <w:rFonts w:ascii="Arial" w:cs="Arial" w:eastAsia="Arial" w:hAnsi="Arial"/>
          <w:sz w:val="20"/>
          <w:szCs w:val="20"/>
          <w:color w:val="auto"/>
        </w:rPr>
        <w:t>. Such Grantor shall not (a) change its name as it appears in official filings in the state of its incorporation or organization, (b) change its chief executive office, principal place of business, mailing address, corporate offices or warehouses or locations at which Collateral is held or stored, or the location of its records concerning the Collateral as set forth in this Security Agreement, (c) change the type of</w:t>
      </w:r>
    </w:p>
    <w:p>
      <w:pPr>
        <w:sectPr>
          <w:pgSz w:w="11900" w:h="16838" w:orient="portrait"/>
          <w:cols w:equalWidth="0" w:num="1">
            <w:col w:w="11420"/>
          </w:cols>
          <w:pgMar w:left="240" w:top="582" w:right="239" w:bottom="1440" w:gutter="0" w:footer="0" w:header="0"/>
        </w:sectPr>
      </w:pPr>
    </w:p>
    <w:bookmarkStart w:id="167" w:name="page168"/>
    <w:bookmarkEnd w:id="167"/>
    <w:p>
      <w:pPr>
        <w:jc w:val="both"/>
        <w:spacing w:after="0" w:line="271" w:lineRule="auto"/>
        <w:rPr>
          <w:sz w:val="20"/>
          <w:szCs w:val="20"/>
          <w:color w:val="auto"/>
        </w:rPr>
      </w:pPr>
      <w:r>
        <w:rPr>
          <w:rFonts w:ascii="Arial" w:cs="Arial" w:eastAsia="Arial" w:hAnsi="Arial"/>
          <w:sz w:val="18"/>
          <w:szCs w:val="18"/>
          <w:color w:val="auto"/>
        </w:rPr>
        <w:t xml:space="preserve">entity that it is, (d) change its organization identification number, if any, issued by its state of incorporation or other organization, or (e) change its state of incorporation or organization, in each case, unless the Administrative Agent shall have received at least thirty (30) days prior written notice of such change and the Administrative Agent shall have acknowledged in writing that either (1) such change will not adversely affect the validity, perfection or priority of the Administrative Agent’s security interest in the Collateral, or (2) any reasonable action requested by the Administrative Agent in connection therewith has been completed or taken (including any action to continue the perfection of any Liens in favor of the Administrative Agent, on behalf of the Secured Parties, in any Collateral), </w:t>
      </w:r>
      <w:r>
        <w:rPr>
          <w:rFonts w:ascii="Arial" w:cs="Arial" w:eastAsia="Arial" w:hAnsi="Arial"/>
          <w:sz w:val="18"/>
          <w:szCs w:val="18"/>
          <w:i w:val="1"/>
          <w:iCs w:val="1"/>
          <w:color w:val="auto"/>
        </w:rPr>
        <w:t>provided that</w:t>
      </w:r>
      <w:r>
        <w:rPr>
          <w:rFonts w:ascii="Arial" w:cs="Arial" w:eastAsia="Arial" w:hAnsi="Arial"/>
          <w:sz w:val="18"/>
          <w:szCs w:val="18"/>
          <w:color w:val="auto"/>
        </w:rPr>
        <w:t>, (i) any new location shall be in the continental U.S. and (ii) each Grantor may close Retail Stores and open Retail Stores if (x) during the Initial Period, such Grantor shall have specifically disclosed such closings and openings on the most recent Collateral Report, and (ii) after the Initial Period, such Grantor shall have notified the Administrative Agent in writing of such closings and openings at least thirty (30) days prior thereto and shall have provided a copy of the lease for any such new Retail Store and such information with respect to each such new Retail Store as reasonably requested by the Administrative Agent. Such Grantor shall not change its fiscal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AND REMEDIES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one or more of the following events shall constitute an Event of Default hereunder:</w:t>
      </w:r>
    </w:p>
    <w:p>
      <w:pPr>
        <w:spacing w:after="0" w:line="252" w:lineRule="exact"/>
        <w:rPr>
          <w:sz w:val="20"/>
          <w:szCs w:val="20"/>
          <w:color w:val="auto"/>
        </w:rPr>
      </w:pPr>
    </w:p>
    <w:p>
      <w:pPr>
        <w:ind w:left="660" w:firstLine="1293"/>
        <w:spacing w:after="0" w:line="289" w:lineRule="auto"/>
        <w:tabs>
          <w:tab w:leader="none" w:pos="2804" w:val="left"/>
        </w:tabs>
        <w:numPr>
          <w:ilvl w:val="1"/>
          <w:numId w:val="213"/>
        </w:numPr>
        <w:rPr>
          <w:rFonts w:ascii="Arial" w:cs="Arial" w:eastAsia="Arial" w:hAnsi="Arial"/>
          <w:sz w:val="18"/>
          <w:szCs w:val="18"/>
          <w:color w:val="auto"/>
        </w:rPr>
      </w:pPr>
      <w:r>
        <w:rPr>
          <w:rFonts w:ascii="Arial" w:cs="Arial" w:eastAsia="Arial" w:hAnsi="Arial"/>
          <w:sz w:val="20"/>
          <w:szCs w:val="20"/>
          <w:color w:val="auto"/>
        </w:rPr>
        <w:t>Any representation or warranty made by or on behalf of any Grantor under or in connection with this Security Agreement shall be materially false as of the date on which made.</w:t>
      </w:r>
    </w:p>
    <w:p>
      <w:pPr>
        <w:spacing w:after="0" w:line="175" w:lineRule="exact"/>
        <w:rPr>
          <w:rFonts w:ascii="Arial" w:cs="Arial" w:eastAsia="Arial" w:hAnsi="Arial"/>
          <w:sz w:val="18"/>
          <w:szCs w:val="18"/>
          <w:color w:val="auto"/>
        </w:rPr>
      </w:pPr>
    </w:p>
    <w:p>
      <w:pPr>
        <w:ind w:left="2820" w:hanging="867"/>
        <w:spacing w:after="0"/>
        <w:tabs>
          <w:tab w:leader="none" w:pos="2820" w:val="left"/>
        </w:tabs>
        <w:numPr>
          <w:ilvl w:val="1"/>
          <w:numId w:val="213"/>
        </w:numPr>
        <w:rPr>
          <w:rFonts w:ascii="Arial" w:cs="Arial" w:eastAsia="Arial" w:hAnsi="Arial"/>
          <w:sz w:val="17"/>
          <w:szCs w:val="17"/>
          <w:color w:val="auto"/>
        </w:rPr>
      </w:pPr>
      <w:r>
        <w:rPr>
          <w:rFonts w:ascii="Arial" w:cs="Arial" w:eastAsia="Arial" w:hAnsi="Arial"/>
          <w:sz w:val="19"/>
          <w:szCs w:val="19"/>
          <w:color w:val="auto"/>
        </w:rPr>
        <w:t xml:space="preserve">Any Grantor shall fail to observe or perform any of the terms or provisions of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254" w:lineRule="exact"/>
        <w:rPr>
          <w:rFonts w:ascii="Arial" w:cs="Arial" w:eastAsia="Arial" w:hAnsi="Arial"/>
          <w:sz w:val="17"/>
          <w:szCs w:val="17"/>
          <w:color w:val="auto"/>
        </w:rPr>
      </w:pPr>
    </w:p>
    <w:p>
      <w:pPr>
        <w:jc w:val="both"/>
        <w:ind w:left="660" w:firstLine="1293"/>
        <w:spacing w:after="0" w:line="274" w:lineRule="auto"/>
        <w:tabs>
          <w:tab w:leader="none" w:pos="2804" w:val="left"/>
        </w:tabs>
        <w:numPr>
          <w:ilvl w:val="1"/>
          <w:numId w:val="213"/>
        </w:numPr>
        <w:rPr>
          <w:rFonts w:ascii="Arial" w:cs="Arial" w:eastAsia="Arial" w:hAnsi="Arial"/>
          <w:sz w:val="18"/>
          <w:szCs w:val="18"/>
          <w:color w:val="auto"/>
        </w:rPr>
      </w:pPr>
      <w:r>
        <w:rPr>
          <w:rFonts w:ascii="Arial" w:cs="Arial" w:eastAsia="Arial" w:hAnsi="Arial"/>
          <w:sz w:val="20"/>
          <w:szCs w:val="20"/>
          <w:color w:val="auto"/>
        </w:rPr>
        <w:t>Any Grantor shall fail to observe or perform any of the terms or provisions of this Security Agreement (other than a breach which constitutes an Event of Default under any other Section of this Article V) and such failure shall continue unremedied for a period of fifteen (15) days after the earlier of knowledge of such breach or notice thereof from the Administrative Agent.</w:t>
      </w:r>
    </w:p>
    <w:p>
      <w:pPr>
        <w:spacing w:after="0" w:line="192" w:lineRule="exact"/>
        <w:rPr>
          <w:rFonts w:ascii="Arial" w:cs="Arial" w:eastAsia="Arial" w:hAnsi="Arial"/>
          <w:sz w:val="18"/>
          <w:szCs w:val="18"/>
          <w:color w:val="auto"/>
        </w:rPr>
      </w:pPr>
    </w:p>
    <w:p>
      <w:pPr>
        <w:ind w:left="2820" w:hanging="867"/>
        <w:spacing w:after="0"/>
        <w:tabs>
          <w:tab w:leader="none" w:pos="2820" w:val="left"/>
        </w:tabs>
        <w:numPr>
          <w:ilvl w:val="1"/>
          <w:numId w:val="213"/>
        </w:numPr>
        <w:rPr>
          <w:rFonts w:ascii="Arial" w:cs="Arial" w:eastAsia="Arial" w:hAnsi="Arial"/>
          <w:sz w:val="18"/>
          <w:szCs w:val="18"/>
          <w:color w:val="auto"/>
        </w:rPr>
      </w:pPr>
      <w:r>
        <w:rPr>
          <w:rFonts w:ascii="Arial" w:cs="Arial" w:eastAsia="Arial" w:hAnsi="Arial"/>
          <w:sz w:val="20"/>
          <w:szCs w:val="20"/>
          <w:color w:val="auto"/>
        </w:rPr>
        <w:t>The occurrence of any “Event of Default” under, and as defined in, the Credit Agreement.</w:t>
      </w:r>
    </w:p>
    <w:p>
      <w:pPr>
        <w:spacing w:after="0" w:line="242" w:lineRule="exact"/>
        <w:rPr>
          <w:rFonts w:ascii="Arial" w:cs="Arial" w:eastAsia="Arial" w:hAnsi="Arial"/>
          <w:sz w:val="18"/>
          <w:szCs w:val="18"/>
          <w:color w:val="auto"/>
        </w:rPr>
      </w:pPr>
    </w:p>
    <w:p>
      <w:pPr>
        <w:jc w:val="both"/>
        <w:ind w:left="660" w:firstLine="1293"/>
        <w:spacing w:after="0" w:line="271" w:lineRule="auto"/>
        <w:tabs>
          <w:tab w:leader="none" w:pos="2804" w:val="left"/>
        </w:tabs>
        <w:numPr>
          <w:ilvl w:val="1"/>
          <w:numId w:val="213"/>
        </w:numPr>
        <w:rPr>
          <w:rFonts w:ascii="Arial" w:cs="Arial" w:eastAsia="Arial" w:hAnsi="Arial"/>
          <w:sz w:val="18"/>
          <w:szCs w:val="18"/>
          <w:color w:val="auto"/>
        </w:rPr>
      </w:pPr>
      <w:r>
        <w:rPr>
          <w:rFonts w:ascii="Arial" w:cs="Arial" w:eastAsia="Arial" w:hAnsi="Arial"/>
          <w:sz w:val="20"/>
          <w:szCs w:val="20"/>
          <w:color w:val="auto"/>
        </w:rPr>
        <w:t>Any Equity Interest which is included within the Collateral shall at any time constitute a Security or the issuer of any such Equity Interest shall take any action to have such interests treated as a Security unless (i) all certificates or other documents constituting such Security have been delivered to the Administrative Agent and such Security is properly defined as such under Article 8 of the UCC of the applicable jurisdiction, whether as a result of actions by the issuer thereof or otherwise, or (ii) the Administrative Agent has entered into a control agreement with the issuer of such Security or with a securities intermediary relating to such Security and such Security is defined as such under Article 8 of the UCC of the applicable jurisdiction, whether as a result of actions by the issuer thereof or otherwise.</w:t>
      </w:r>
    </w:p>
    <w:p>
      <w:pPr>
        <w:spacing w:after="0" w:line="194" w:lineRule="exact"/>
        <w:rPr>
          <w:rFonts w:ascii="Arial" w:cs="Arial" w:eastAsia="Arial" w:hAnsi="Arial"/>
          <w:sz w:val="18"/>
          <w:szCs w:val="18"/>
          <w:color w:val="auto"/>
        </w:rPr>
      </w:pPr>
    </w:p>
    <w:p>
      <w:pPr>
        <w:ind w:left="1140" w:hanging="430"/>
        <w:spacing w:after="0"/>
        <w:tabs>
          <w:tab w:leader="none" w:pos="1140" w:val="left"/>
        </w:tabs>
        <w:numPr>
          <w:ilvl w:val="0"/>
          <w:numId w:val="214"/>
        </w:numPr>
        <w:rPr>
          <w:rFonts w:ascii="Arial" w:cs="Arial" w:eastAsia="Arial" w:hAnsi="Arial"/>
          <w:sz w:val="18"/>
          <w:szCs w:val="18"/>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w:t>
      </w:r>
    </w:p>
    <w:p>
      <w:pPr>
        <w:spacing w:after="0" w:line="229" w:lineRule="exact"/>
        <w:rPr>
          <w:rFonts w:ascii="Arial" w:cs="Arial" w:eastAsia="Arial" w:hAnsi="Arial"/>
          <w:sz w:val="18"/>
          <w:szCs w:val="18"/>
          <w:color w:val="auto"/>
        </w:rPr>
      </w:pPr>
    </w:p>
    <w:p>
      <w:pPr>
        <w:ind w:left="660" w:firstLine="1293"/>
        <w:spacing w:after="0" w:line="289" w:lineRule="auto"/>
        <w:tabs>
          <w:tab w:leader="none" w:pos="2804" w:val="left"/>
        </w:tabs>
        <w:numPr>
          <w:ilvl w:val="1"/>
          <w:numId w:val="214"/>
        </w:numPr>
        <w:rPr>
          <w:rFonts w:ascii="Arial" w:cs="Arial" w:eastAsia="Arial" w:hAnsi="Arial"/>
          <w:sz w:val="18"/>
          <w:szCs w:val="18"/>
          <w:color w:val="auto"/>
        </w:rPr>
      </w:pPr>
      <w:r>
        <w:rPr>
          <w:rFonts w:ascii="Arial" w:cs="Arial" w:eastAsia="Arial" w:hAnsi="Arial"/>
          <w:sz w:val="20"/>
          <w:szCs w:val="20"/>
          <w:color w:val="auto"/>
        </w:rPr>
        <w:t>Upon the occurrence of an Event of Default, the Administrative Agent may exercise any or all of the following rights and remedies:</w:t>
      </w:r>
    </w:p>
    <w:p>
      <w:pPr>
        <w:spacing w:after="0" w:line="175" w:lineRule="exact"/>
        <w:rPr>
          <w:sz w:val="20"/>
          <w:szCs w:val="20"/>
          <w:color w:val="auto"/>
        </w:rPr>
      </w:pPr>
    </w:p>
    <w:p>
      <w:pPr>
        <w:jc w:val="both"/>
        <w:ind w:left="660" w:firstLine="1293"/>
        <w:spacing w:after="0" w:line="278" w:lineRule="auto"/>
        <w:tabs>
          <w:tab w:leader="none" w:pos="2775" w:val="left"/>
        </w:tabs>
        <w:numPr>
          <w:ilvl w:val="0"/>
          <w:numId w:val="215"/>
        </w:numPr>
        <w:rPr>
          <w:rFonts w:ascii="Arial" w:cs="Arial" w:eastAsia="Arial" w:hAnsi="Arial"/>
          <w:sz w:val="18"/>
          <w:szCs w:val="18"/>
          <w:color w:val="auto"/>
        </w:rPr>
      </w:pPr>
      <w:r>
        <w:rPr>
          <w:rFonts w:ascii="Arial" w:cs="Arial" w:eastAsia="Arial" w:hAnsi="Arial"/>
          <w:sz w:val="20"/>
          <w:szCs w:val="20"/>
          <w:color w:val="auto"/>
        </w:rPr>
        <w:t xml:space="preserve">those rights and remedies provided in this Security Agreement, the Credit Agreement, or any other Loan Document;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this Section 5.2(a) shall not be understood to limit any rights or remedies available to the Administrative Agent and the other Secured Parties prior to an Event of Default;</w:t>
      </w:r>
    </w:p>
    <w:p>
      <w:pPr>
        <w:spacing w:after="0" w:line="186" w:lineRule="exact"/>
        <w:rPr>
          <w:rFonts w:ascii="Arial" w:cs="Arial" w:eastAsia="Arial" w:hAnsi="Arial"/>
          <w:sz w:val="18"/>
          <w:szCs w:val="18"/>
          <w:color w:val="auto"/>
        </w:rPr>
      </w:pPr>
    </w:p>
    <w:p>
      <w:pPr>
        <w:ind w:left="660" w:firstLine="1293"/>
        <w:spacing w:after="0" w:line="289" w:lineRule="auto"/>
        <w:tabs>
          <w:tab w:leader="none" w:pos="2825" w:val="left"/>
        </w:tabs>
        <w:numPr>
          <w:ilvl w:val="0"/>
          <w:numId w:val="215"/>
        </w:numPr>
        <w:rPr>
          <w:rFonts w:ascii="Arial" w:cs="Arial" w:eastAsia="Arial" w:hAnsi="Arial"/>
          <w:sz w:val="18"/>
          <w:szCs w:val="18"/>
          <w:color w:val="auto"/>
        </w:rPr>
      </w:pPr>
      <w:r>
        <w:rPr>
          <w:rFonts w:ascii="Arial" w:cs="Arial" w:eastAsia="Arial" w:hAnsi="Arial"/>
          <w:sz w:val="20"/>
          <w:szCs w:val="20"/>
          <w:color w:val="auto"/>
        </w:rPr>
        <w:t>those rights and remedies available to a secured party under the UCC (whether or not the UCC applies to the affected Collateral) or under any other applicable law (including, without limitation,</w:t>
      </w:r>
    </w:p>
    <w:p>
      <w:pPr>
        <w:sectPr>
          <w:pgSz w:w="11900" w:h="16838" w:orient="portrait"/>
          <w:cols w:equalWidth="0" w:num="1">
            <w:col w:w="11420"/>
          </w:cols>
          <w:pgMar w:left="240" w:top="582"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any law governing the exercise of a bank’s right of setoff or bankers’ lien) when a debtor is in default under a security agreement;</w:t>
      </w:r>
    </w:p>
    <w:p>
      <w:pPr>
        <w:spacing w:after="0" w:line="266" w:lineRule="exact"/>
        <w:rPr>
          <w:sz w:val="20"/>
          <w:szCs w:val="20"/>
          <w:color w:val="auto"/>
        </w:rPr>
      </w:pPr>
    </w:p>
    <w:p>
      <w:pPr>
        <w:ind w:right="20" w:firstLine="1293"/>
        <w:spacing w:after="0" w:line="289" w:lineRule="auto"/>
        <w:tabs>
          <w:tab w:leader="none" w:pos="2215" w:val="left"/>
        </w:tabs>
        <w:numPr>
          <w:ilvl w:val="0"/>
          <w:numId w:val="216"/>
        </w:numPr>
        <w:rPr>
          <w:rFonts w:ascii="Arial" w:cs="Arial" w:eastAsia="Arial" w:hAnsi="Arial"/>
          <w:sz w:val="18"/>
          <w:szCs w:val="18"/>
          <w:color w:val="auto"/>
        </w:rPr>
      </w:pPr>
      <w:r>
        <w:rPr>
          <w:rFonts w:ascii="Arial" w:cs="Arial" w:eastAsia="Arial" w:hAnsi="Arial"/>
          <w:sz w:val="20"/>
          <w:szCs w:val="20"/>
          <w:color w:val="auto"/>
        </w:rPr>
        <w:t>give notice of sole control or any other instruction under any Control Agreement and take any action therein with respect to such Collateral;</w:t>
      </w:r>
    </w:p>
    <w:p>
      <w:pPr>
        <w:spacing w:after="0" w:line="175" w:lineRule="exact"/>
        <w:rPr>
          <w:rFonts w:ascii="Arial" w:cs="Arial" w:eastAsia="Arial" w:hAnsi="Arial"/>
          <w:sz w:val="18"/>
          <w:szCs w:val="18"/>
          <w:color w:val="auto"/>
        </w:rPr>
      </w:pPr>
    </w:p>
    <w:p>
      <w:pPr>
        <w:jc w:val="both"/>
        <w:ind w:firstLine="1293"/>
        <w:spacing w:after="0" w:line="287" w:lineRule="auto"/>
        <w:tabs>
          <w:tab w:leader="none" w:pos="2205" w:val="left"/>
        </w:tabs>
        <w:numPr>
          <w:ilvl w:val="0"/>
          <w:numId w:val="216"/>
        </w:numPr>
        <w:rPr>
          <w:rFonts w:ascii="Arial" w:cs="Arial" w:eastAsia="Arial" w:hAnsi="Arial"/>
          <w:sz w:val="17"/>
          <w:szCs w:val="17"/>
          <w:color w:val="auto"/>
        </w:rPr>
      </w:pPr>
      <w:r>
        <w:rPr>
          <w:rFonts w:ascii="Arial" w:cs="Arial" w:eastAsia="Arial" w:hAnsi="Arial"/>
          <w:sz w:val="19"/>
          <w:szCs w:val="19"/>
          <w:color w:val="auto"/>
        </w:rPr>
        <w:t>without notice (except as specifically provided in Section 8.1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Administrative Agent may deem commercially reasonable; and</w:t>
      </w:r>
    </w:p>
    <w:p>
      <w:pPr>
        <w:spacing w:after="0" w:line="183" w:lineRule="exact"/>
        <w:rPr>
          <w:rFonts w:ascii="Arial" w:cs="Arial" w:eastAsia="Arial" w:hAnsi="Arial"/>
          <w:sz w:val="17"/>
          <w:szCs w:val="17"/>
          <w:color w:val="auto"/>
        </w:rPr>
      </w:pPr>
    </w:p>
    <w:p>
      <w:pPr>
        <w:jc w:val="both"/>
        <w:ind w:firstLine="1293"/>
        <w:spacing w:after="0" w:line="310" w:lineRule="auto"/>
        <w:tabs>
          <w:tab w:leader="none" w:pos="2155" w:val="left"/>
        </w:tabs>
        <w:numPr>
          <w:ilvl w:val="0"/>
          <w:numId w:val="216"/>
        </w:numPr>
        <w:rPr>
          <w:rFonts w:ascii="Arial" w:cs="Arial" w:eastAsia="Arial" w:hAnsi="Arial"/>
          <w:sz w:val="16"/>
          <w:szCs w:val="16"/>
          <w:color w:val="auto"/>
        </w:rPr>
      </w:pPr>
      <w:r>
        <w:rPr>
          <w:rFonts w:ascii="Arial" w:cs="Arial" w:eastAsia="Arial" w:hAnsi="Arial"/>
          <w:sz w:val="18"/>
          <w:szCs w:val="18"/>
          <w:color w:val="auto"/>
        </w:rPr>
        <w:t>concurrently with written notice to the applicable Grantor, transfer and register in its name or in the name of its nominee the whole or any part of the Pledged Collateral,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the Administrative Agent was the outright owner thereof.</w:t>
      </w:r>
    </w:p>
    <w:p>
      <w:pPr>
        <w:spacing w:after="0" w:line="162" w:lineRule="exact"/>
        <w:rPr>
          <w:sz w:val="20"/>
          <w:szCs w:val="20"/>
          <w:color w:val="auto"/>
        </w:rPr>
      </w:pPr>
    </w:p>
    <w:p>
      <w:pPr>
        <w:jc w:val="both"/>
        <w:ind w:firstLine="1293"/>
        <w:spacing w:after="0" w:line="278" w:lineRule="auto"/>
        <w:tabs>
          <w:tab w:leader="none" w:pos="2155" w:val="left"/>
        </w:tabs>
        <w:numPr>
          <w:ilvl w:val="0"/>
          <w:numId w:val="217"/>
        </w:numPr>
        <w:rPr>
          <w:rFonts w:ascii="Arial" w:cs="Arial" w:eastAsia="Arial" w:hAnsi="Arial"/>
          <w:sz w:val="18"/>
          <w:szCs w:val="18"/>
          <w:color w:val="auto"/>
        </w:rPr>
      </w:pPr>
      <w:r>
        <w:rPr>
          <w:rFonts w:ascii="Arial" w:cs="Arial" w:eastAsia="Arial" w:hAnsi="Arial"/>
          <w:sz w:val="20"/>
          <w:szCs w:val="20"/>
          <w:color w:val="auto"/>
        </w:rPr>
        <w:t>The Administrative Agent, on behalf of the Secured Parties, may comply with any applicable state or federal law requirements in connection with a disposition of the Collateral and compliance will not be considered to adversely affect the commercial reasonableness of any sale of the Collateral.</w:t>
      </w:r>
    </w:p>
    <w:p>
      <w:pPr>
        <w:spacing w:after="0" w:line="186" w:lineRule="exact"/>
        <w:rPr>
          <w:rFonts w:ascii="Arial" w:cs="Arial" w:eastAsia="Arial" w:hAnsi="Arial"/>
          <w:sz w:val="18"/>
          <w:szCs w:val="18"/>
          <w:color w:val="auto"/>
        </w:rPr>
      </w:pPr>
    </w:p>
    <w:p>
      <w:pPr>
        <w:jc w:val="both"/>
        <w:ind w:firstLine="1293"/>
        <w:spacing w:after="0" w:line="274" w:lineRule="auto"/>
        <w:tabs>
          <w:tab w:leader="none" w:pos="2144" w:val="left"/>
        </w:tabs>
        <w:numPr>
          <w:ilvl w:val="0"/>
          <w:numId w:val="217"/>
        </w:numPr>
        <w:rPr>
          <w:rFonts w:ascii="Arial" w:cs="Arial" w:eastAsia="Arial" w:hAnsi="Arial"/>
          <w:sz w:val="18"/>
          <w:szCs w:val="18"/>
          <w:color w:val="auto"/>
        </w:rPr>
      </w:pPr>
      <w:r>
        <w:rPr>
          <w:rFonts w:ascii="Arial" w:cs="Arial" w:eastAsia="Arial" w:hAnsi="Arial"/>
          <w:sz w:val="20"/>
          <w:szCs w:val="20"/>
          <w:color w:val="auto"/>
        </w:rPr>
        <w:t>The Administrative Agent shall have the right upon any such public sale or sales and, to the extent permitted by law, upon any such private sale or sales, to purchase for the benefit of the Administrative Agent and the other Secured Parties, the whole or any part of the Collateral so sold, free of any right of equity redemption, which equity redemption the Grantor hereby expressly releases.</w:t>
      </w:r>
    </w:p>
    <w:p>
      <w:pPr>
        <w:spacing w:after="0" w:line="192" w:lineRule="exact"/>
        <w:rPr>
          <w:rFonts w:ascii="Arial" w:cs="Arial" w:eastAsia="Arial" w:hAnsi="Arial"/>
          <w:sz w:val="18"/>
          <w:szCs w:val="18"/>
          <w:color w:val="auto"/>
        </w:rPr>
      </w:pPr>
    </w:p>
    <w:p>
      <w:pPr>
        <w:jc w:val="both"/>
        <w:ind w:firstLine="1293"/>
        <w:spacing w:after="0" w:line="288" w:lineRule="auto"/>
        <w:tabs>
          <w:tab w:leader="none" w:pos="2155" w:val="left"/>
        </w:tabs>
        <w:numPr>
          <w:ilvl w:val="0"/>
          <w:numId w:val="217"/>
        </w:numPr>
        <w:rPr>
          <w:rFonts w:ascii="Arial" w:cs="Arial" w:eastAsia="Arial" w:hAnsi="Arial"/>
          <w:sz w:val="17"/>
          <w:szCs w:val="17"/>
          <w:color w:val="auto"/>
        </w:rPr>
      </w:pPr>
      <w:r>
        <w:rPr>
          <w:rFonts w:ascii="Arial" w:cs="Arial" w:eastAsia="Arial" w:hAnsi="Arial"/>
          <w:sz w:val="19"/>
          <w:szCs w:val="19"/>
          <w:color w:val="auto"/>
        </w:rPr>
        <w:t>Until the Administrative Agent is able to effect a sale, lease, or other disposition of Collateral, the Administrative Agent shall have the right to hold or use Collateral, or any part thereof, to the extent that it deems appropriate for the purpose of preserving Collateral or its value or for any other purpose deemed appropriate by the Administrative Agent. The Administrative Agent may, if it so elects, seek the appointment of a receiver or keeper to take possession of Collateral and to enforce any of the Administrative Agent’s remedies (for the benefit of the Administrative Agent and the other Secured Parties), with respect to such appointment without prior notice or hearing as to such appointment.</w:t>
      </w:r>
    </w:p>
    <w:p>
      <w:pPr>
        <w:spacing w:after="0" w:line="182" w:lineRule="exact"/>
        <w:rPr>
          <w:rFonts w:ascii="Arial" w:cs="Arial" w:eastAsia="Arial" w:hAnsi="Arial"/>
          <w:sz w:val="17"/>
          <w:szCs w:val="17"/>
          <w:color w:val="auto"/>
        </w:rPr>
      </w:pPr>
    </w:p>
    <w:p>
      <w:pPr>
        <w:jc w:val="both"/>
        <w:ind w:firstLine="1293"/>
        <w:spacing w:after="0" w:line="274" w:lineRule="auto"/>
        <w:tabs>
          <w:tab w:leader="none" w:pos="2144" w:val="left"/>
        </w:tabs>
        <w:numPr>
          <w:ilvl w:val="0"/>
          <w:numId w:val="217"/>
        </w:numPr>
        <w:rPr>
          <w:rFonts w:ascii="Arial" w:cs="Arial" w:eastAsia="Arial" w:hAnsi="Arial"/>
          <w:sz w:val="18"/>
          <w:szCs w:val="18"/>
          <w:color w:val="auto"/>
        </w:rPr>
      </w:pPr>
      <w:r>
        <w:rPr>
          <w:rFonts w:ascii="Arial" w:cs="Arial" w:eastAsia="Arial" w:hAnsi="Arial"/>
          <w:sz w:val="20"/>
          <w:szCs w:val="20"/>
          <w:color w:val="auto"/>
        </w:rPr>
        <w:t>If, after the Credit Agreement has terminated by its terms and all of the Obligations have been Paid in Full, there remain Swap Agreement Obligations outstanding, the Required Secured Parties may exercise the remedies provided in this Section 5.2 upon the occurrence of any event which would allow or require the termination or acceleration of any Swap Agreement Obligations pursuant to the terms of the Swap Agreement.</w:t>
      </w:r>
    </w:p>
    <w:p>
      <w:pPr>
        <w:spacing w:after="0" w:line="192" w:lineRule="exact"/>
        <w:rPr>
          <w:rFonts w:ascii="Arial" w:cs="Arial" w:eastAsia="Arial" w:hAnsi="Arial"/>
          <w:sz w:val="18"/>
          <w:szCs w:val="18"/>
          <w:color w:val="auto"/>
        </w:rPr>
      </w:pPr>
    </w:p>
    <w:p>
      <w:pPr>
        <w:jc w:val="both"/>
        <w:ind w:firstLine="1293"/>
        <w:spacing w:after="0" w:line="272" w:lineRule="auto"/>
        <w:tabs>
          <w:tab w:leader="none" w:pos="2125" w:val="left"/>
        </w:tabs>
        <w:numPr>
          <w:ilvl w:val="0"/>
          <w:numId w:val="217"/>
        </w:numPr>
        <w:rPr>
          <w:rFonts w:ascii="Arial" w:cs="Arial" w:eastAsia="Arial" w:hAnsi="Arial"/>
          <w:sz w:val="18"/>
          <w:szCs w:val="18"/>
          <w:color w:val="auto"/>
        </w:rPr>
      </w:pPr>
      <w:r>
        <w:rPr>
          <w:rFonts w:ascii="Arial" w:cs="Arial" w:eastAsia="Arial" w:hAnsi="Arial"/>
          <w:sz w:val="20"/>
          <w:szCs w:val="20"/>
          <w:color w:val="auto"/>
        </w:rPr>
        <w:t>Notwithstanding the foregoing, neither the Administrative Agent nor any other Secured Party shall be required to (i) make any demand upon, or pursue or exhaust any of its rights or remedies against, any Grantor, any other obligor, guarantor, pledgor or any other Person with respect to the payment of the Secured Obligations or to pursue or exhaust any of its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ectPr>
          <w:pgSz w:w="11900" w:h="16838" w:orient="portrait"/>
          <w:cols w:equalWidth="0" w:num="1">
            <w:col w:w="10760"/>
          </w:cols>
          <w:pgMar w:left="900" w:top="596" w:right="239" w:bottom="1440" w:gutter="0" w:footer="0" w:header="0"/>
        </w:sectPr>
      </w:pPr>
    </w:p>
    <w:bookmarkStart w:id="169" w:name="page170"/>
    <w:bookmarkEnd w:id="169"/>
    <w:p>
      <w:pPr>
        <w:jc w:val="both"/>
        <w:ind w:left="660" w:firstLine="1293"/>
        <w:spacing w:after="0" w:line="304" w:lineRule="auto"/>
        <w:tabs>
          <w:tab w:leader="none" w:pos="2815" w:val="left"/>
        </w:tabs>
        <w:numPr>
          <w:ilvl w:val="0"/>
          <w:numId w:val="218"/>
        </w:numPr>
        <w:rPr>
          <w:rFonts w:ascii="Arial" w:cs="Arial" w:eastAsia="Arial" w:hAnsi="Arial"/>
          <w:sz w:val="16"/>
          <w:szCs w:val="16"/>
          <w:color w:val="auto"/>
        </w:rPr>
      </w:pPr>
      <w:r>
        <w:rPr>
          <w:rFonts w:ascii="Arial" w:cs="Arial" w:eastAsia="Arial" w:hAnsi="Arial"/>
          <w:sz w:val="18"/>
          <w:szCs w:val="18"/>
          <w:color w:val="auto"/>
        </w:rPr>
        <w:t xml:space="preserve">Each Grantor recognizes that the Administrative Agent may be unable to effect a public sale of any or all the Pledged Collateral and may be compelled to resort to one or more private sales thereof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Administrative Agent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Grantor’s Obligations Upon Default</w:t>
      </w:r>
      <w:r>
        <w:rPr>
          <w:rFonts w:ascii="Arial" w:cs="Arial" w:eastAsia="Arial" w:hAnsi="Arial"/>
          <w:sz w:val="18"/>
          <w:szCs w:val="18"/>
          <w:color w:val="auto"/>
        </w:rPr>
        <w:t>. Upon the request of the Administrative Agent after the occurrence of a Default, each Grantor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will:</w:t>
      </w:r>
    </w:p>
    <w:p>
      <w:pPr>
        <w:spacing w:after="0" w:line="213" w:lineRule="exact"/>
        <w:rPr>
          <w:sz w:val="20"/>
          <w:szCs w:val="20"/>
          <w:color w:val="auto"/>
        </w:rPr>
      </w:pPr>
    </w:p>
    <w:p>
      <w:pPr>
        <w:ind w:left="660" w:firstLine="1293"/>
        <w:spacing w:after="0" w:line="316" w:lineRule="auto"/>
        <w:tabs>
          <w:tab w:leader="none" w:pos="2804" w:val="left"/>
        </w:tabs>
        <w:numPr>
          <w:ilvl w:val="0"/>
          <w:numId w:val="219"/>
        </w:numPr>
        <w:rPr>
          <w:rFonts w:ascii="Arial" w:cs="Arial" w:eastAsia="Arial" w:hAnsi="Arial"/>
          <w:sz w:val="17"/>
          <w:szCs w:val="17"/>
          <w:color w:val="auto"/>
        </w:rPr>
      </w:pPr>
      <w:r>
        <w:rPr>
          <w:rFonts w:ascii="Arial" w:cs="Arial" w:eastAsia="Arial" w:hAnsi="Arial"/>
          <w:sz w:val="19"/>
          <w:szCs w:val="19"/>
          <w:color w:val="auto"/>
        </w:rPr>
        <w:t>assemble and make available to the Administrative Agent the Collateral and all books and records relating thereto at any place or places specified by the Administrative Agent, whether at such Grantor’s premises or elsewhere;</w:t>
      </w:r>
    </w:p>
    <w:p>
      <w:pPr>
        <w:spacing w:after="0" w:line="153" w:lineRule="exact"/>
        <w:rPr>
          <w:rFonts w:ascii="Arial" w:cs="Arial" w:eastAsia="Arial" w:hAnsi="Arial"/>
          <w:sz w:val="17"/>
          <w:szCs w:val="17"/>
          <w:color w:val="auto"/>
        </w:rPr>
      </w:pPr>
    </w:p>
    <w:p>
      <w:pPr>
        <w:jc w:val="both"/>
        <w:ind w:left="660" w:firstLine="1293"/>
        <w:spacing w:after="0" w:line="273" w:lineRule="auto"/>
        <w:tabs>
          <w:tab w:leader="none" w:pos="2815" w:val="left"/>
        </w:tabs>
        <w:numPr>
          <w:ilvl w:val="0"/>
          <w:numId w:val="219"/>
        </w:numPr>
        <w:rPr>
          <w:rFonts w:ascii="Arial" w:cs="Arial" w:eastAsia="Arial" w:hAnsi="Arial"/>
          <w:sz w:val="18"/>
          <w:szCs w:val="18"/>
          <w:color w:val="auto"/>
        </w:rPr>
      </w:pPr>
      <w:r>
        <w:rPr>
          <w:rFonts w:ascii="Arial" w:cs="Arial" w:eastAsia="Arial" w:hAnsi="Arial"/>
          <w:sz w:val="20"/>
          <w:szCs w:val="20"/>
          <w:color w:val="auto"/>
        </w:rPr>
        <w:t>permit the Administrative Agent, by the Administrative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91" w:lineRule="exact"/>
        <w:rPr>
          <w:rFonts w:ascii="Arial" w:cs="Arial" w:eastAsia="Arial" w:hAnsi="Arial"/>
          <w:sz w:val="18"/>
          <w:szCs w:val="18"/>
          <w:color w:val="auto"/>
        </w:rPr>
      </w:pPr>
    </w:p>
    <w:p>
      <w:pPr>
        <w:jc w:val="both"/>
        <w:ind w:left="660" w:firstLine="1293"/>
        <w:spacing w:after="0" w:line="310" w:lineRule="auto"/>
        <w:tabs>
          <w:tab w:leader="none" w:pos="2804" w:val="left"/>
        </w:tabs>
        <w:numPr>
          <w:ilvl w:val="0"/>
          <w:numId w:val="219"/>
        </w:numPr>
        <w:rPr>
          <w:rFonts w:ascii="Arial" w:cs="Arial" w:eastAsia="Arial" w:hAnsi="Arial"/>
          <w:sz w:val="16"/>
          <w:szCs w:val="16"/>
          <w:color w:val="auto"/>
        </w:rPr>
      </w:pPr>
      <w:r>
        <w:rPr>
          <w:rFonts w:ascii="Arial" w:cs="Arial" w:eastAsia="Arial" w:hAnsi="Arial"/>
          <w:sz w:val="18"/>
          <w:szCs w:val="18"/>
          <w:color w:val="auto"/>
        </w:rPr>
        <w:t>prepare and file, or cause an issuer of Pledged Collateral to prepare and file, with the Securities and Exchange Commission or any other applicable government agency, registration statements, a prospectus and such other documentation in connection with the Pledged Collateral as the Administrative Agent may request, all in form and substance satisfactory to the Administrative Agent, and furnish to the Administrative Agent, or cause an issuer of Pledged Collateral to furnish to the Administrative Agent, any information regarding the Pledged Collateral in such detail as the Administrative Agent may specify;</w:t>
      </w:r>
    </w:p>
    <w:p>
      <w:pPr>
        <w:spacing w:after="0" w:line="162" w:lineRule="exact"/>
        <w:rPr>
          <w:rFonts w:ascii="Arial" w:cs="Arial" w:eastAsia="Arial" w:hAnsi="Arial"/>
          <w:sz w:val="16"/>
          <w:szCs w:val="16"/>
          <w:color w:val="auto"/>
        </w:rPr>
      </w:pPr>
    </w:p>
    <w:p>
      <w:pPr>
        <w:ind w:left="660" w:right="20" w:firstLine="1293"/>
        <w:spacing w:after="0" w:line="421" w:lineRule="auto"/>
        <w:tabs>
          <w:tab w:leader="none" w:pos="2815" w:val="left"/>
        </w:tabs>
        <w:numPr>
          <w:ilvl w:val="0"/>
          <w:numId w:val="219"/>
        </w:numPr>
        <w:rPr>
          <w:rFonts w:ascii="Arial" w:cs="Arial" w:eastAsia="Arial" w:hAnsi="Arial"/>
          <w:sz w:val="15"/>
          <w:szCs w:val="15"/>
          <w:color w:val="auto"/>
        </w:rPr>
      </w:pPr>
      <w:r>
        <w:rPr>
          <w:rFonts w:ascii="Arial" w:cs="Arial" w:eastAsia="Arial" w:hAnsi="Arial"/>
          <w:sz w:val="16"/>
          <w:szCs w:val="16"/>
          <w:color w:val="auto"/>
        </w:rPr>
        <w:t>take, or cause an issuer of Pledged Collateral to take, any and all actions necessary to register or qualify the Pledged Collateral to enable the Administrative Agent to consummate a public sale or other disposition of the Pledged Collateral; and</w:t>
      </w:r>
    </w:p>
    <w:p>
      <w:pPr>
        <w:spacing w:after="0" w:line="83" w:lineRule="exact"/>
        <w:rPr>
          <w:rFonts w:ascii="Arial" w:cs="Arial" w:eastAsia="Arial" w:hAnsi="Arial"/>
          <w:sz w:val="15"/>
          <w:szCs w:val="15"/>
          <w:color w:val="auto"/>
        </w:rPr>
      </w:pPr>
    </w:p>
    <w:p>
      <w:pPr>
        <w:jc w:val="both"/>
        <w:ind w:left="660" w:firstLine="1293"/>
        <w:spacing w:after="0" w:line="274" w:lineRule="auto"/>
        <w:tabs>
          <w:tab w:leader="none" w:pos="2804" w:val="left"/>
        </w:tabs>
        <w:numPr>
          <w:ilvl w:val="0"/>
          <w:numId w:val="219"/>
        </w:numPr>
        <w:rPr>
          <w:rFonts w:ascii="Arial" w:cs="Arial" w:eastAsia="Arial" w:hAnsi="Arial"/>
          <w:sz w:val="18"/>
          <w:szCs w:val="18"/>
          <w:color w:val="auto"/>
        </w:rPr>
      </w:pPr>
      <w:r>
        <w:rPr>
          <w:rFonts w:ascii="Arial" w:cs="Arial" w:eastAsia="Arial" w:hAnsi="Arial"/>
          <w:sz w:val="20"/>
          <w:szCs w:val="20"/>
          <w:color w:val="auto"/>
        </w:rPr>
        <w:t>at its own expense, cause the independent certified public accountants then engaged by each Grantor to prepare and deliver to the Administrative Agent and each Lender, at any time, and from time to time, promptly upon the Administrative Agent’s request, the following reports with respect to the applicable Grantor: (i) a reconciliation of all Accounts; (ii) an aging of all Accounts; (iii) trial balances; and (iv) a test verification of such Accounts.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ACCOUNT VERIFICATION; ATTORNEY IN FACT; PROXY</w:t>
      </w:r>
    </w:p>
    <w:p>
      <w:pPr>
        <w:spacing w:after="0" w:line="213" w:lineRule="exact"/>
        <w:rPr>
          <w:sz w:val="20"/>
          <w:szCs w:val="20"/>
          <w:color w:val="auto"/>
        </w:rPr>
      </w:pPr>
    </w:p>
    <w:p>
      <w:pPr>
        <w:jc w:val="both"/>
        <w:ind w:left="660" w:firstLine="645"/>
        <w:spacing w:after="0" w:line="272" w:lineRule="auto"/>
        <w:tabs>
          <w:tab w:leader="none" w:pos="2091" w:val="left"/>
        </w:tabs>
        <w:numPr>
          <w:ilvl w:val="0"/>
          <w:numId w:val="220"/>
        </w:numPr>
        <w:rPr>
          <w:rFonts w:ascii="Arial" w:cs="Arial" w:eastAsia="Arial" w:hAnsi="Arial"/>
          <w:sz w:val="18"/>
          <w:szCs w:val="18"/>
          <w:color w:val="auto"/>
        </w:rPr>
      </w:pPr>
      <w:r>
        <w:rPr>
          <w:rFonts w:ascii="Arial" w:cs="Arial" w:eastAsia="Arial" w:hAnsi="Arial"/>
          <w:sz w:val="20"/>
          <w:szCs w:val="20"/>
          <w:u w:val="single" w:color="auto"/>
          <w:color w:val="auto"/>
        </w:rPr>
        <w:t>Account Verification</w:t>
      </w:r>
      <w:r>
        <w:rPr>
          <w:rFonts w:ascii="Arial" w:cs="Arial" w:eastAsia="Arial" w:hAnsi="Arial"/>
          <w:sz w:val="20"/>
          <w:szCs w:val="20"/>
          <w:color w:val="auto"/>
        </w:rPr>
        <w:t>. The Administrative Agent may at any time after the occurrence and during the continuance of an Event of Default, in the Administrative Agent’s own name, in the name of a nominee of the Administrative Agent, or in the name of any Grantor communicate (by mail, telephone, facsimile or otherwise) with the Account Debtors of any such Grantor, parties to contracts with any such Grantor and obligors in respect of Instruments of any such Grantor to verify with such Persons, to the Administrative Agent’s satisfaction, the existence, amount, terms of, and any other matter relating to, Accounts, Instruments, Chattel Paper, payment intangibles and/or other Receivables.</w:t>
      </w:r>
    </w:p>
    <w:p>
      <w:pPr>
        <w:spacing w:after="0" w:line="191" w:lineRule="exact"/>
        <w:rPr>
          <w:rFonts w:ascii="Arial" w:cs="Arial" w:eastAsia="Arial" w:hAnsi="Arial"/>
          <w:sz w:val="18"/>
          <w:szCs w:val="18"/>
          <w:color w:val="auto"/>
        </w:rPr>
      </w:pPr>
    </w:p>
    <w:p>
      <w:pPr>
        <w:ind w:left="2080" w:hanging="775"/>
        <w:spacing w:after="0"/>
        <w:tabs>
          <w:tab w:leader="none" w:pos="2080" w:val="left"/>
        </w:tabs>
        <w:numPr>
          <w:ilvl w:val="0"/>
          <w:numId w:val="220"/>
        </w:numPr>
        <w:rPr>
          <w:rFonts w:ascii="Arial" w:cs="Arial" w:eastAsia="Arial" w:hAnsi="Arial"/>
          <w:sz w:val="18"/>
          <w:szCs w:val="18"/>
          <w:color w:val="auto"/>
        </w:rPr>
      </w:pPr>
      <w:r>
        <w:rPr>
          <w:rFonts w:ascii="Arial" w:cs="Arial" w:eastAsia="Arial" w:hAnsi="Arial"/>
          <w:sz w:val="20"/>
          <w:szCs w:val="20"/>
          <w:u w:val="single" w:color="auto"/>
          <w:color w:val="auto"/>
        </w:rPr>
        <w:t>Authorization for Administrative Agent to Take Certain Action</w:t>
      </w:r>
      <w:r>
        <w:rPr>
          <w:rFonts w:ascii="Arial" w:cs="Arial" w:eastAsia="Arial" w:hAnsi="Arial"/>
          <w:sz w:val="20"/>
          <w:szCs w:val="20"/>
          <w:color w:val="auto"/>
        </w:rPr>
        <w:t>.</w:t>
      </w:r>
    </w:p>
    <w:p>
      <w:pPr>
        <w:sectPr>
          <w:pgSz w:w="11900" w:h="16838" w:orient="portrait"/>
          <w:cols w:equalWidth="0" w:num="1">
            <w:col w:w="11420"/>
          </w:cols>
          <w:pgMar w:left="240" w:top="595" w:right="239" w:bottom="1440" w:gutter="0" w:footer="0" w:header="0"/>
        </w:sectPr>
      </w:pPr>
    </w:p>
    <w:bookmarkStart w:id="170" w:name="page171"/>
    <w:bookmarkEnd w:id="170"/>
    <w:p>
      <w:pPr>
        <w:jc w:val="both"/>
        <w:ind w:left="-1200" w:firstLine="1305"/>
        <w:spacing w:after="0" w:line="267" w:lineRule="auto"/>
        <w:tabs>
          <w:tab w:leader="none" w:pos="52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Each Grantor irrevocably authorizes the Administrative Agent at any time and from time to time in the sole discretion of the Administrative Agent and appoints the Administrative Agent as its attorney in fact (i) to execute on behalf of such Grantor as debtor and to file financing statements necessary or desirable in the Administrative Agent’s sole discretion to perfect and to maintain the perfection and priority of the Administrative Agent’s security interest in the Collateral, (ii) in the case of any Intellectual Property owned by or licensed to such Grantor, execute, deliver and have recorded any document that the Administrative Agent may request to evidence, effect, publicize or record the Administrative Agent’s security interest in such Intellectual Property and the goodwill and General Intangibles of such Grantor relating thereto or represented thereby, (iii) to endorse and collect any cash proceeds of the Collateral, (iv)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Administrative Agent in its sole discretion deems necessary or desirable to perfect and to maintain the perfection and priority of the Administrative Agent’s security interest in the Collateral, (v) to contact and enter into one or more agreements with the issuers of uncertificated securities which are Pledged Collateral or with securities intermediaries holding Pledged Collateral as may be necessary or advisable to give the Administrative Agent Control over such Pledged Collateral, (vi) to apply the proceeds of any Collateral received by the Administrative Agent to the Secured Obligations as provided in Section 7.3, (vii) to discharge past due taxes, assessments, charges, fees or Liens on the Collateral (except for such Liens that are Permitted Encumbrances), (viii) after the occurrence and during the continuance of an Event of Default, to contact Account Debtors for any reason, (ix) after the occurrence and during the continuance of an Event of Default, to demand payment or enforce payment of the Receivables in the name of the Administrative Agent or such Grantor and to endorse any and all checks, drafts, and other instruments for the payment of money relating to the Receivables, (x) to sign such Grantor’s name on any invoice or bill of lading relating to the Receivables, drafts against any Account Debtor of the Grantor, assignments and verifications of Receivables, (xi) after the occurrence and during the continuance of an Event of Default, to exercise all of such Grantor’s rights and remedies with respect to the collection of the Receivables and any other Collateral, (xii) after the occurrence and during the continuance of an Event of Default, to settle, adjust, compromise, extend or renew the Receivables, (xiii) to settle, adjust or compromise any legal proceedings brought to collect Receivables, (xiv) after the occurrence and during the continuance of an Event of Default, to prepare, file and sign such Grantor’s name on a proof of claim in bankruptcy or similar document against any Account Debtor of such Grantor, (xv) to prepare, file and sign such Grantor’s name on any notice of Lien, assignment or satisfaction of Lien or similar document in connection with the Receivables, (xvi) after the occurrence and during the continuance of an Event of Default, to change the address for delivery of mail addressed to such Grantor to such address as the Administrative Agent may designate and to receive, open and dispose of all mail addressed to such Grantor, and (xvii) to do all other acts and things necessary to carry out this Security Agreement; and such Grantor agrees to reimburse the Administrative Agent on demand for any payment made or any expense incurred by the Administrative Agent in connection with any of the foregoing;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authorization shall not relieve such Grantor of any of its obligations under this Security Agreement or under the Credit Agreement.</w:t>
      </w:r>
    </w:p>
    <w:p>
      <w:pPr>
        <w:spacing w:after="0" w:line="195" w:lineRule="exact"/>
        <w:rPr>
          <w:rFonts w:ascii="Arial" w:cs="Arial" w:eastAsia="Arial" w:hAnsi="Arial"/>
          <w:sz w:val="18"/>
          <w:szCs w:val="18"/>
          <w:color w:val="auto"/>
        </w:rPr>
      </w:pPr>
    </w:p>
    <w:p>
      <w:pPr>
        <w:jc w:val="both"/>
        <w:ind w:left="-1200" w:firstLine="1305"/>
        <w:spacing w:after="0" w:line="342" w:lineRule="auto"/>
        <w:tabs>
          <w:tab w:leader="none" w:pos="50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All acts of said attorney or designee are hereby ratified and approved. The powers conferred on the Administrative Agent, for the benefit of the Administrative Agent and the other Secured Parties, under this Section 6.2 are solely to protect the Administrative Agent’s interests in the Collateral and shall not impose any duty upon the Administrative Agent or any other Secured Party to exercise any such powers.</w:t>
      </w:r>
    </w:p>
    <w:p>
      <w:pPr>
        <w:spacing w:after="0" w:line="132" w:lineRule="exact"/>
        <w:rPr>
          <w:sz w:val="20"/>
          <w:szCs w:val="20"/>
          <w:color w:val="auto"/>
        </w:rPr>
      </w:pPr>
    </w:p>
    <w:p>
      <w:pPr>
        <w:jc w:val="both"/>
        <w:ind w:left="-540" w:firstLine="645"/>
        <w:spacing w:after="0" w:line="256" w:lineRule="exact"/>
        <w:tabs>
          <w:tab w:leader="none" w:pos="891" w:val="left"/>
        </w:tabs>
        <w:numPr>
          <w:ilvl w:val="0"/>
          <w:numId w:val="222"/>
        </w:numPr>
        <w:rPr>
          <w:rFonts w:ascii="Arial" w:cs="Arial" w:eastAsia="Arial" w:hAnsi="Arial"/>
          <w:sz w:val="18"/>
          <w:szCs w:val="18"/>
          <w:color w:val="auto"/>
        </w:rPr>
      </w:pPr>
      <w:r>
        <w:rPr>
          <w:rFonts w:ascii="Arial" w:cs="Arial" w:eastAsia="Arial" w:hAnsi="Arial"/>
          <w:sz w:val="20"/>
          <w:szCs w:val="20"/>
          <w:u w:val="single" w:color="auto"/>
          <w:color w:val="auto"/>
        </w:rPr>
        <w:t>Proxy</w:t>
      </w:r>
      <w:r>
        <w:rPr>
          <w:rFonts w:ascii="Arial" w:cs="Arial" w:eastAsia="Arial" w:hAnsi="Arial"/>
          <w:sz w:val="20"/>
          <w:szCs w:val="20"/>
          <w:color w:val="auto"/>
        </w:rPr>
        <w:t>. EACH GRANTOR HEREBY IRREVOCABLY CONSTITUTES AND APPOINTS THE ADMINISTRATIVE AGENT AS ITS PROXY AND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(AS SET FORTH IN SECTION 6.2 ABOVE) WITH RESPECT TO ITS PLEDGED COLLATERAL, INCLUDING THE RIGHT TO VOTE ANY OF THE PLEDGED COLLATERAL, WITH FULL POWER OF SUBSTITUTION TO DO SO. IN ADDITION TO THE RIGHT TO VOTE ANY OF THE PLEDGED COLLATERAL, THE APPOINTMENT OF THE ADMINISTRATIVE AGENT AS PROXY AND ATTORNEY-IN-FACT SHALL INCLUDE THE RIGHT TO EXERCISE ALL OTHER RIGHTS, POWERS, PRIVILEGES AND REMEDIES TO WHICH A HOLDER OF ANY OF THE PLEDGED COLLATERAL WOULD BE ENTITLED (INCLUDING GIVING OR WITHHOLDING WRITTEN CONSENTS OF SHAREHOLDERS, CALLING SPECIAL MEETINGS OF SHAREHOLDERS AND VOTING AT SUCH MEETINGS). SUCH PROXY SHALL BE EFFECTIVE, AUTOMATICALLY AND WITHOUT THE NECESSITY OF ANY ACTION</w:t>
      </w:r>
    </w:p>
    <w:p>
      <w:pPr>
        <w:sectPr>
          <w:pgSz w:w="11900" w:h="16838" w:orient="portrait"/>
          <w:cols w:equalWidth="0" w:num="1">
            <w:col w:w="10220"/>
          </w:cols>
          <w:pgMar w:left="1440" w:top="798" w:right="239" w:bottom="1440" w:gutter="0" w:footer="0" w:header="0"/>
        </w:sectPr>
      </w:pPr>
    </w:p>
    <w:bookmarkStart w:id="171" w:name="page172"/>
    <w:bookmarkEnd w:id="171"/>
    <w:p>
      <w:pPr>
        <w:jc w:val="both"/>
        <w:spacing w:after="0" w:line="278" w:lineRule="auto"/>
        <w:rPr>
          <w:sz w:val="20"/>
          <w:szCs w:val="20"/>
          <w:color w:val="auto"/>
        </w:rPr>
      </w:pPr>
      <w:r>
        <w:rPr>
          <w:rFonts w:ascii="Arial" w:cs="Arial" w:eastAsia="Arial" w:hAnsi="Arial"/>
          <w:sz w:val="20"/>
          <w:szCs w:val="20"/>
          <w:color w:val="auto"/>
        </w:rPr>
        <w:t>(INCLUDING ANY TRANSFER OF ANY OF THE PLEDGED COLLATERAL ON THE RECORD BOOKS OF THE ISSUER THEREOF) BY ANY PERSON (INCLUDING THE ISSUER OF THE PLEDGED COLLATERAL OR ANY OFFICER OR AGENT THEREOF), UPON THE OCCURRENCE OF A DEFAULT.</w:t>
      </w:r>
    </w:p>
    <w:p>
      <w:pPr>
        <w:spacing w:after="0" w:line="187" w:lineRule="exact"/>
        <w:rPr>
          <w:sz w:val="20"/>
          <w:szCs w:val="20"/>
          <w:color w:val="auto"/>
        </w:rPr>
      </w:pPr>
    </w:p>
    <w:p>
      <w:pPr>
        <w:jc w:val="both"/>
        <w:ind w:firstLine="645"/>
        <w:spacing w:after="0" w:line="269" w:lineRule="auto"/>
        <w:tabs>
          <w:tab w:leader="none" w:pos="1431" w:val="left"/>
        </w:tabs>
        <w:numPr>
          <w:ilvl w:val="0"/>
          <w:numId w:val="223"/>
        </w:numPr>
        <w:rPr>
          <w:rFonts w:ascii="Arial" w:cs="Arial" w:eastAsia="Arial" w:hAnsi="Arial"/>
          <w:sz w:val="18"/>
          <w:szCs w:val="18"/>
          <w:color w:val="auto"/>
        </w:rPr>
      </w:pPr>
      <w:r>
        <w:rPr>
          <w:rFonts w:ascii="Arial" w:cs="Arial" w:eastAsia="Arial" w:hAnsi="Arial"/>
          <w:sz w:val="20"/>
          <w:szCs w:val="20"/>
          <w:u w:val="single" w:color="auto"/>
          <w:color w:val="auto"/>
        </w:rPr>
        <w:t>Nature of Appointment; Limitation of Duty</w:t>
      </w:r>
      <w:r>
        <w:rPr>
          <w:rFonts w:ascii="Arial" w:cs="Arial" w:eastAsia="Arial" w:hAnsi="Arial"/>
          <w:sz w:val="20"/>
          <w:szCs w:val="20"/>
          <w:color w:val="auto"/>
        </w:rPr>
        <w:t>. THE APPOINTMENT OF THE ADMINISTRATIVE AGENT AS PROXY AND ATTORNEY-IN-FACT IN THIS ARTICLE VI IS COUPLED WITH AN INTEREST AND SHALL BE IRREVOCABLE UNTIL THE DATE ON WHICH THIS SECURITY AGREEMENT IS TERMINATED IN ACCORDANCE WITH SECTION 8.14. NOTWITHSTANDING ANYTHING CONTAINED HEREIN, NONE OF THE ADMINISTRATIVE AGENT, ANY LENDER, ANY OTHER SECURED PARTY, ANY OF THEIR AFFILIATES, OR ANY OF THEIR OR THEIR AFFILIATES’ RESPECTIVE OFFICERS, DIRECTORS, EMPLOYEES, AGENTS OR REPRESENTATIVES SHALL HAVE ANY DUTY TO EXERCISE ANY RIGHT OR POWER GRANTED HEREUNDER OR OTHERWISE OR TO PRESERVE THE SAME AND SHALL NOT BE LIABLE FOR ANY FAILURE TO DO SO OR FOR ANY DELAY IN DOING SO, EXCEPT IN RESPECT OF DAMAGES ATTRIBUTABLE SOLELY TO ITS OWN GROSS NEGLIGENCE OR WILLFUL MISCONDUCT AS FINALLY DETERMINED BY A COURT OF COMPETENT JURISDICTION; PROVIDED THAT, IN NO EVENT SHALL THEY BE LIABLE FOR ANY PUNITIVE, EXEMPLARY, INDIRECT OR CONSEQUENTIAL DAMAGES.</w:t>
      </w:r>
    </w:p>
    <w:p>
      <w:pPr>
        <w:spacing w:after="0" w:line="184"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COLLECTION AND APPLICATION OF COLLATERAL PROCEEDS; DEPOSIT ACCOUNTS</w:t>
      </w:r>
    </w:p>
    <w:p>
      <w:pPr>
        <w:spacing w:after="0" w:line="200" w:lineRule="exact"/>
        <w:rPr>
          <w:sz w:val="20"/>
          <w:szCs w:val="20"/>
          <w:color w:val="auto"/>
        </w:rPr>
      </w:pPr>
    </w:p>
    <w:p>
      <w:pPr>
        <w:spacing w:after="0" w:line="229" w:lineRule="exact"/>
        <w:rPr>
          <w:sz w:val="20"/>
          <w:szCs w:val="20"/>
          <w:color w:val="auto"/>
        </w:rPr>
      </w:pPr>
    </w:p>
    <w:p>
      <w:pPr>
        <w:ind w:left="1420" w:hanging="775"/>
        <w:spacing w:after="0"/>
        <w:tabs>
          <w:tab w:leader="none" w:pos="1420" w:val="left"/>
        </w:tabs>
        <w:numPr>
          <w:ilvl w:val="0"/>
          <w:numId w:val="224"/>
        </w:numPr>
        <w:rPr>
          <w:rFonts w:ascii="Arial" w:cs="Arial" w:eastAsia="Arial" w:hAnsi="Arial"/>
          <w:sz w:val="18"/>
          <w:szCs w:val="18"/>
          <w:color w:val="auto"/>
        </w:rPr>
      </w:pPr>
      <w:r>
        <w:rPr>
          <w:rFonts w:ascii="Arial" w:cs="Arial" w:eastAsia="Arial" w:hAnsi="Arial"/>
          <w:sz w:val="20"/>
          <w:szCs w:val="20"/>
          <w:u w:val="single" w:color="auto"/>
          <w:color w:val="auto"/>
        </w:rPr>
        <w:t>Collection of Receivables</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jc w:val="both"/>
        <w:ind w:firstLine="1293"/>
        <w:spacing w:after="0" w:line="273" w:lineRule="auto"/>
        <w:tabs>
          <w:tab w:leader="none" w:pos="2207" w:val="left"/>
        </w:tabs>
        <w:numPr>
          <w:ilvl w:val="1"/>
          <w:numId w:val="224"/>
        </w:numPr>
        <w:rPr>
          <w:rFonts w:ascii="Arial" w:cs="Arial" w:eastAsia="Arial" w:hAnsi="Arial"/>
          <w:sz w:val="18"/>
          <w:szCs w:val="18"/>
          <w:color w:val="auto"/>
        </w:rPr>
      </w:pPr>
      <w:r>
        <w:rPr>
          <w:rFonts w:ascii="Arial" w:cs="Arial" w:eastAsia="Arial" w:hAnsi="Arial"/>
          <w:sz w:val="20"/>
          <w:szCs w:val="20"/>
          <w:color w:val="auto"/>
        </w:rPr>
        <w:t>On or before 60 days after the Closing Date, each Grantor shall execute and deliver to the Administrative Agent Control Agreements for each Deposit Account (other than Exempt Accounts) maintained by such Grantor into which all cash, checks or other similar payments relating to or constituting payments made in respect of Receivables will be deposited (each, a “</w:t>
      </w:r>
      <w:r>
        <w:rPr>
          <w:rFonts w:ascii="Arial" w:cs="Arial" w:eastAsia="Arial" w:hAnsi="Arial"/>
          <w:sz w:val="20"/>
          <w:szCs w:val="20"/>
          <w:u w:val="single" w:color="auto"/>
          <w:color w:val="auto"/>
        </w:rPr>
        <w:t>Collateral Deposit Account</w:t>
      </w:r>
      <w:r>
        <w:rPr>
          <w:rFonts w:ascii="Arial" w:cs="Arial" w:eastAsia="Arial" w:hAnsi="Arial"/>
          <w:sz w:val="20"/>
          <w:szCs w:val="20"/>
          <w:color w:val="auto"/>
        </w:rPr>
        <w:t xml:space="preserve">”). All Collateral Deposit Accounts are identified as such on </w:t>
      </w:r>
      <w:r>
        <w:rPr>
          <w:rFonts w:ascii="Arial" w:cs="Arial" w:eastAsia="Arial" w:hAnsi="Arial"/>
          <w:sz w:val="20"/>
          <w:szCs w:val="20"/>
          <w:u w:val="single" w:color="auto"/>
          <w:color w:val="auto"/>
        </w:rPr>
        <w:t>Exhibit B</w:t>
      </w:r>
      <w:r>
        <w:rPr>
          <w:rFonts w:ascii="Arial" w:cs="Arial" w:eastAsia="Arial" w:hAnsi="Arial"/>
          <w:sz w:val="20"/>
          <w:szCs w:val="20"/>
          <w:color w:val="auto"/>
        </w:rPr>
        <w:t>. After the Closing Date, each Grantor will comply with the terms of Section 7.2.</w:t>
      </w:r>
    </w:p>
    <w:p>
      <w:pPr>
        <w:spacing w:after="0" w:line="191" w:lineRule="exact"/>
        <w:rPr>
          <w:rFonts w:ascii="Arial" w:cs="Arial" w:eastAsia="Arial" w:hAnsi="Arial"/>
          <w:sz w:val="18"/>
          <w:szCs w:val="18"/>
          <w:color w:val="auto"/>
        </w:rPr>
      </w:pPr>
    </w:p>
    <w:p>
      <w:pPr>
        <w:jc w:val="both"/>
        <w:ind w:firstLine="1293"/>
        <w:spacing w:after="0" w:line="303" w:lineRule="auto"/>
        <w:tabs>
          <w:tab w:leader="none" w:pos="2155" w:val="left"/>
        </w:tabs>
        <w:numPr>
          <w:ilvl w:val="1"/>
          <w:numId w:val="224"/>
        </w:numPr>
        <w:rPr>
          <w:rFonts w:ascii="Arial" w:cs="Arial" w:eastAsia="Arial" w:hAnsi="Arial"/>
          <w:sz w:val="16"/>
          <w:szCs w:val="16"/>
          <w:color w:val="auto"/>
        </w:rPr>
      </w:pPr>
      <w:r>
        <w:rPr>
          <w:rFonts w:ascii="Arial" w:cs="Arial" w:eastAsia="Arial" w:hAnsi="Arial"/>
          <w:sz w:val="18"/>
          <w:szCs w:val="18"/>
          <w:color w:val="auto"/>
        </w:rPr>
        <w:t>Each Grantor shall direct all of its Account Debtors to forward payments directly to Collateral Deposit Accounts subject to Control Agreements. If any Grantor should refuse or neglect to notify any Account Debtor to forward payments directly to a Collateral Deposit Account subject to a Control Agreement after notice from the Administrative Agent, the Administrative Agent shall be entitled to make such notification directly to such Account Debtor. If notwithstanding the foregoing instructions, any Grantor receives any proceeds of any Receivables, such Grantor shall receive such payments as the Administrative Agent’s trustee, and shall immediately deposit all cash, checks or other similar payments related to or constituting payments made in respect of Receivables received by it to a Collateral Deposit Account. At no time shall any Grantor withdraw any amounts from a Collateral Deposit Account, and all funds deposited into any Collateral Deposit Account will be swept on a daily basis into a collection account maintained by such Grantor with the Administrative Agent (the “</w:t>
      </w:r>
      <w:r>
        <w:rPr>
          <w:rFonts w:ascii="Arial" w:cs="Arial" w:eastAsia="Arial" w:hAnsi="Arial"/>
          <w:sz w:val="18"/>
          <w:szCs w:val="18"/>
          <w:u w:val="single" w:color="auto"/>
          <w:color w:val="auto"/>
        </w:rPr>
        <w:t>Collection Account</w:t>
      </w:r>
      <w:r>
        <w:rPr>
          <w:rFonts w:ascii="Arial" w:cs="Arial" w:eastAsia="Arial" w:hAnsi="Arial"/>
          <w:sz w:val="18"/>
          <w:szCs w:val="18"/>
          <w:color w:val="auto"/>
        </w:rPr>
        <w:t>”). The Administrative Agent shall hold and apply funds received into the Collection Account as provided by the terms of Section 7.3.</w:t>
      </w:r>
    </w:p>
    <w:p>
      <w:pPr>
        <w:spacing w:after="0" w:line="168" w:lineRule="exact"/>
        <w:rPr>
          <w:rFonts w:ascii="Arial" w:cs="Arial" w:eastAsia="Arial" w:hAnsi="Arial"/>
          <w:sz w:val="16"/>
          <w:szCs w:val="16"/>
          <w:color w:val="auto"/>
        </w:rPr>
      </w:pPr>
    </w:p>
    <w:p>
      <w:pPr>
        <w:jc w:val="both"/>
        <w:ind w:firstLine="645"/>
        <w:spacing w:after="0" w:line="270" w:lineRule="auto"/>
        <w:tabs>
          <w:tab w:leader="none" w:pos="1431" w:val="left"/>
        </w:tabs>
        <w:numPr>
          <w:ilvl w:val="0"/>
          <w:numId w:val="224"/>
        </w:numPr>
        <w:rPr>
          <w:rFonts w:ascii="Arial" w:cs="Arial" w:eastAsia="Arial" w:hAnsi="Arial"/>
          <w:sz w:val="18"/>
          <w:szCs w:val="18"/>
          <w:color w:val="auto"/>
        </w:rPr>
      </w:pPr>
      <w:r>
        <w:rPr>
          <w:rFonts w:ascii="Arial" w:cs="Arial" w:eastAsia="Arial" w:hAnsi="Arial"/>
          <w:sz w:val="20"/>
          <w:szCs w:val="20"/>
          <w:u w:val="single" w:color="auto"/>
          <w:color w:val="auto"/>
        </w:rPr>
        <w:t>Covenant Regarding New Deposit Accounts; Lock Boxes</w:t>
      </w:r>
      <w:r>
        <w:rPr>
          <w:rFonts w:ascii="Arial" w:cs="Arial" w:eastAsia="Arial" w:hAnsi="Arial"/>
          <w:sz w:val="20"/>
          <w:szCs w:val="20"/>
          <w:color w:val="auto"/>
        </w:rPr>
        <w:t>. Before opening or replacing any Collateral Deposit Account or other Deposit Account, each Grantor shall (a) obtain the Administrative Agent’s consent in writing to the opening of such Collateral Deposit Account or other Deposit Account, and (b) cause each bank or financial institution in which it seeks to open a Collateral Deposit Account or other Deposit Account, to enter into a Deposit Account Control Agreement with the Administrative Agent in order to give the Administrative Agent Control of such Collateral Deposit Account or other Deposit Account (except Exempt Accounts) and provide for a daily sweep into the Collection Account. The Grantors will ensure that the aggregate amount on deposit in all Exempt Accounts will not exceed $1,000,000 at any time, and if at any time the aggregate amount on deposit in all Exempt Accounts exceeds $1,000,000, the Grantors shall</w:t>
      </w:r>
    </w:p>
    <w:p>
      <w:pPr>
        <w:sectPr>
          <w:pgSz w:w="11900" w:h="16838" w:orient="portrait"/>
          <w:cols w:equalWidth="0" w:num="1">
            <w:col w:w="10760"/>
          </w:cols>
          <w:pgMar w:left="900" w:top="595" w:right="239" w:bottom="1440" w:gutter="0" w:footer="0" w:header="0"/>
        </w:sectPr>
      </w:pPr>
    </w:p>
    <w:bookmarkStart w:id="172" w:name="page173"/>
    <w:bookmarkEnd w:id="172"/>
    <w:p>
      <w:pPr>
        <w:jc w:val="both"/>
        <w:spacing w:after="0" w:line="307" w:lineRule="auto"/>
        <w:rPr>
          <w:sz w:val="20"/>
          <w:szCs w:val="20"/>
          <w:color w:val="auto"/>
        </w:rPr>
      </w:pPr>
      <w:r>
        <w:rPr>
          <w:rFonts w:ascii="Arial" w:cs="Arial" w:eastAsia="Arial" w:hAnsi="Arial"/>
          <w:sz w:val="18"/>
          <w:szCs w:val="18"/>
          <w:color w:val="auto"/>
        </w:rPr>
        <w:t>immediately sweep such excess into the Collection Account. The Grantors and the Administrative Agent, if mutually agreed upon, may establish lock box service (a “</w:t>
      </w:r>
      <w:r>
        <w:rPr>
          <w:rFonts w:ascii="Arial" w:cs="Arial" w:eastAsia="Arial" w:hAnsi="Arial"/>
          <w:sz w:val="18"/>
          <w:szCs w:val="18"/>
          <w:u w:val="single" w:color="auto"/>
          <w:color w:val="auto"/>
        </w:rPr>
        <w:t>Lock Box</w:t>
      </w:r>
      <w:r>
        <w:rPr>
          <w:rFonts w:ascii="Arial" w:cs="Arial" w:eastAsia="Arial" w:hAnsi="Arial"/>
          <w:sz w:val="18"/>
          <w:szCs w:val="18"/>
          <w:color w:val="auto"/>
        </w:rPr>
        <w:t>”) and enter into an irrevocable lockbox agreements in the form provided by or otherwise acceptable to the Administrative Agent, and which shall be accompanied by an acknowledgment by the bank where the Lock Box is located of the Lien of the Administrative Agent granted hereunder and of irrevocable instructions to wire all amounts collected therein to the Collection Account (each, a “</w:t>
      </w:r>
      <w:r>
        <w:rPr>
          <w:rFonts w:ascii="Arial" w:cs="Arial" w:eastAsia="Arial" w:hAnsi="Arial"/>
          <w:sz w:val="18"/>
          <w:szCs w:val="18"/>
          <w:u w:val="single" w:color="auto"/>
          <w:color w:val="auto"/>
        </w:rPr>
        <w:t>Lock Box Agreement</w:t>
      </w:r>
      <w:r>
        <w:rPr>
          <w:rFonts w:ascii="Arial" w:cs="Arial" w:eastAsia="Arial" w:hAnsi="Arial"/>
          <w:sz w:val="18"/>
          <w:szCs w:val="18"/>
          <w:color w:val="auto"/>
        </w:rPr>
        <w:t>”). In the case of Deposit Accounts or Lock Boxes maintained with Lenders, the terms of such letter shall be subject to the provisions of the Credit Agreement regarding setoffs.</w:t>
      </w:r>
    </w:p>
    <w:p>
      <w:pPr>
        <w:spacing w:after="0" w:line="167" w:lineRule="exact"/>
        <w:rPr>
          <w:sz w:val="20"/>
          <w:szCs w:val="20"/>
          <w:color w:val="auto"/>
        </w:rPr>
      </w:pPr>
    </w:p>
    <w:p>
      <w:pPr>
        <w:jc w:val="both"/>
        <w:ind w:firstLine="645"/>
        <w:spacing w:after="0" w:line="257" w:lineRule="exact"/>
        <w:tabs>
          <w:tab w:leader="none" w:pos="1431" w:val="left"/>
        </w:tabs>
        <w:numPr>
          <w:ilvl w:val="0"/>
          <w:numId w:val="225"/>
        </w:numPr>
        <w:rPr>
          <w:rFonts w:ascii="Arial" w:cs="Arial" w:eastAsia="Arial" w:hAnsi="Arial"/>
          <w:sz w:val="16"/>
          <w:szCs w:val="16"/>
          <w:color w:val="auto"/>
        </w:rPr>
      </w:pPr>
      <w:r>
        <w:rPr>
          <w:rFonts w:ascii="Arial" w:cs="Arial" w:eastAsia="Arial" w:hAnsi="Arial"/>
          <w:sz w:val="18"/>
          <w:szCs w:val="18"/>
          <w:u w:val="single" w:color="auto"/>
          <w:color w:val="auto"/>
        </w:rPr>
        <w:t>Application of Proceeds; Deficiency</w:t>
      </w:r>
      <w:r>
        <w:rPr>
          <w:rFonts w:ascii="Arial" w:cs="Arial" w:eastAsia="Arial" w:hAnsi="Arial"/>
          <w:sz w:val="18"/>
          <w:szCs w:val="18"/>
          <w:color w:val="auto"/>
        </w:rPr>
        <w:t xml:space="preserve">. All amounts deposited in the Collection Account shall be deemed received by the Administrative Agent in accordance with Section 2.18 of the Credit Agreement and shall, after having been credited to the Collection Account, be applied (and allocated) by Administrative Agent in accordance with Section 2.10(b) of the Credit Agreement; </w:t>
      </w:r>
      <w:r>
        <w:rPr>
          <w:rFonts w:ascii="Arial" w:cs="Arial" w:eastAsia="Arial" w:hAnsi="Arial"/>
          <w:sz w:val="18"/>
          <w:szCs w:val="18"/>
          <w:i w:val="1"/>
          <w:iCs w:val="1"/>
          <w:color w:val="auto"/>
        </w:rPr>
        <w:t>provided that</w:t>
      </w:r>
      <w:r>
        <w:rPr>
          <w:rFonts w:ascii="Arial" w:cs="Arial" w:eastAsia="Arial" w:hAnsi="Arial"/>
          <w:sz w:val="18"/>
          <w:szCs w:val="18"/>
          <w:color w:val="auto"/>
        </w:rPr>
        <w:t>, so long as no Default has occurred and is continuing and a Cash Dominion Period is not otherwise in effect, collections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received into the Collection Account shall be deposited into the applicable Grantor’s Funding Account rather than being used to reduce amounts owing under the Credit Agreement. The Administrative Agent shall require all other cash proceeds of the Collateral or other assets, which are not required to be applied to the Obligations pursuant to Section 2.11 of the Credit Agreement, to be deposited in a special non</w:t>
      </w:r>
      <w:r>
        <w:rPr>
          <w:rFonts w:ascii="MS PGothic" w:cs="MS PGothic" w:eastAsia="MS PGothic" w:hAnsi="MS PGothic"/>
          <w:sz w:val="18"/>
          <w:szCs w:val="18"/>
          <w:color w:val="auto"/>
        </w:rPr>
        <w:t>‑</w:t>
      </w:r>
      <w:r>
        <w:rPr>
          <w:rFonts w:ascii="Arial" w:cs="Arial" w:eastAsia="Arial" w:hAnsi="Arial"/>
          <w:sz w:val="18"/>
          <w:szCs w:val="18"/>
          <w:color w:val="auto"/>
        </w:rPr>
        <w:t>interest bearing cash collateral account with the Administrative Agent and held there as security for the Secured Obligations. No Grantor shall have any control whatsoever over said cash collateral account. Any such proceeds of the Collateral shall be applied in the order set forth in Section 2.18 of the Credit Agreement unless a court of competent jurisdiction shall otherwise direct. The balance, if any, after all of the Secured Obligations have been satisfied, shall be deposited by the Administrative Agent into such Grantor’s general operating account with the Administrative Agent. The Grantors shall remain liable, jointly and severally, for any deficiency if the proceeds of any sale or disposition of the Collateral are insufficient to pay all Secured Obligations, including any attorneys’ fees and other expenses incurred by Administrative Agent or any other Secured Party to collect such deficiency. For purposes of Section 2.10(b) of the Credit Agreement, full cash dominion shall be deemed to be in effect pursuant to Section 7.3 during any Cash Dominion Period.</w:t>
      </w:r>
    </w:p>
    <w:p>
      <w:pPr>
        <w:spacing w:after="0" w:line="204"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GENERAL PROVISIONS</w:t>
      </w:r>
    </w:p>
    <w:p>
      <w:pPr>
        <w:spacing w:after="0" w:line="213" w:lineRule="exact"/>
        <w:rPr>
          <w:sz w:val="20"/>
          <w:szCs w:val="20"/>
          <w:color w:val="auto"/>
        </w:rPr>
      </w:pPr>
    </w:p>
    <w:p>
      <w:pPr>
        <w:jc w:val="both"/>
        <w:ind w:firstLine="645"/>
        <w:spacing w:after="0" w:line="301" w:lineRule="auto"/>
        <w:tabs>
          <w:tab w:leader="none" w:pos="1431" w:val="left"/>
        </w:tabs>
        <w:numPr>
          <w:ilvl w:val="0"/>
          <w:numId w:val="226"/>
        </w:numPr>
        <w:rPr>
          <w:rFonts w:ascii="Arial" w:cs="Arial" w:eastAsia="Arial" w:hAnsi="Arial"/>
          <w:sz w:val="16"/>
          <w:szCs w:val="16"/>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Article IX, at least ten days prior to (i) the date of any such public sale or (ii) the time after which any such private sale or other disposition may be made. To the maximum extent permitted by applicable law, each Grantor waives all claims, damages, and demands against the Administrative Agent or any other Secured Party arising out of the repossession, retention or sale of the Collateral, except such as arise solely out of the gross negligence or willful misconduct of the Administrative Agent or such other Secured Party as finally determined by a court of competent jurisdiction. To the extent it may lawfully do so, each Grantor absolutely and irrevocably waives and relinquishes the benefit and advantage of, and covenants not to assert against the Administrative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74" w:lineRule="exact"/>
        <w:rPr>
          <w:rFonts w:ascii="Arial" w:cs="Arial" w:eastAsia="Arial" w:hAnsi="Arial"/>
          <w:sz w:val="16"/>
          <w:szCs w:val="16"/>
          <w:color w:val="auto"/>
        </w:rPr>
      </w:pPr>
    </w:p>
    <w:p>
      <w:pPr>
        <w:jc w:val="both"/>
        <w:ind w:firstLine="645"/>
        <w:spacing w:after="0" w:line="274" w:lineRule="auto"/>
        <w:tabs>
          <w:tab w:leader="none" w:pos="1431" w:val="left"/>
        </w:tabs>
        <w:numPr>
          <w:ilvl w:val="0"/>
          <w:numId w:val="226"/>
        </w:numPr>
        <w:rPr>
          <w:rFonts w:ascii="Arial" w:cs="Arial" w:eastAsia="Arial" w:hAnsi="Arial"/>
          <w:sz w:val="18"/>
          <w:szCs w:val="18"/>
          <w:color w:val="auto"/>
        </w:rPr>
      </w:pPr>
      <w:r>
        <w:rPr>
          <w:rFonts w:ascii="Arial" w:cs="Arial" w:eastAsia="Arial" w:hAnsi="Arial"/>
          <w:sz w:val="20"/>
          <w:szCs w:val="20"/>
          <w:u w:val="single" w:color="auto"/>
          <w:color w:val="auto"/>
        </w:rPr>
        <w:t>Limitation on Administrative Agent’s and Other Secured Parties’ Duty with Respect to the Collateral</w:t>
      </w:r>
      <w:r>
        <w:rPr>
          <w:rFonts w:ascii="Arial" w:cs="Arial" w:eastAsia="Arial" w:hAnsi="Arial"/>
          <w:sz w:val="20"/>
          <w:szCs w:val="20"/>
          <w:color w:val="auto"/>
        </w:rPr>
        <w:t>. The Administrative Agent shall have no obligation to clean-up or otherwise prepare the Collateral for sale. The Administrative Agent and each other Secured Party shall use reasonable care with respect to the Collateral in its possession or under its control. Neither the Administrative Agent nor any other Secured Party</w:t>
      </w:r>
    </w:p>
    <w:p>
      <w:pPr>
        <w:sectPr>
          <w:pgSz w:w="11900" w:h="16838" w:orient="portrait"/>
          <w:cols w:equalWidth="0" w:num="1">
            <w:col w:w="10760"/>
          </w:cols>
          <w:pgMar w:left="900" w:top="596" w:right="239" w:bottom="1440" w:gutter="0" w:footer="0" w:header="0"/>
        </w:sectPr>
      </w:pPr>
    </w:p>
    <w:bookmarkStart w:id="173" w:name="page174"/>
    <w:bookmarkEnd w:id="173"/>
    <w:p>
      <w:pPr>
        <w:jc w:val="both"/>
        <w:spacing w:after="0" w:line="338" w:lineRule="auto"/>
        <w:rPr>
          <w:sz w:val="20"/>
          <w:szCs w:val="20"/>
          <w:color w:val="auto"/>
        </w:rPr>
      </w:pPr>
      <w:r>
        <w:rPr>
          <w:rFonts w:ascii="Arial" w:cs="Arial" w:eastAsia="Arial" w:hAnsi="Arial"/>
          <w:sz w:val="16"/>
          <w:szCs w:val="16"/>
          <w:color w:val="auto"/>
        </w:rPr>
        <w:t>shall have any other duty as to any Collateral in its possession or control or in the possession or control of any agent or nominee of the Administrative Agent or such other Secured Party, or any income thereon or as to the preservation of rights against prior parties or any other rights pertaining thereto. To the extent that applicable law imposes duties on the Administrative Agent to exercise remedies in a commercially reasonable manner, each Grantor acknowledges and agrees that it is commercially reasonable for the Administrative Agent (i) to fail to incur expenses deemed significant by the Administrative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the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Administrative Agent against risks of loss, collection or disposition of Collateral or to provide to the Administrative Agent a guaranteed return from the collection or disposition of Collateral, or (xii) to the extent deemed appropriate by the Administrative Agent, to obtain the services of other brokers, investment bankers, consultants and other professionals to assist the Administrative Agent in the collection or disposition of any of the Collateral. Each Grantor acknowledges that the purpose of this Section 8.2 is to provide non-exhaustive indications of what actions or omissions by the Administrative Agent would be commercially reasonable in the Administrative Agent’s exercise of remedies against the Collateral and that other actions or omissions by the Administrative Agent shall not be deemed commercially unreasonable solely on account of not being indicated in this Section 8.2. Without limitation upon the foregoing, nothing contained in this Section 8.2 shall be construed to grant any rights to any Grantor or to impose any duties on the Administrative Agent that would not have been granted or imposed by this Security Agreement or by applicable law in the absence of this Section 8.2.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645"/>
        <w:spacing w:after="0" w:line="286" w:lineRule="auto"/>
        <w:tabs>
          <w:tab w:leader="none" w:pos="1431" w:val="left"/>
        </w:tabs>
        <w:numPr>
          <w:ilvl w:val="0"/>
          <w:numId w:val="227"/>
        </w:numPr>
        <w:rPr>
          <w:rFonts w:ascii="Arial" w:cs="Arial" w:eastAsia="Arial" w:hAnsi="Arial"/>
          <w:sz w:val="17"/>
          <w:szCs w:val="17"/>
          <w:color w:val="auto"/>
        </w:rPr>
      </w:pPr>
      <w:r>
        <w:rPr>
          <w:rFonts w:ascii="Arial" w:cs="Arial" w:eastAsia="Arial" w:hAnsi="Arial"/>
          <w:sz w:val="19"/>
          <w:szCs w:val="19"/>
          <w:u w:val="single" w:color="auto"/>
          <w:color w:val="auto"/>
        </w:rPr>
        <w:t>Compromises and Collection of Collateral</w:t>
      </w:r>
      <w:r>
        <w:rPr>
          <w:rFonts w:ascii="Arial" w:cs="Arial" w:eastAsia="Arial" w:hAnsi="Arial"/>
          <w:sz w:val="19"/>
          <w:szCs w:val="19"/>
          <w:color w:val="auto"/>
        </w:rPr>
        <w:t>. The Grantors and the Administrative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Administrative Agent may at any time and from time to time, if an Event of Default has occurred and is continuing, compromise with the obligor on any Receivable, accept in full payment of any Receivable such amount as the Administrative Agent in its sole discretion shall determine or abandon any Receivable, and any such action by the Administrative Agent shall be commercially reasonable so long as the Administrative Agent acts in good faith based on information known to it at the time it takes any such action.</w:t>
      </w:r>
    </w:p>
    <w:p>
      <w:pPr>
        <w:spacing w:after="0" w:line="182" w:lineRule="exact"/>
        <w:rPr>
          <w:rFonts w:ascii="Arial" w:cs="Arial" w:eastAsia="Arial" w:hAnsi="Arial"/>
          <w:sz w:val="17"/>
          <w:szCs w:val="17"/>
          <w:color w:val="auto"/>
        </w:rPr>
      </w:pPr>
    </w:p>
    <w:p>
      <w:pPr>
        <w:jc w:val="both"/>
        <w:ind w:firstLine="645"/>
        <w:spacing w:after="0" w:line="363" w:lineRule="auto"/>
        <w:tabs>
          <w:tab w:leader="none" w:pos="1431" w:val="left"/>
        </w:tabs>
        <w:numPr>
          <w:ilvl w:val="0"/>
          <w:numId w:val="227"/>
        </w:numPr>
        <w:rPr>
          <w:rFonts w:ascii="Arial" w:cs="Arial" w:eastAsia="Arial" w:hAnsi="Arial"/>
          <w:sz w:val="15"/>
          <w:szCs w:val="15"/>
          <w:color w:val="auto"/>
        </w:rPr>
      </w:pPr>
      <w:r>
        <w:rPr>
          <w:rFonts w:ascii="Arial" w:cs="Arial" w:eastAsia="Arial" w:hAnsi="Arial"/>
          <w:sz w:val="16"/>
          <w:szCs w:val="16"/>
          <w:u w:val="single" w:color="auto"/>
          <w:color w:val="auto"/>
        </w:rPr>
        <w:t>Secured Party Performance of Debtor Obligations</w:t>
      </w:r>
      <w:r>
        <w:rPr>
          <w:rFonts w:ascii="Arial" w:cs="Arial" w:eastAsia="Arial" w:hAnsi="Arial"/>
          <w:sz w:val="16"/>
          <w:szCs w:val="16"/>
          <w:color w:val="auto"/>
        </w:rPr>
        <w:t>. Without having any obligation to do so, the Administrative Agent may perform or pay any obligation which any Grantor has agreed to perform or pay in this Security Agreement and the Grantors shall reimburse the Administrative Agent for any amounts paid by the Administrative Agent pursuant to this Section 8.4. The Grantors’ obligation to reimburse the Administrative Agent pursuant to the preceding sentence shall be a Secured Obligation payable on demand.</w:t>
      </w:r>
    </w:p>
    <w:p>
      <w:pPr>
        <w:spacing w:after="0" w:line="129" w:lineRule="exact"/>
        <w:rPr>
          <w:rFonts w:ascii="Arial" w:cs="Arial" w:eastAsia="Arial" w:hAnsi="Arial"/>
          <w:sz w:val="15"/>
          <w:szCs w:val="15"/>
          <w:color w:val="auto"/>
        </w:rPr>
      </w:pPr>
    </w:p>
    <w:p>
      <w:pPr>
        <w:jc w:val="both"/>
        <w:ind w:firstLine="645"/>
        <w:spacing w:after="0" w:line="274" w:lineRule="auto"/>
        <w:tabs>
          <w:tab w:leader="none" w:pos="1431" w:val="left"/>
        </w:tabs>
        <w:numPr>
          <w:ilvl w:val="0"/>
          <w:numId w:val="227"/>
        </w:numPr>
        <w:rPr>
          <w:rFonts w:ascii="Arial" w:cs="Arial" w:eastAsia="Arial" w:hAnsi="Arial"/>
          <w:sz w:val="18"/>
          <w:szCs w:val="18"/>
          <w:color w:val="auto"/>
        </w:rPr>
      </w:pPr>
      <w:r>
        <w:rPr>
          <w:rFonts w:ascii="Arial" w:cs="Arial" w:eastAsia="Arial" w:hAnsi="Arial"/>
          <w:sz w:val="20"/>
          <w:szCs w:val="20"/>
          <w:u w:val="single" w:color="auto"/>
          <w:color w:val="auto"/>
        </w:rPr>
        <w:t>Specific Performance of Certain Covenants</w:t>
      </w:r>
      <w:r>
        <w:rPr>
          <w:rFonts w:ascii="Arial" w:cs="Arial" w:eastAsia="Arial" w:hAnsi="Arial"/>
          <w:sz w:val="20"/>
          <w:szCs w:val="20"/>
          <w:color w:val="auto"/>
        </w:rPr>
        <w:t>. Each Grantor acknowledges and agrees that a breach of any of the covenants contained in Sections 4.1(d), 4.1(e), 4.4, 4.5, 4.6, 4.7, 4.8, 4.9, 4.10, 4.12, 4.13, 4.14, 4.15, 5.3, or 8.7 or in Article VII will cause irreparable injury to the Administrative Agent and the other Secured Parties, that the Administrative Agent and the other Secured Parties have no adequate remedy at law</w:t>
      </w:r>
    </w:p>
    <w:p>
      <w:pPr>
        <w:sectPr>
          <w:pgSz w:w="11900" w:h="16838" w:orient="portrait"/>
          <w:cols w:equalWidth="0" w:num="1">
            <w:col w:w="10760"/>
          </w:cols>
          <w:pgMar w:left="900" w:top="596" w:right="239" w:bottom="1440" w:gutter="0" w:footer="0" w:header="0"/>
        </w:sectPr>
      </w:pPr>
    </w:p>
    <w:bookmarkStart w:id="174" w:name="page175"/>
    <w:bookmarkEnd w:id="174"/>
    <w:p>
      <w:pPr>
        <w:jc w:val="both"/>
        <w:spacing w:after="0" w:line="322" w:lineRule="auto"/>
        <w:rPr>
          <w:sz w:val="20"/>
          <w:szCs w:val="20"/>
          <w:color w:val="auto"/>
        </w:rPr>
      </w:pPr>
      <w:r>
        <w:rPr>
          <w:rFonts w:ascii="Arial" w:cs="Arial" w:eastAsia="Arial" w:hAnsi="Arial"/>
          <w:sz w:val="18"/>
          <w:szCs w:val="18"/>
          <w:color w:val="auto"/>
        </w:rPr>
        <w:t>in respect of such breaches and therefore agrees, without limiting the right of the Administrative Agent or the other Secured Parties to seek and obtain specific performance of other obligations of the Grantors contained in this Security Agreement, that the covenants of the Grantors contained in the Sections referred to in this Section 8.5 shall be specifically enforceable against the Grantors.</w:t>
      </w:r>
    </w:p>
    <w:p>
      <w:pPr>
        <w:spacing w:after="0" w:line="153" w:lineRule="exact"/>
        <w:rPr>
          <w:sz w:val="20"/>
          <w:szCs w:val="20"/>
          <w:color w:val="auto"/>
        </w:rPr>
      </w:pPr>
    </w:p>
    <w:p>
      <w:pPr>
        <w:jc w:val="both"/>
        <w:ind w:firstLine="645"/>
        <w:spacing w:after="0" w:line="290" w:lineRule="auto"/>
        <w:tabs>
          <w:tab w:leader="none" w:pos="1431" w:val="left"/>
        </w:tabs>
        <w:numPr>
          <w:ilvl w:val="0"/>
          <w:numId w:val="228"/>
        </w:numPr>
        <w:rPr>
          <w:rFonts w:ascii="Arial" w:cs="Arial" w:eastAsia="Arial" w:hAnsi="Arial"/>
          <w:sz w:val="17"/>
          <w:szCs w:val="17"/>
          <w:color w:val="auto"/>
        </w:rPr>
      </w:pPr>
      <w:r>
        <w:rPr>
          <w:rFonts w:ascii="Arial" w:cs="Arial" w:eastAsia="Arial" w:hAnsi="Arial"/>
          <w:sz w:val="19"/>
          <w:szCs w:val="19"/>
          <w:u w:val="single" w:color="auto"/>
          <w:color w:val="auto"/>
        </w:rPr>
        <w:t>Dispositions Not Authorized</w:t>
      </w:r>
      <w:r>
        <w:rPr>
          <w:rFonts w:ascii="Arial" w:cs="Arial" w:eastAsia="Arial" w:hAnsi="Arial"/>
          <w:sz w:val="19"/>
          <w:szCs w:val="19"/>
          <w:color w:val="auto"/>
        </w:rPr>
        <w:t>. No Grantor is authorized to sell or otherwise dispose of the Collateral except as set forth in Section 4.1(d) and notwithstanding any course of dealing between any Grantor and the Administrative Agent or other conduct of the Administrative Agent, no authorization to sell or otherwise dispose of the Collateral (except as set forth in Section 4.1(d)) shall be binding upon the Administrative Agent or the other Secured Parties unless such authorization is in writing signed by the Administrative Agent with the consent or at the direction of the Required Secured Parties.</w:t>
      </w:r>
    </w:p>
    <w:p>
      <w:pPr>
        <w:spacing w:after="0" w:line="179" w:lineRule="exact"/>
        <w:rPr>
          <w:rFonts w:ascii="Arial" w:cs="Arial" w:eastAsia="Arial" w:hAnsi="Arial"/>
          <w:sz w:val="17"/>
          <w:szCs w:val="17"/>
          <w:color w:val="auto"/>
        </w:rPr>
      </w:pPr>
    </w:p>
    <w:p>
      <w:pPr>
        <w:jc w:val="both"/>
        <w:ind w:firstLine="645"/>
        <w:spacing w:after="0" w:line="286" w:lineRule="auto"/>
        <w:tabs>
          <w:tab w:leader="none" w:pos="1431" w:val="left"/>
        </w:tabs>
        <w:numPr>
          <w:ilvl w:val="0"/>
          <w:numId w:val="228"/>
        </w:numPr>
        <w:rPr>
          <w:rFonts w:ascii="Arial" w:cs="Arial" w:eastAsia="Arial" w:hAnsi="Arial"/>
          <w:sz w:val="17"/>
          <w:szCs w:val="17"/>
          <w:color w:val="auto"/>
        </w:rPr>
      </w:pPr>
      <w:r>
        <w:rPr>
          <w:rFonts w:ascii="Arial" w:cs="Arial" w:eastAsia="Arial" w:hAnsi="Arial"/>
          <w:sz w:val="19"/>
          <w:szCs w:val="19"/>
          <w:u w:val="single" w:color="auto"/>
          <w:color w:val="auto"/>
        </w:rPr>
        <w:t>No Waiver; Amendments; Cumulative Remedies</w:t>
      </w:r>
      <w:r>
        <w:rPr>
          <w:rFonts w:ascii="Arial" w:cs="Arial" w:eastAsia="Arial" w:hAnsi="Arial"/>
          <w:sz w:val="19"/>
          <w:szCs w:val="19"/>
          <w:color w:val="auto"/>
        </w:rPr>
        <w:t>. No delay or omission of the Administrative Agent or any other Secured Party to exercise any right or remedy granted under this Security Agreement shall impair such right or remedy or be construed to be a waiver of any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the Administrative Agent with the concurrence or at the direction of the Lenders required under Section 9.02 of the Credit Agreement and then only to the extent in such writing specifically set forth. All rights and remedies contained in this Security Agreement or by law afforded shall be cumulative and all shall be available to the Administrative Agent and the other Secured Parties until the Secured Obligations have been Paid in Full.</w:t>
      </w:r>
    </w:p>
    <w:p>
      <w:pPr>
        <w:spacing w:after="0" w:line="182" w:lineRule="exact"/>
        <w:rPr>
          <w:rFonts w:ascii="Arial" w:cs="Arial" w:eastAsia="Arial" w:hAnsi="Arial"/>
          <w:sz w:val="17"/>
          <w:szCs w:val="17"/>
          <w:color w:val="auto"/>
        </w:rPr>
      </w:pPr>
    </w:p>
    <w:p>
      <w:pPr>
        <w:jc w:val="both"/>
        <w:ind w:firstLine="645"/>
        <w:spacing w:after="0" w:line="286" w:lineRule="auto"/>
        <w:tabs>
          <w:tab w:leader="none" w:pos="1431" w:val="left"/>
        </w:tabs>
        <w:numPr>
          <w:ilvl w:val="0"/>
          <w:numId w:val="228"/>
        </w:numPr>
        <w:rPr>
          <w:rFonts w:ascii="Arial" w:cs="Arial" w:eastAsia="Arial" w:hAnsi="Arial"/>
          <w:sz w:val="17"/>
          <w:szCs w:val="17"/>
          <w:color w:val="auto"/>
        </w:rPr>
      </w:pPr>
      <w:r>
        <w:rPr>
          <w:rFonts w:ascii="Arial" w:cs="Arial" w:eastAsia="Arial" w:hAnsi="Arial"/>
          <w:sz w:val="19"/>
          <w:szCs w:val="19"/>
          <w:u w:val="single" w:color="auto"/>
          <w:color w:val="auto"/>
        </w:rPr>
        <w:t>Limitation by Law; Severability of Provisions</w:t>
      </w:r>
      <w:r>
        <w:rPr>
          <w:rFonts w:ascii="Arial" w:cs="Arial" w:eastAsia="Arial" w:hAnsi="Arial"/>
          <w:sz w:val="19"/>
          <w:szCs w:val="19"/>
          <w:color w:val="auto"/>
        </w:rPr>
        <w:t>. All rights, remedies and powers provided in this Security Agreement may be exercised only to the extent that the exercise thereof does not violate any applicable provision of law, and all the provisions of this Security Agreement are intended to be subject to all applicable mandatory provisions of law that may be controlling and to be limited to the extent necessary so that they shall not render this Security Agreement invalid, unenforceable or not entitled to be recorded or registered, in whole or in part.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85" w:lineRule="exact"/>
        <w:rPr>
          <w:rFonts w:ascii="Arial" w:cs="Arial" w:eastAsia="Arial" w:hAnsi="Arial"/>
          <w:sz w:val="17"/>
          <w:szCs w:val="17"/>
          <w:color w:val="auto"/>
        </w:rPr>
      </w:pPr>
    </w:p>
    <w:p>
      <w:pPr>
        <w:jc w:val="both"/>
        <w:ind w:firstLine="645"/>
        <w:spacing w:after="0" w:line="345" w:lineRule="auto"/>
        <w:tabs>
          <w:tab w:leader="none" w:pos="1431" w:val="left"/>
        </w:tabs>
        <w:numPr>
          <w:ilvl w:val="0"/>
          <w:numId w:val="228"/>
        </w:numPr>
        <w:rPr>
          <w:rFonts w:ascii="Arial" w:cs="Arial" w:eastAsia="Arial" w:hAnsi="Arial"/>
          <w:sz w:val="15"/>
          <w:szCs w:val="15"/>
          <w:color w:val="auto"/>
        </w:rPr>
      </w:pPr>
      <w:r>
        <w:rPr>
          <w:rFonts w:ascii="Arial" w:cs="Arial" w:eastAsia="Arial" w:hAnsi="Arial"/>
          <w:sz w:val="16"/>
          <w:szCs w:val="16"/>
          <w:u w:val="single" w:color="auto"/>
          <w:color w:val="auto"/>
        </w:rPr>
        <w:t>Reinstatement</w:t>
      </w:r>
      <w:r>
        <w:rPr>
          <w:rFonts w:ascii="Arial" w:cs="Arial" w:eastAsia="Arial" w:hAnsi="Arial"/>
          <w:sz w:val="16"/>
          <w:szCs w:val="16"/>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(including a payment effected through exercise of a right of setoff), is, pursuant to applicable law, rescinded or reduced in amount, or must otherwise be restored or returned by any obligee of the Secured Obligations, whether as a “voidable preference,” “fraudulent conveyance,” or otherwise (including pursuant to any settlement entered into by a Secured Party in its discretion), all as though such payment or performance had not been made. In the event that any payment, or any part thereof (including a payment effected through exercise of a right of setoff), is rescinded, reduced, restored or returned, the Secured Obligations shall be reinstated and deemed reduced only by such amount paid and not so rescinded, reduced, restored or returned.</w:t>
      </w: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both"/>
        <w:ind w:firstLine="645"/>
        <w:spacing w:after="0" w:line="310" w:lineRule="auto"/>
        <w:tabs>
          <w:tab w:leader="none" w:pos="1522" w:val="left"/>
        </w:tabs>
        <w:numPr>
          <w:ilvl w:val="0"/>
          <w:numId w:val="228"/>
        </w:numPr>
        <w:rPr>
          <w:rFonts w:ascii="Arial" w:cs="Arial" w:eastAsia="Arial" w:hAnsi="Arial"/>
          <w:sz w:val="16"/>
          <w:szCs w:val="16"/>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 The terms and provisions of this Security Agreement shall be binding upon and inure to the benefit of the Grantors, the Administrative Agent and the other Secured Parties and their respective successors and assigns (including all persons who become bound as a debtor to this Security Agreement), except that no Grantor shall have the right to assign its rights or delegate its obligations under this Security Agreement or any interest herein, without the prior written consent of the Administrative Agent. No sales of participations, assignments, transfers, or other dispositions of any agreement governing the Secured</w:t>
      </w:r>
    </w:p>
    <w:p>
      <w:pPr>
        <w:sectPr>
          <w:pgSz w:w="11900" w:h="16838" w:orient="portrait"/>
          <w:cols w:equalWidth="0" w:num="1">
            <w:col w:w="10760"/>
          </w:cols>
          <w:pgMar w:left="900" w:top="596" w:right="239" w:bottom="1440" w:gutter="0" w:footer="0" w:header="0"/>
        </w:sectPr>
      </w:pPr>
    </w:p>
    <w:bookmarkStart w:id="175" w:name="page176"/>
    <w:bookmarkEnd w:id="175"/>
    <w:p>
      <w:pPr>
        <w:spacing w:after="0" w:line="289" w:lineRule="auto"/>
        <w:rPr>
          <w:sz w:val="20"/>
          <w:szCs w:val="20"/>
          <w:color w:val="auto"/>
        </w:rPr>
      </w:pPr>
      <w:r>
        <w:rPr>
          <w:rFonts w:ascii="Arial" w:cs="Arial" w:eastAsia="Arial" w:hAnsi="Arial"/>
          <w:sz w:val="20"/>
          <w:szCs w:val="20"/>
          <w:color w:val="auto"/>
        </w:rPr>
        <w:t>Obligations or any portion thereof or interest therein shall in any manner impair the Lien granted to the Administrative Agent, for the benefit of the Administrative Agent and the other Secured Parties, hereunder.</w:t>
      </w:r>
    </w:p>
    <w:p>
      <w:pPr>
        <w:spacing w:after="0" w:line="175" w:lineRule="exact"/>
        <w:rPr>
          <w:sz w:val="20"/>
          <w:szCs w:val="20"/>
          <w:color w:val="auto"/>
        </w:rPr>
      </w:pPr>
    </w:p>
    <w:p>
      <w:pPr>
        <w:ind w:firstLine="645"/>
        <w:spacing w:after="0" w:line="289" w:lineRule="auto"/>
        <w:tabs>
          <w:tab w:leader="none" w:pos="1515" w:val="left"/>
        </w:tabs>
        <w:numPr>
          <w:ilvl w:val="0"/>
          <w:numId w:val="229"/>
        </w:numPr>
        <w:rPr>
          <w:rFonts w:ascii="Arial" w:cs="Arial" w:eastAsia="Arial" w:hAnsi="Arial"/>
          <w:sz w:val="18"/>
          <w:szCs w:val="18"/>
          <w:color w:val="auto"/>
        </w:rPr>
      </w:pPr>
      <w:r>
        <w:rPr>
          <w:rFonts w:ascii="Arial" w:cs="Arial" w:eastAsia="Arial" w:hAnsi="Arial"/>
          <w:sz w:val="20"/>
          <w:szCs w:val="20"/>
          <w:u w:val="single" w:color="auto"/>
          <w:color w:val="auto"/>
        </w:rPr>
        <w:t>Survival of Representations</w:t>
      </w:r>
      <w:r>
        <w:rPr>
          <w:rFonts w:ascii="Arial" w:cs="Arial" w:eastAsia="Arial" w:hAnsi="Arial"/>
          <w:sz w:val="20"/>
          <w:szCs w:val="20"/>
          <w:color w:val="auto"/>
        </w:rPr>
        <w:t>. All representations and warranties of the Grantors contained in this Security Agreement shall survive the execution and delivery of this Security Agreement.</w:t>
      </w:r>
    </w:p>
    <w:p>
      <w:pPr>
        <w:spacing w:after="0" w:line="175" w:lineRule="exact"/>
        <w:rPr>
          <w:rFonts w:ascii="Arial" w:cs="Arial" w:eastAsia="Arial" w:hAnsi="Arial"/>
          <w:sz w:val="18"/>
          <w:szCs w:val="18"/>
          <w:color w:val="auto"/>
        </w:rPr>
      </w:pPr>
    </w:p>
    <w:p>
      <w:pPr>
        <w:jc w:val="both"/>
        <w:ind w:firstLine="645"/>
        <w:spacing w:after="0" w:line="256" w:lineRule="exact"/>
        <w:tabs>
          <w:tab w:leader="none" w:pos="1522" w:val="left"/>
        </w:tabs>
        <w:numPr>
          <w:ilvl w:val="0"/>
          <w:numId w:val="229"/>
        </w:numPr>
        <w:rPr>
          <w:rFonts w:ascii="Arial" w:cs="Arial" w:eastAsia="Arial" w:hAnsi="Arial"/>
          <w:sz w:val="17"/>
          <w:szCs w:val="17"/>
          <w:color w:val="auto"/>
        </w:rPr>
      </w:pPr>
      <w:r>
        <w:rPr>
          <w:rFonts w:ascii="Arial" w:cs="Arial" w:eastAsia="Arial" w:hAnsi="Arial"/>
          <w:sz w:val="19"/>
          <w:szCs w:val="19"/>
          <w:u w:val="single" w:color="auto"/>
          <w:color w:val="auto"/>
        </w:rPr>
        <w:t>Taxes and Expenses</w:t>
      </w:r>
      <w:r>
        <w:rPr>
          <w:rFonts w:ascii="Arial" w:cs="Arial" w:eastAsia="Arial" w:hAnsi="Arial"/>
          <w:sz w:val="19"/>
          <w:szCs w:val="19"/>
          <w:color w:val="auto"/>
        </w:rPr>
        <w:t>. Any taxes (including income taxes) payable or ruled payable by Federal or State authority in respect of this Security Agreement shall be paid by the Grantors, together with interest and penalties, if any. The Grantors shall reimburse the Administrative Agent for any and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and internal charges (including reasonable attorneys’, auditors’ and accountants’ fees and reasonable time charges of attorneys, paralegals, auditors and accountants who may be employees of the Administrative Agent) paid or incurred by the Administrative Agent in connection with the preparation, execution, delivery, administration, collection and enforcement of this Security Agreement and in the audit, analysis, administration, collection, preservation or sale of the Collateral (including the expenses and charges associated with any periodic or special audit of the Collateral). Any and all costs and expenses incurred by the Grantors in the performance of actions required pursuant to the terms hereof shall be borne solely by the Grantors.</w:t>
      </w:r>
    </w:p>
    <w:p>
      <w:pPr>
        <w:spacing w:after="0" w:line="223" w:lineRule="exact"/>
        <w:rPr>
          <w:rFonts w:ascii="Arial" w:cs="Arial" w:eastAsia="Arial" w:hAnsi="Arial"/>
          <w:sz w:val="17"/>
          <w:szCs w:val="17"/>
          <w:color w:val="auto"/>
        </w:rPr>
      </w:pPr>
    </w:p>
    <w:p>
      <w:pPr>
        <w:ind w:firstLine="645"/>
        <w:spacing w:after="0" w:line="289" w:lineRule="auto"/>
        <w:tabs>
          <w:tab w:leader="none" w:pos="1522" w:val="left"/>
        </w:tabs>
        <w:numPr>
          <w:ilvl w:val="0"/>
          <w:numId w:val="229"/>
        </w:numPr>
        <w:rPr>
          <w:rFonts w:ascii="Arial" w:cs="Arial" w:eastAsia="Arial" w:hAnsi="Arial"/>
          <w:sz w:val="18"/>
          <w:szCs w:val="18"/>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title of and section headings in this Security Agreement are for convenience of reference only, and shall not govern the interpretation of any of the terms and provisions of this Security Agreement.</w:t>
      </w:r>
    </w:p>
    <w:p>
      <w:pPr>
        <w:spacing w:after="0" w:line="175" w:lineRule="exact"/>
        <w:rPr>
          <w:rFonts w:ascii="Arial" w:cs="Arial" w:eastAsia="Arial" w:hAnsi="Arial"/>
          <w:sz w:val="18"/>
          <w:szCs w:val="18"/>
          <w:color w:val="auto"/>
        </w:rPr>
      </w:pPr>
    </w:p>
    <w:p>
      <w:pPr>
        <w:jc w:val="both"/>
        <w:ind w:firstLine="645"/>
        <w:spacing w:after="0" w:line="287" w:lineRule="auto"/>
        <w:tabs>
          <w:tab w:leader="none" w:pos="1522" w:val="left"/>
        </w:tabs>
        <w:numPr>
          <w:ilvl w:val="0"/>
          <w:numId w:val="229"/>
        </w:numPr>
        <w:rPr>
          <w:rFonts w:ascii="Arial" w:cs="Arial" w:eastAsia="Arial" w:hAnsi="Arial"/>
          <w:sz w:val="17"/>
          <w:szCs w:val="17"/>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Security Agreement shall continue in effect (notwithstanding the fact that from time to time there may be no Secured Obligations outstanding) until (i) the Credit Agreement has terminated pursuant to its express terms and (ii) all of the Secured Obligations have been indefeasibly paid and performed in full (or with respect to any outstanding Letters of Credit, a cash deposit or at the discretion of the Administrative Agent, a back up standby Letter of Credit satisfactory to the Administrative Agent and the Issuing Bank has been delivered to the Administrative Agent as required by the Credit Agreement) other than contingent indemnification obligations as to which no claim has been made and no commitments of the Administrative Agent or the other Secured Parties which would give rise to any Secured Obligations are outstanding.</w:t>
      </w:r>
    </w:p>
    <w:p>
      <w:pPr>
        <w:spacing w:after="0" w:line="183" w:lineRule="exact"/>
        <w:rPr>
          <w:rFonts w:ascii="Arial" w:cs="Arial" w:eastAsia="Arial" w:hAnsi="Arial"/>
          <w:sz w:val="17"/>
          <w:szCs w:val="17"/>
          <w:color w:val="auto"/>
        </w:rPr>
      </w:pPr>
    </w:p>
    <w:p>
      <w:pPr>
        <w:jc w:val="both"/>
        <w:ind w:firstLine="645"/>
        <w:spacing w:after="0" w:line="278" w:lineRule="auto"/>
        <w:tabs>
          <w:tab w:leader="none" w:pos="1522" w:val="left"/>
        </w:tabs>
        <w:numPr>
          <w:ilvl w:val="0"/>
          <w:numId w:val="229"/>
        </w:numPr>
        <w:rPr>
          <w:rFonts w:ascii="Arial" w:cs="Arial" w:eastAsia="Arial" w:hAnsi="Arial"/>
          <w:sz w:val="18"/>
          <w:szCs w:val="18"/>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Security Agreement embodies the entire agreement and understanding between the Grantors and the Administrative Agent relating to the Collateral and supersedes all prior agreements and understandings between the Grantors and the Administrative Agent relating to the Collateral.</w:t>
      </w:r>
    </w:p>
    <w:p>
      <w:pPr>
        <w:spacing w:after="0" w:line="180" w:lineRule="exact"/>
        <w:rPr>
          <w:rFonts w:ascii="Arial" w:cs="Arial" w:eastAsia="Arial" w:hAnsi="Arial"/>
          <w:sz w:val="18"/>
          <w:szCs w:val="18"/>
          <w:color w:val="auto"/>
        </w:rPr>
      </w:pPr>
    </w:p>
    <w:p>
      <w:pPr>
        <w:jc w:val="both"/>
        <w:ind w:firstLine="645"/>
        <w:spacing w:after="0" w:line="281" w:lineRule="auto"/>
        <w:tabs>
          <w:tab w:leader="none" w:pos="1522" w:val="left"/>
        </w:tabs>
        <w:numPr>
          <w:ilvl w:val="0"/>
          <w:numId w:val="229"/>
        </w:numPr>
        <w:rPr>
          <w:rFonts w:ascii="Arial" w:cs="Arial" w:eastAsia="Arial" w:hAnsi="Arial"/>
          <w:sz w:val="18"/>
          <w:szCs w:val="18"/>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THIS SECURITY AGREEMENT SHALL BE GOVERNED BY, AND CONSTRUED IN ACCORDANCE WITH, THE INTERNAL LAWS OF THE STATE OF ILLINOIS, BUT GIVING EFFECT TO FEDERAL LAWS APPLICABLE TO NATIONAL BANKS.</w:t>
      </w:r>
    </w:p>
    <w:p>
      <w:pPr>
        <w:spacing w:after="0" w:line="178" w:lineRule="exact"/>
        <w:rPr>
          <w:rFonts w:ascii="Arial" w:cs="Arial" w:eastAsia="Arial" w:hAnsi="Arial"/>
          <w:sz w:val="18"/>
          <w:szCs w:val="18"/>
          <w:color w:val="auto"/>
        </w:rPr>
      </w:pPr>
    </w:p>
    <w:p>
      <w:pPr>
        <w:jc w:val="both"/>
        <w:ind w:firstLine="645"/>
        <w:spacing w:after="0" w:line="270" w:lineRule="auto"/>
        <w:tabs>
          <w:tab w:leader="none" w:pos="1522" w:val="left"/>
        </w:tabs>
        <w:numPr>
          <w:ilvl w:val="0"/>
          <w:numId w:val="229"/>
        </w:numPr>
        <w:rPr>
          <w:rFonts w:ascii="Arial" w:cs="Arial" w:eastAsia="Arial" w:hAnsi="Arial"/>
          <w:sz w:val="18"/>
          <w:szCs w:val="18"/>
          <w:color w:val="auto"/>
        </w:rPr>
      </w:pPr>
      <w:r>
        <w:rPr>
          <w:rFonts w:ascii="Arial" w:cs="Arial" w:eastAsia="Arial" w:hAnsi="Arial"/>
          <w:sz w:val="20"/>
          <w:szCs w:val="20"/>
          <w:b w:val="1"/>
          <w:bCs w:val="1"/>
          <w:u w:val="single" w:color="auto"/>
          <w:color w:val="auto"/>
        </w:rPr>
        <w:t>CONSENT TO JURISDICTION</w:t>
      </w:r>
      <w:r>
        <w:rPr>
          <w:rFonts w:ascii="Arial" w:cs="Arial" w:eastAsia="Arial" w:hAnsi="Arial"/>
          <w:sz w:val="20"/>
          <w:szCs w:val="20"/>
          <w:b w:val="1"/>
          <w:bCs w:val="1"/>
          <w:color w:val="auto"/>
        </w:rPr>
        <w:t>. EACH GRANTOR HEREBY IRREVOCABLY SUBMITS TO THE EXCLUSIVE JURISDICTION OF ANY U.S. FEDERAL OR ILLINOIS STATE COURT SITTING IN CHICAGO, ILLINOIS IN ANY ACTION OR PROCEEDING ARISING OUT OF OR RELATING TO THIS SECURITY AGREEMENT OR ANY OTHER LOAN DOCUMENT AND EACH GRANTOR HEREBY IRREVOCABLY AND UNCONDITIONALLY AGREES THAT ALL CLAIMS IN RESPECT OF SUCH ACTION OR PROCEEDING MAY BE HEARD AND DETERMINED IN ANY SUCH COURT AND IRREVOCABLY AND UNCONDITIONALLY WAIVES, TO THE FULLEST EXTENT IT MAY LEGALLY AND EFFECTIVELY DO SO, ANY OBJECTION IT MAY NOW OR HEREAFTER HAVE AS TO THE VENUE OF ANY SUCH SUIT, ACTION OR PROCEEDING BROUGHT IN SUCH A COURT OR THAT SUCH COURT IS AN INCONVENIENT FORUM. NOTHING HEREIN SHALL AFFECT THE RIGHT OF THE ADMINISTRATIVE AGENT OR ANY LENDER TO BRING PROCEEDINGS AGAINST ANY GRANTOR IN THE COURTS OF ANY OTHER JURISDICTION.</w:t>
      </w:r>
    </w:p>
    <w:p>
      <w:pPr>
        <w:sectPr>
          <w:pgSz w:w="11900" w:h="16838" w:orient="portrait"/>
          <w:cols w:equalWidth="0" w:num="1">
            <w:col w:w="10760"/>
          </w:cols>
          <w:pgMar w:left="900" w:top="595" w:right="239" w:bottom="1440" w:gutter="0" w:footer="0" w:header="0"/>
        </w:sectPr>
      </w:pPr>
    </w:p>
    <w:bookmarkStart w:id="176" w:name="page177"/>
    <w:bookmarkEnd w:id="176"/>
    <w:p>
      <w:pPr>
        <w:jc w:val="both"/>
        <w:ind w:left="660" w:firstLine="645"/>
        <w:spacing w:after="0" w:line="274" w:lineRule="auto"/>
        <w:tabs>
          <w:tab w:leader="none" w:pos="2182" w:val="left"/>
        </w:tabs>
        <w:numPr>
          <w:ilvl w:val="0"/>
          <w:numId w:val="230"/>
        </w:numPr>
        <w:rPr>
          <w:rFonts w:ascii="Arial" w:cs="Arial" w:eastAsia="Arial" w:hAnsi="Arial"/>
          <w:sz w:val="18"/>
          <w:szCs w:val="18"/>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xml:space="preserve"> EACH GRANTOR, THE ADMINISTRATIVE AGENT AND EACH LENDER HEREBY WAIVE, TO THE FULLEST EXTENT PERMITTED BY APPLICABLE LAW, ANY RIGHT THEY MAY HAVE TO A TRIAL BY JURY IN ANY LEGAL PROCEEDING DIRECTLY OR INDIRECTLY ARISING OUT OF OR RELATING TO THIS SECURITY AGREEMENT, ANY OTHER LOAN DOCUMENT OR THE TRANSACTIONS CONTEMPLATED HEREBY OR THEREBY (WHETHER BASED ON CONTRACT, TORT OR ANY OTHER THEORY).</w:t>
      </w:r>
    </w:p>
    <w:p>
      <w:pPr>
        <w:spacing w:after="0" w:line="192" w:lineRule="exact"/>
        <w:rPr>
          <w:rFonts w:ascii="Arial" w:cs="Arial" w:eastAsia="Arial" w:hAnsi="Arial"/>
          <w:sz w:val="18"/>
          <w:szCs w:val="18"/>
          <w:color w:val="auto"/>
        </w:rPr>
      </w:pPr>
    </w:p>
    <w:p>
      <w:pPr>
        <w:jc w:val="both"/>
        <w:ind w:left="660" w:firstLine="645"/>
        <w:spacing w:after="0" w:line="285" w:lineRule="auto"/>
        <w:tabs>
          <w:tab w:leader="none" w:pos="2182" w:val="left"/>
        </w:tabs>
        <w:numPr>
          <w:ilvl w:val="0"/>
          <w:numId w:val="230"/>
        </w:numPr>
        <w:rPr>
          <w:rFonts w:ascii="Arial" w:cs="Arial" w:eastAsia="Arial" w:hAnsi="Arial"/>
          <w:sz w:val="17"/>
          <w:szCs w:val="17"/>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Each Grantor hereby agrees to indemnify the Administrative Agent and the other Secured Parties, and their respective successors, assigns, agents and employees (each such person being called an “Indemnitee”), from and against any and all liabilities, damages, penalties, suits, fees, costs, and expenses of any kind and nature (including, without limitation, all expenses of litigation or preparation therefor whether or not the Administrative Agent or any other Secured Party is a party thereto) imposed on, incurred by or asserted against such Indemnitee, in any way relating to or arising out of this Security Agreement, or the manufacture, purchase, acceptance, rejection, ownership, delivery, lease, possession, use, operation, condition, sale, return or other disposition of any Collateral (including, without limitation, latent and other defects, whether or not discoverable by the Administrative Agent or the other Secured Parties or any Grantor, and any claim for Patent, Trademark or Copyright infringement);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liabilities, damages, penalties, suits, fees, costs, and expenses are determined by a court of competent jurisdiction by final and nonappealable judgment to have resulted from the gross negligence or willful misconduct of such Indemnitee.</w:t>
      </w:r>
    </w:p>
    <w:p>
      <w:pPr>
        <w:spacing w:after="0" w:line="184" w:lineRule="exact"/>
        <w:rPr>
          <w:rFonts w:ascii="Arial" w:cs="Arial" w:eastAsia="Arial" w:hAnsi="Arial"/>
          <w:sz w:val="17"/>
          <w:szCs w:val="17"/>
          <w:color w:val="auto"/>
        </w:rPr>
      </w:pPr>
    </w:p>
    <w:p>
      <w:pPr>
        <w:jc w:val="both"/>
        <w:ind w:left="660" w:firstLine="645"/>
        <w:spacing w:after="0" w:line="293" w:lineRule="auto"/>
        <w:tabs>
          <w:tab w:leader="none" w:pos="2182" w:val="left"/>
        </w:tabs>
        <w:numPr>
          <w:ilvl w:val="0"/>
          <w:numId w:val="230"/>
        </w:numPr>
        <w:rPr>
          <w:rFonts w:ascii="Arial" w:cs="Arial" w:eastAsia="Arial" w:hAnsi="Arial"/>
          <w:sz w:val="17"/>
          <w:szCs w:val="17"/>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Security Agreement may be executed in any number of counterparts, all of which taken together shall constitute one agreement, and any of the parties hereto may execute this Security Agreement by signing any such counterpart. Delivery of an executed counterpart of a signature page of this Security Agreement by facsimile or other electronic transmission shall be effective as delivery of a manually executed counterpart of this Security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Sending Notices</w:t>
      </w:r>
      <w:r>
        <w:rPr>
          <w:rFonts w:ascii="Arial" w:cs="Arial" w:eastAsia="Arial" w:hAnsi="Arial"/>
          <w:sz w:val="20"/>
          <w:szCs w:val="20"/>
          <w:color w:val="auto"/>
        </w:rPr>
        <w:t>. Any notice required or permitted to be given under this Security Agreement shall be sent in accordance with Section 9.01 of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Change in Address for Notices</w:t>
      </w:r>
      <w:r>
        <w:rPr>
          <w:rFonts w:ascii="Arial" w:cs="Arial" w:eastAsia="Arial" w:hAnsi="Arial"/>
          <w:sz w:val="20"/>
          <w:szCs w:val="20"/>
          <w:color w:val="auto"/>
        </w:rPr>
        <w:t>. Each of the Grantors, the Administrative Agent and the Lenders may change the address for service of notice upon it by a notice in writing to the other parties.</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ind w:left="5760"/>
        <w:spacing w:after="0"/>
        <w:rPr>
          <w:sz w:val="20"/>
          <w:szCs w:val="20"/>
          <w:color w:val="auto"/>
        </w:rPr>
      </w:pPr>
      <w:r>
        <w:rPr>
          <w:rFonts w:ascii="Arial" w:cs="Arial" w:eastAsia="Arial" w:hAnsi="Arial"/>
          <w:sz w:val="20"/>
          <w:szCs w:val="20"/>
          <w:b w:val="1"/>
          <w:bCs w:val="1"/>
          <w:color w:val="auto"/>
        </w:rPr>
        <w:t>THE ADMINISTRATIVE AGENT</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JPMorgan Chase Bank, N.A. has been appointed Administrative Agent for the other Secured Parties hereunder pursuant to Article VIII of the Credit Agreement. It is expressly understood and agreed by the parties to this Security Agreement that any authority conferred upon the Administrative Agent hereunder is subject to the terms of the delegation of authority made by the Secured Parties to the Administrative Agent pursuant to the Credit Agreement, and that the Administrative Agent has agreed to act (and any successor Administrative Agent shall act) as such hereunder only on the express conditions contained in such Article VIII. Any successor Administrative Agent appointed pursuant to Article VIII of the Credit Agreement shall be entitled to all the rights, interests and benefits of the Administrative Agent 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420"/>
          </w:cols>
          <w:pgMar w:left="240" w:top="589" w:right="239" w:bottom="1440" w:gutter="0" w:footer="0" w:header="0"/>
        </w:sectPr>
      </w:pPr>
    </w:p>
    <w:bookmarkStart w:id="177" w:name="page178"/>
    <w:bookmarkEnd w:id="177"/>
    <w:p>
      <w:pPr>
        <w:ind w:left="660"/>
        <w:spacing w:after="0"/>
        <w:rPr>
          <w:sz w:val="20"/>
          <w:szCs w:val="20"/>
          <w:color w:val="auto"/>
        </w:rPr>
      </w:pPr>
      <w:r>
        <w:rPr>
          <w:rFonts w:ascii="Arial" w:cs="Arial" w:eastAsia="Arial" w:hAnsi="Arial"/>
          <w:sz w:val="18"/>
          <w:szCs w:val="18"/>
          <w:color w:val="auto"/>
        </w:rPr>
        <w:t>IN WITNESS WHEREOF, the Grantors and the Administrative Agent have executed this Security Agreement as of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ind w:left="3900"/>
        <w:spacing w:after="0"/>
        <w:rPr>
          <w:sz w:val="20"/>
          <w:szCs w:val="20"/>
          <w:color w:val="auto"/>
        </w:rPr>
      </w:pPr>
      <w:r>
        <w:rPr>
          <w:rFonts w:ascii="Arial" w:cs="Arial" w:eastAsia="Arial" w:hAnsi="Arial"/>
          <w:sz w:val="20"/>
          <w:szCs w:val="20"/>
          <w:color w:val="auto"/>
        </w:rPr>
        <w:t>GRANTORS:</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VERA BRADLEY DESIGNS, INC.</w:t>
      </w:r>
    </w:p>
    <w:p>
      <w:pPr>
        <w:spacing w:after="0" w:line="200" w:lineRule="exact"/>
        <w:rPr>
          <w:sz w:val="20"/>
          <w:szCs w:val="20"/>
          <w:color w:val="auto"/>
        </w:rPr>
      </w:pPr>
    </w:p>
    <w:p>
      <w:pPr>
        <w:spacing w:after="0" w:line="389" w:lineRule="exact"/>
        <w:rPr>
          <w:sz w:val="20"/>
          <w:szCs w:val="20"/>
          <w:color w:val="auto"/>
        </w:rPr>
      </w:pPr>
    </w:p>
    <w:tbl>
      <w:tblPr>
        <w:tblLayout w:type="fixed"/>
        <w:tblInd w:w="3900" w:type="dxa"/>
        <w:tblCellMar>
          <w:top w:w="0" w:type="dxa"/>
          <w:left w:w="0" w:type="dxa"/>
          <w:bottom w:w="0" w:type="dxa"/>
          <w:right w:w="0" w:type="dxa"/>
        </w:tblCellMar>
      </w:tblPr>
      <w:tr>
        <w:trPr>
          <w:trHeight w:val="285"/>
        </w:trPr>
        <w:tc>
          <w:tcPr>
            <w:tcW w:w="1820" w:type="dxa"/>
            <w:vAlign w:val="bottom"/>
          </w:tcPr>
          <w:p>
            <w:pPr>
              <w:ind w:left="700"/>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820" w:type="dxa"/>
            <w:vAlign w:val="bottom"/>
          </w:tcPr>
          <w:p>
            <w:pPr>
              <w:ind w:left="700"/>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820" w:type="dxa"/>
            <w:vAlign w:val="bottom"/>
          </w:tcPr>
          <w:p>
            <w:pPr>
              <w:ind w:left="700"/>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r>
        <w:trPr>
          <w:trHeight w:val="696"/>
        </w:trPr>
        <w:tc>
          <w:tcPr>
            <w:tcW w:w="7040" w:type="dxa"/>
            <w:vAlign w:val="bottom"/>
            <w:gridSpan w:val="2"/>
          </w:tcPr>
          <w:p>
            <w:pPr>
              <w:spacing w:after="0"/>
              <w:rPr>
                <w:sz w:val="20"/>
                <w:szCs w:val="20"/>
                <w:color w:val="auto"/>
              </w:rPr>
            </w:pPr>
            <w:r>
              <w:rPr>
                <w:rFonts w:ascii="Arial" w:cs="Arial" w:eastAsia="Arial" w:hAnsi="Arial"/>
                <w:sz w:val="20"/>
                <w:szCs w:val="20"/>
                <w:color w:val="auto"/>
              </w:rPr>
              <w:t>VERA BRADLEY INTERNATIONAL, LLC</w:t>
            </w:r>
          </w:p>
        </w:tc>
      </w:tr>
      <w:tr>
        <w:trPr>
          <w:trHeight w:val="854"/>
        </w:trPr>
        <w:tc>
          <w:tcPr>
            <w:tcW w:w="1820" w:type="dxa"/>
            <w:vAlign w:val="bottom"/>
          </w:tcPr>
          <w:p>
            <w:pPr>
              <w:ind w:left="700"/>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820" w:type="dxa"/>
            <w:vAlign w:val="bottom"/>
          </w:tcPr>
          <w:p>
            <w:pPr>
              <w:ind w:left="700"/>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820" w:type="dxa"/>
            <w:vAlign w:val="bottom"/>
          </w:tcPr>
          <w:p>
            <w:pPr>
              <w:ind w:left="700"/>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r>
        <w:trPr>
          <w:trHeight w:val="696"/>
        </w:trPr>
        <w:tc>
          <w:tcPr>
            <w:tcW w:w="7040" w:type="dxa"/>
            <w:vAlign w:val="bottom"/>
            <w:gridSpan w:val="2"/>
          </w:tcPr>
          <w:p>
            <w:pPr>
              <w:spacing w:after="0"/>
              <w:rPr>
                <w:sz w:val="20"/>
                <w:szCs w:val="20"/>
                <w:color w:val="auto"/>
              </w:rPr>
            </w:pPr>
            <w:r>
              <w:rPr>
                <w:rFonts w:ascii="Arial" w:cs="Arial" w:eastAsia="Arial" w:hAnsi="Arial"/>
                <w:sz w:val="20"/>
                <w:szCs w:val="20"/>
                <w:color w:val="auto"/>
              </w:rPr>
              <w:t>VERA BRADLEY SALES, LLC</w:t>
            </w:r>
          </w:p>
        </w:tc>
      </w:tr>
      <w:tr>
        <w:trPr>
          <w:trHeight w:val="854"/>
        </w:trPr>
        <w:tc>
          <w:tcPr>
            <w:tcW w:w="1820" w:type="dxa"/>
            <w:vAlign w:val="bottom"/>
          </w:tcPr>
          <w:p>
            <w:pPr>
              <w:ind w:left="700"/>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820" w:type="dxa"/>
            <w:vAlign w:val="bottom"/>
          </w:tcPr>
          <w:p>
            <w:pPr>
              <w:ind w:left="700"/>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820" w:type="dxa"/>
            <w:vAlign w:val="bottom"/>
          </w:tcPr>
          <w:p>
            <w:pPr>
              <w:ind w:left="700"/>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r>
        <w:trPr>
          <w:trHeight w:val="696"/>
        </w:trPr>
        <w:tc>
          <w:tcPr>
            <w:tcW w:w="7040" w:type="dxa"/>
            <w:vAlign w:val="bottom"/>
            <w:gridSpan w:val="2"/>
          </w:tcPr>
          <w:p>
            <w:pPr>
              <w:spacing w:after="0"/>
              <w:rPr>
                <w:sz w:val="20"/>
                <w:szCs w:val="20"/>
                <w:color w:val="auto"/>
              </w:rPr>
            </w:pPr>
            <w:r>
              <w:rPr>
                <w:rFonts w:ascii="Arial" w:cs="Arial" w:eastAsia="Arial" w:hAnsi="Arial"/>
                <w:sz w:val="20"/>
                <w:szCs w:val="20"/>
                <w:color w:val="auto"/>
              </w:rPr>
              <w:t>VERA BRADLEY, INC.</w:t>
            </w:r>
          </w:p>
        </w:tc>
      </w:tr>
      <w:tr>
        <w:trPr>
          <w:trHeight w:val="854"/>
        </w:trPr>
        <w:tc>
          <w:tcPr>
            <w:tcW w:w="1820" w:type="dxa"/>
            <w:vAlign w:val="bottom"/>
          </w:tcPr>
          <w:p>
            <w:pPr>
              <w:ind w:left="700"/>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Enwright</w:t>
            </w:r>
          </w:p>
        </w:tc>
      </w:tr>
      <w:tr>
        <w:trPr>
          <w:trHeight w:val="280"/>
        </w:trPr>
        <w:tc>
          <w:tcPr>
            <w:tcW w:w="1820" w:type="dxa"/>
            <w:vAlign w:val="bottom"/>
          </w:tcPr>
          <w:p>
            <w:pPr>
              <w:ind w:left="700"/>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John Enwright</w:t>
            </w:r>
          </w:p>
        </w:tc>
      </w:tr>
      <w:tr>
        <w:trPr>
          <w:trHeight w:val="297"/>
        </w:trPr>
        <w:tc>
          <w:tcPr>
            <w:tcW w:w="1820" w:type="dxa"/>
            <w:vAlign w:val="bottom"/>
          </w:tcPr>
          <w:p>
            <w:pPr>
              <w:ind w:left="700"/>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Executive Vice President and Chief Financial Officer</w:t>
            </w:r>
          </w:p>
        </w:tc>
      </w:tr>
    </w:tbl>
    <w:p>
      <w:pPr>
        <w:sectPr>
          <w:pgSz w:w="11900" w:h="16838" w:orient="portrait"/>
          <w:cols w:equalWidth="0" w:num="1">
            <w:col w:w="11380"/>
          </w:cols>
          <w:pgMar w:left="240" w:top="582" w:right="279" w:bottom="1440" w:gutter="0" w:footer="0" w:header="0"/>
        </w:sectPr>
      </w:pPr>
    </w:p>
    <w:bookmarkStart w:id="178" w:name="page179"/>
    <w:bookmarkEnd w:id="178"/>
    <w:p>
      <w:pPr>
        <w:ind w:left="270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Administrative Agent</w:t>
      </w:r>
    </w:p>
    <w:p>
      <w:pPr>
        <w:spacing w:after="0" w:line="357" w:lineRule="exact"/>
        <w:rPr>
          <w:sz w:val="20"/>
          <w:szCs w:val="20"/>
          <w:color w:val="auto"/>
        </w:rPr>
      </w:pPr>
    </w:p>
    <w:tbl>
      <w:tblPr>
        <w:tblLayout w:type="fixed"/>
        <w:tblInd w:w="340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Stephanie Lis</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Stephanie Lis</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Authorized Officer</w:t>
            </w:r>
          </w:p>
        </w:tc>
      </w:tr>
    </w:tbl>
    <w:p>
      <w:pPr>
        <w:sectPr>
          <w:pgSz w:w="11900" w:h="16838" w:orient="portrait"/>
          <w:cols w:equalWidth="0" w:num="1">
            <w:col w:w="9740"/>
          </w:cols>
          <w:pgMar w:left="1440" w:top="798" w:right="7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September 12, 2018</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September 12, 2018</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August 4,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September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August 4,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September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0D8DBE"/>
    <w:multiLevelType w:val="hybridMultilevel"/>
    <w:lvl w:ilvl="0">
      <w:lvlJc w:val="left"/>
      <w:lvlText w:val="x"/>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
      <w:numFmt w:val="bullet"/>
      <w:start w:val="1"/>
    </w:lvl>
    <w:lvl w:ilvl="1">
      <w:lvlJc w:val="left"/>
      <w:lvlText w:val="•"/>
      <w:numFmt w:val="bullet"/>
      <w:start w:val="1"/>
    </w:lvl>
  </w:abstractNum>
  <w:abstractNum w:abstractNumId="3">
    <w:nsid w:val="69E373"/>
    <w:multiLevelType w:val="hybridMultilevel"/>
    <w:lvl w:ilvl="0">
      <w:lvlJc w:val="left"/>
      <w:lvlText w:val="%1."/>
      <w:numFmt w:val="decimal"/>
      <w:start w:val="1"/>
    </w:lvl>
    <w:lvl w:ilvl="1">
      <w:lvlJc w:val="left"/>
      <w:lvlText w:val="(%2)"/>
      <w:numFmt w:val="lowerRoman"/>
      <w:start w:val="2"/>
    </w:lvl>
  </w:abstractNum>
  <w:abstractNum w:abstractNumId="4">
    <w:nsid w:val="2C27173B"/>
    <w:multiLevelType w:val="hybridMultilevel"/>
    <w:lvl w:ilvl="0">
      <w:lvlJc w:val="left"/>
      <w:lvlText w:val="%1"/>
      <w:numFmt w:val="decimal"/>
      <w:start w:val="1"/>
    </w:lvl>
    <w:lvl w:ilvl="1">
      <w:lvlJc w:val="left"/>
      <w:lvlText w:val="(%2)"/>
      <w:numFmt w:val="lowerRoman"/>
      <w:start w:val="5"/>
    </w:lvl>
  </w:abstractNum>
  <w:abstractNum w:abstractNumId="5">
    <w:nsid w:val="4C9B0904"/>
    <w:multiLevelType w:val="hybridMultilevel"/>
    <w:lvl w:ilvl="0">
      <w:lvlJc w:val="left"/>
      <w:lvlText w:val="%1."/>
      <w:numFmt w:val="decimal"/>
      <w:start w:val="2"/>
    </w:lvl>
  </w:abstractNum>
  <w:abstractNum w:abstractNumId="6">
    <w:nsid w:val="6AA7B75C"/>
    <w:multiLevelType w:val="hybridMultilevel"/>
    <w:lvl w:ilvl="0">
      <w:lvlJc w:val="left"/>
      <w:lvlText w:val="(%1)"/>
      <w:numFmt w:val="decimal"/>
      <w:start w:val="1"/>
    </w:lvl>
  </w:abstractNum>
  <w:abstractNum w:abstractNumId="7">
    <w:nsid w:val="1DF029D3"/>
    <w:multiLevelType w:val="hybridMultilevel"/>
    <w:lvl w:ilvl="0">
      <w:lvlJc w:val="left"/>
      <w:lvlText w:val="(%1)"/>
      <w:numFmt w:val="decimal"/>
      <w:start w:val="1"/>
    </w:lvl>
  </w:abstractNum>
  <w:abstractNum w:abstractNumId="8">
    <w:nsid w:val="5675FF36"/>
    <w:multiLevelType w:val="hybridMultilevel"/>
    <w:lvl w:ilvl="0">
      <w:lvlJc w:val="left"/>
      <w:lvlText w:val="%1."/>
      <w:numFmt w:val="decimal"/>
      <w:start w:val="3"/>
    </w:lvl>
  </w:abstractNum>
  <w:abstractNum w:abstractNumId="9">
    <w:nsid w:val="3DD15094"/>
    <w:multiLevelType w:val="hybridMultilevel"/>
    <w:lvl w:ilvl="0">
      <w:lvlJc w:val="left"/>
      <w:lvlText w:val="%1."/>
      <w:numFmt w:val="decimal"/>
      <w:start w:val="4"/>
    </w:lvl>
    <w:lvl w:ilvl="1">
      <w:lvlJc w:val="left"/>
      <w:lvlText w:val="•"/>
      <w:numFmt w:val="bullet"/>
      <w:start w:val="1"/>
    </w:lvl>
  </w:abstractNum>
  <w:abstractNum w:abstractNumId="10">
    <w:nsid w:val="3DB012B3"/>
    <w:multiLevelType w:val="hybridMultilevel"/>
    <w:lvl w:ilvl="0">
      <w:lvlJc w:val="left"/>
      <w:lvlText w:val="(%1)"/>
      <w:numFmt w:val="decimal"/>
      <w:start w:val="1"/>
    </w:lvl>
  </w:abstractNum>
  <w:abstractNum w:abstractNumId="11">
    <w:nsid w:val="2708C9AF"/>
    <w:multiLevelType w:val="hybridMultilevel"/>
    <w:lvl w:ilvl="0">
      <w:lvlJc w:val="left"/>
      <w:lvlText w:val="%1."/>
      <w:numFmt w:val="decimal"/>
      <w:start w:val="5"/>
    </w:lvl>
  </w:abstractNum>
  <w:abstractNum w:abstractNumId="12">
    <w:nsid w:val="5B25ACE2"/>
    <w:multiLevelType w:val="hybridMultilevel"/>
    <w:lvl w:ilvl="0">
      <w:lvlJc w:val="left"/>
      <w:lvlText w:val="%1."/>
      <w:numFmt w:val="decimal"/>
      <w:start w:val="6"/>
    </w:lvl>
  </w:abstractNum>
  <w:abstractNum w:abstractNumId="13">
    <w:nsid w:val="175DFCF0"/>
    <w:multiLevelType w:val="hybridMultilevel"/>
    <w:lvl w:ilvl="0">
      <w:lvlJc w:val="left"/>
      <w:lvlText w:val="%1."/>
      <w:numFmt w:val="decimal"/>
      <w:start w:val="8"/>
    </w:lvl>
  </w:abstractNum>
  <w:abstractNum w:abstractNumId="14">
    <w:nsid w:val="4F97E3E4"/>
    <w:multiLevelType w:val="hybridMultilevel"/>
    <w:lvl w:ilvl="0">
      <w:lvlJc w:val="left"/>
      <w:lvlText w:val="%1."/>
      <w:numFmt w:val="decimal"/>
      <w:start w:val="9"/>
    </w:lvl>
  </w:abstractNum>
  <w:abstractNum w:abstractNumId="15">
    <w:nsid w:val="53B0A9E"/>
    <w:multiLevelType w:val="hybridMultilevel"/>
    <w:lvl w:ilvl="0">
      <w:lvlJc w:val="left"/>
      <w:lvlText w:val="%1."/>
      <w:numFmt w:val="decimal"/>
      <w:start w:val="10"/>
    </w:lvl>
  </w:abstractNum>
  <w:abstractNum w:abstractNumId="16">
    <w:nsid w:val="34FD6B4F"/>
    <w:multiLevelType w:val="hybridMultilevel"/>
    <w:lvl w:ilvl="0">
      <w:lvlJc w:val="left"/>
      <w:lvlText w:val="%1."/>
      <w:numFmt w:val="decimal"/>
      <w:start w:val="12"/>
    </w:lvl>
  </w:abstractNum>
  <w:abstractNum w:abstractNumId="17">
    <w:nsid w:val="5915FF32"/>
    <w:multiLevelType w:val="hybridMultilevel"/>
    <w:lvl w:ilvl="0">
      <w:lvlJc w:val="left"/>
      <w:lvlText w:val="%1."/>
      <w:numFmt w:val="decimal"/>
      <w:start w:val="14"/>
    </w:lvl>
  </w:abstractNum>
  <w:abstractNum w:abstractNumId="18">
    <w:nsid w:val="56438D15"/>
    <w:multiLevelType w:val="hybridMultilevel"/>
    <w:lvl w:ilvl="0">
      <w:lvlJc w:val="left"/>
      <w:lvlText w:val="•"/>
      <w:numFmt w:val="bullet"/>
      <w:start w:val="1"/>
    </w:lvl>
  </w:abstractNum>
  <w:abstractNum w:abstractNumId="19">
    <w:nsid w:val="519E3149"/>
    <w:multiLevelType w:val="hybridMultilevel"/>
    <w:lvl w:ilvl="0">
      <w:lvlJc w:val="left"/>
      <w:lvlText w:val="•"/>
      <w:numFmt w:val="bullet"/>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1)"/>
      <w:numFmt w:val="decimal"/>
      <w:start w:val="1"/>
    </w:lvl>
  </w:abstractNum>
  <w:abstractNum w:abstractNumId="22">
    <w:nsid w:val="4DF72E4E"/>
    <w:multiLevelType w:val="hybridMultilevel"/>
    <w:lvl w:ilvl="0">
      <w:lvlJc w:val="left"/>
      <w:lvlText w:val="%1"/>
      <w:numFmt w:val="decimal"/>
      <w:start w:val="101"/>
    </w:lvl>
  </w:abstractNum>
  <w:abstractNum w:abstractNumId="23">
    <w:nsid w:val="5046B5A9"/>
    <w:multiLevelType w:val="hybridMultilevel"/>
    <w:lvl w:ilvl="0">
      <w:lvlJc w:val="left"/>
      <w:lvlText w:val="*"/>
      <w:numFmt w:val="bullet"/>
      <w:start w:val="1"/>
    </w:lvl>
  </w:abstractNum>
  <w:abstractNum w:abstractNumId="24">
    <w:nsid w:val="5D888A08"/>
    <w:multiLevelType w:val="hybridMultilevel"/>
    <w:lvl w:ilvl="0">
      <w:lvlJc w:val="left"/>
      <w:lvlText w:val="**"/>
      <w:numFmt w:val="bullet"/>
      <w:start w:val="1"/>
    </w:lvl>
  </w:abstractNum>
  <w:abstractNum w:abstractNumId="25">
    <w:nsid w:val="2A082C70"/>
    <w:multiLevelType w:val="hybridMultilevel"/>
    <w:lvl w:ilvl="0">
      <w:lvlJc w:val="left"/>
      <w:lvlText w:val="(%1)"/>
      <w:numFmt w:val="lowerRoman"/>
      <w:start w:val="2"/>
    </w:lvl>
  </w:abstractNum>
  <w:abstractNum w:abstractNumId="26">
    <w:nsid w:val="5EC6AFD4"/>
    <w:multiLevelType w:val="hybridMultilevel"/>
    <w:lvl w:ilvl="0">
      <w:lvlJc w:val="left"/>
      <w:lvlText w:val="(%1)"/>
      <w:numFmt w:val="lowerLetter"/>
      <w:start w:val="2"/>
    </w:lvl>
  </w:abstractNum>
  <w:abstractNum w:abstractNumId="27">
    <w:nsid w:val="19E21BB2"/>
    <w:multiLevelType w:val="hybridMultilevel"/>
    <w:lvl w:ilvl="0">
      <w:lvlJc w:val="left"/>
      <w:lvlText w:val="(%1)"/>
      <w:numFmt w:val="lowerLetter"/>
      <w:start w:val="2"/>
    </w:lvl>
  </w:abstractNum>
  <w:abstractNum w:abstractNumId="28">
    <w:nsid w:val="75E0858A"/>
    <w:multiLevelType w:val="hybridMultilevel"/>
    <w:lvl w:ilvl="0">
      <w:lvlJc w:val="left"/>
      <w:lvlText w:val="(%1)"/>
      <w:numFmt w:val="decimal"/>
      <w:start w:val="70"/>
    </w:lvl>
  </w:abstractNum>
  <w:abstractNum w:abstractNumId="29">
    <w:nsid w:val="57A61A29"/>
    <w:multiLevelType w:val="hybridMultilevel"/>
    <w:lvl w:ilvl="0">
      <w:lvlJc w:val="left"/>
      <w:lvlText w:val="(%1)"/>
      <w:numFmt w:val="lowerRoman"/>
      <w:start w:val="5"/>
    </w:lvl>
  </w:abstractNum>
  <w:abstractNum w:abstractNumId="30">
    <w:nsid w:val="5399C654"/>
    <w:multiLevelType w:val="hybridMultilevel"/>
    <w:lvl w:ilvl="0">
      <w:lvlJc w:val="left"/>
      <w:lvlText w:val="%1"/>
      <w:numFmt w:val="lowerLetter"/>
      <w:start w:val="1"/>
    </w:lvl>
    <w:lvl w:ilvl="1">
      <w:lvlJc w:val="left"/>
      <w:lvlText w:val="(%2)"/>
      <w:numFmt w:val="lowerLetter"/>
      <w:start w:val="1"/>
    </w:lvl>
  </w:abstractNum>
  <w:abstractNum w:abstractNumId="31">
    <w:nsid w:val="20EE1348"/>
    <w:multiLevelType w:val="hybridMultilevel"/>
    <w:lvl w:ilvl="0">
      <w:lvlJc w:val="left"/>
      <w:lvlText w:val="(%1)"/>
      <w:numFmt w:val="lowerLetter"/>
      <w:start w:val="61"/>
    </w:lvl>
    <w:lvl w:ilvl="1">
      <w:lvlJc w:val="left"/>
      <w:lvlText w:val="(%2)"/>
      <w:numFmt w:val="lowerLetter"/>
      <w:start w:val="8"/>
    </w:lvl>
  </w:abstractNum>
  <w:abstractNum w:abstractNumId="32">
    <w:nsid w:val="4427069A"/>
    <w:multiLevelType w:val="hybridMultilevel"/>
    <w:lvl w:ilvl="0">
      <w:lvlJc w:val="left"/>
      <w:lvlText w:val="(%1)"/>
      <w:numFmt w:val="lowerLetter"/>
      <w:start w:val="11"/>
    </w:lvl>
  </w:abstractNum>
  <w:abstractNum w:abstractNumId="33">
    <w:nsid w:val="B37E80A"/>
    <w:multiLevelType w:val="hybridMultilevel"/>
    <w:lvl w:ilvl="0">
      <w:lvlJc w:val="left"/>
      <w:lvlText w:val="(%1)"/>
      <w:numFmt w:val="lowerRoman"/>
      <w:start w:val="10"/>
    </w:lvl>
  </w:abstractNum>
  <w:abstractNum w:abstractNumId="34">
    <w:nsid w:val="2157F6BC"/>
    <w:multiLevelType w:val="hybridMultilevel"/>
    <w:lvl w:ilvl="0">
      <w:lvlJc w:val="left"/>
      <w:lvlText w:val="(%1)"/>
      <w:numFmt w:val="lowerLetter"/>
      <w:start w:val="1"/>
    </w:lvl>
  </w:abstractNum>
  <w:abstractNum w:abstractNumId="35">
    <w:nsid w:val="704E1DD5"/>
    <w:multiLevelType w:val="hybridMultilevel"/>
    <w:lvl w:ilvl="0">
      <w:lvlJc w:val="left"/>
      <w:lvlText w:val="(%1)"/>
      <w:numFmt w:val="lowerLetter"/>
      <w:start w:val="8"/>
    </w:lvl>
  </w:abstractNum>
  <w:abstractNum w:abstractNumId="36">
    <w:nsid w:val="57D2F10E"/>
    <w:multiLevelType w:val="hybridMultilevel"/>
    <w:lvl w:ilvl="0">
      <w:lvlJc w:val="left"/>
      <w:lvlText w:val="(%1)"/>
      <w:numFmt w:val="lowerLetter"/>
      <w:start w:val="1"/>
    </w:lvl>
  </w:abstractNum>
  <w:abstractNum w:abstractNumId="37">
    <w:nsid w:val="BFFAE18"/>
    <w:multiLevelType w:val="hybridMultilevel"/>
    <w:lvl w:ilvl="0">
      <w:lvlJc w:val="left"/>
      <w:lvlText w:val="%1"/>
      <w:numFmt w:val="lowerLetter"/>
      <w:start w:val="1"/>
    </w:lvl>
    <w:lvl w:ilvl="1">
      <w:lvlJc w:val="left"/>
      <w:lvlText w:val="(%2)"/>
      <w:numFmt w:val="lowerLetter"/>
      <w:start w:val="3"/>
    </w:lvl>
  </w:abstractNum>
  <w:abstractNum w:abstractNumId="38">
    <w:nsid w:val="E3E47A8"/>
    <w:multiLevelType w:val="hybridMultilevel"/>
    <w:lvl w:ilvl="0">
      <w:lvlJc w:val="left"/>
      <w:lvlText w:val="(%1)"/>
      <w:numFmt w:val="lowerLetter"/>
      <w:start w:val="35"/>
    </w:lvl>
    <w:lvl w:ilvl="1">
      <w:lvlJc w:val="left"/>
      <w:lvlText w:val="(%2)"/>
      <w:numFmt w:val="lowerLetter"/>
      <w:start w:val="6"/>
    </w:lvl>
  </w:abstractNum>
  <w:abstractNum w:abstractNumId="39">
    <w:nsid w:val="2E48F044"/>
    <w:multiLevelType w:val="hybridMultilevel"/>
    <w:lvl w:ilvl="0">
      <w:lvlJc w:val="left"/>
      <w:lvlText w:val="(%1)"/>
      <w:numFmt w:val="lowerRoman"/>
      <w:start w:val="1"/>
    </w:lvl>
  </w:abstractNum>
  <w:abstractNum w:abstractNumId="40">
    <w:nsid w:val="49D0FEAC"/>
    <w:multiLevelType w:val="hybridMultilevel"/>
    <w:lvl w:ilvl="0">
      <w:lvlJc w:val="left"/>
      <w:lvlText w:val="(%1)"/>
      <w:numFmt w:val="upperLetter"/>
      <w:start w:val="1"/>
    </w:lvl>
  </w:abstractNum>
  <w:abstractNum w:abstractNumId="41">
    <w:nsid w:val="4BEE5A5B"/>
    <w:multiLevelType w:val="hybridMultilevel"/>
    <w:lvl w:ilvl="0">
      <w:lvlJc w:val="left"/>
      <w:lvlText w:val="(%1)"/>
      <w:numFmt w:val="lowerLetter"/>
      <w:start w:val="2"/>
    </w:lvl>
  </w:abstractNum>
  <w:abstractNum w:abstractNumId="42">
    <w:nsid w:val="5551B9F3"/>
    <w:multiLevelType w:val="hybridMultilevel"/>
    <w:lvl w:ilvl="0">
      <w:lvlJc w:val="left"/>
      <w:lvlText w:val="%1"/>
      <w:numFmt w:val="lowerLetter"/>
      <w:start w:val="1"/>
    </w:lvl>
    <w:lvl w:ilvl="1">
      <w:lvlJc w:val="left"/>
      <w:lvlText w:val="(%2)"/>
      <w:numFmt w:val="lowerLetter"/>
      <w:start w:val="1"/>
    </w:lvl>
  </w:abstractNum>
  <w:abstractNum w:abstractNumId="43">
    <w:nsid w:val="24F6AB8E"/>
    <w:multiLevelType w:val="hybridMultilevel"/>
    <w:lvl w:ilvl="0">
      <w:lvlJc w:val="left"/>
      <w:lvlText w:val="(%1)"/>
      <w:numFmt w:val="lowerLetter"/>
      <w:start w:val="4"/>
    </w:lvl>
    <w:lvl w:ilvl="1">
      <w:lvlJc w:val="left"/>
      <w:lvlText w:val="%2"/>
      <w:numFmt w:val="lowerLetter"/>
      <w:start w:val="1"/>
    </w:lvl>
  </w:abstractNum>
  <w:abstractNum w:abstractNumId="44">
    <w:nsid w:val="634C574C"/>
    <w:multiLevelType w:val="hybridMultilevel"/>
    <w:lvl w:ilvl="0">
      <w:lvlJc w:val="left"/>
      <w:lvlText w:val="(%1)"/>
      <w:numFmt w:val="lowerLetter"/>
      <w:start w:val="1"/>
    </w:lvl>
  </w:abstractNum>
  <w:abstractNum w:abstractNumId="45">
    <w:nsid w:val="24E99DD7"/>
    <w:multiLevelType w:val="hybridMultilevel"/>
    <w:lvl w:ilvl="0">
      <w:lvlJc w:val="left"/>
      <w:lvlText w:val="(%1)"/>
      <w:numFmt w:val="lowerLetter"/>
      <w:start w:val="2"/>
    </w:lvl>
  </w:abstractNum>
  <w:abstractNum w:abstractNumId="46">
    <w:nsid w:val="2A31B62D"/>
    <w:multiLevelType w:val="hybridMultilevel"/>
    <w:lvl w:ilvl="0">
      <w:lvlJc w:val="left"/>
      <w:lvlText w:val="(%1)"/>
      <w:numFmt w:val="lowerLetter"/>
      <w:start w:val="2"/>
    </w:lvl>
  </w:abstractNum>
  <w:abstractNum w:abstractNumId="47">
    <w:nsid w:val="1849C29B"/>
    <w:multiLevelType w:val="hybridMultilevel"/>
    <w:lvl w:ilvl="0">
      <w:lvlJc w:val="left"/>
      <w:lvlText w:val="(%1)"/>
      <w:numFmt w:val="lowerLetter"/>
      <w:start w:val="2"/>
    </w:lvl>
  </w:abstractNum>
  <w:abstractNum w:abstractNumId="48">
    <w:nsid w:val="7DFF9D09"/>
    <w:multiLevelType w:val="hybridMultilevel"/>
    <w:lvl w:ilvl="0">
      <w:lvlJc w:val="left"/>
      <w:lvlText w:val="(%1)"/>
      <w:numFmt w:val="lowerRoman"/>
      <w:start w:val="1"/>
    </w:lvl>
  </w:abstractNum>
  <w:abstractNum w:abstractNumId="49">
    <w:nsid w:val="754342"/>
    <w:multiLevelType w:val="hybridMultilevel"/>
    <w:lvl w:ilvl="0">
      <w:lvlJc w:val="left"/>
      <w:lvlText w:val="(%1)"/>
      <w:numFmt w:val="lowerRoman"/>
      <w:start w:val="4"/>
    </w:lvl>
  </w:abstractNum>
  <w:abstractNum w:abstractNumId="50">
    <w:nsid w:val="69E7F3E5"/>
    <w:multiLevelType w:val="hybridMultilevel"/>
    <w:lvl w:ilvl="0">
      <w:lvlJc w:val="left"/>
      <w:lvlText w:val="(%1)"/>
      <w:numFmt w:val="lowerLetter"/>
      <w:start w:val="2"/>
    </w:lvl>
  </w:abstractNum>
  <w:abstractNum w:abstractNumId="51">
    <w:nsid w:val="2A6DE806"/>
    <w:multiLevelType w:val="hybridMultilevel"/>
    <w:lvl w:ilvl="0">
      <w:lvlJc w:val="left"/>
      <w:lvlText w:val="(%1)"/>
      <w:numFmt w:val="lowerLetter"/>
      <w:start w:val="1"/>
    </w:lvl>
  </w:abstractNum>
  <w:abstractNum w:abstractNumId="52">
    <w:nsid w:val="1816F8C4"/>
    <w:multiLevelType w:val="hybridMultilevel"/>
    <w:lvl w:ilvl="0">
      <w:lvlJc w:val="left"/>
      <w:lvlText w:val="(%1)"/>
      <w:numFmt w:val="lowerLetter"/>
      <w:start w:val="2"/>
    </w:lvl>
  </w:abstractNum>
  <w:abstractNum w:abstractNumId="53">
    <w:nsid w:val="37DF2233"/>
    <w:multiLevelType w:val="hybridMultilevel"/>
    <w:lvl w:ilvl="0">
      <w:lvlJc w:val="left"/>
      <w:lvlText w:val="%1"/>
      <w:numFmt w:val="lowerLetter"/>
      <w:start w:val="1"/>
    </w:lvl>
    <w:lvl w:ilvl="1">
      <w:lvlJc w:val="left"/>
      <w:lvlText w:val="(%2)"/>
      <w:numFmt w:val="lowerLetter"/>
      <w:start w:val="2"/>
    </w:lvl>
  </w:abstractNum>
  <w:abstractNum w:abstractNumId="54">
    <w:nsid w:val="7AB49DAF"/>
    <w:multiLevelType w:val="hybridMultilevel"/>
    <w:lvl w:ilvl="0">
      <w:lvlJc w:val="left"/>
      <w:lvlText w:val="(%1)"/>
      <w:numFmt w:val="lowerLetter"/>
      <w:start w:val="22"/>
    </w:lvl>
    <w:lvl w:ilvl="1">
      <w:lvlJc w:val="left"/>
      <w:lvlText w:val="(%2)"/>
      <w:numFmt w:val="lowerLetter"/>
      <w:start w:val="3"/>
    </w:lvl>
  </w:abstractNum>
  <w:abstractNum w:abstractNumId="55">
    <w:nsid w:val="759F82CD"/>
    <w:multiLevelType w:val="hybridMultilevel"/>
    <w:lvl w:ilvl="0">
      <w:lvlJc w:val="left"/>
      <w:lvlText w:val="(%1)"/>
      <w:numFmt w:val="lowerLetter"/>
      <w:start w:val="4"/>
    </w:lvl>
  </w:abstractNum>
  <w:abstractNum w:abstractNumId="56">
    <w:nsid w:val="61E74EA3"/>
    <w:multiLevelType w:val="hybridMultilevel"/>
    <w:lvl w:ilvl="0">
      <w:lvlJc w:val="left"/>
      <w:lvlText w:val="(%1)"/>
      <w:numFmt w:val="lowerLetter"/>
      <w:start w:val="7"/>
    </w:lvl>
  </w:abstractNum>
  <w:abstractNum w:abstractNumId="57">
    <w:nsid w:val="597B4D84"/>
    <w:multiLevelType w:val="hybridMultilevel"/>
    <w:lvl w:ilvl="0">
      <w:lvlJc w:val="left"/>
      <w:lvlText w:val="(%1)"/>
      <w:numFmt w:val="lowerRoman"/>
      <w:start w:val="2"/>
    </w:lvl>
  </w:abstractNum>
  <w:abstractNum w:abstractNumId="58">
    <w:nsid w:val="F819E7F"/>
    <w:multiLevelType w:val="hybridMultilevel"/>
    <w:lvl w:ilvl="0">
      <w:lvlJc w:val="left"/>
      <w:lvlText w:val="(%1)"/>
      <w:numFmt w:val="lowerLetter"/>
      <w:start w:val="10"/>
    </w:lvl>
  </w:abstractNum>
  <w:abstractNum w:abstractNumId="59">
    <w:nsid w:val="57C7D42D"/>
    <w:multiLevelType w:val="hybridMultilevel"/>
    <w:lvl w:ilvl="0">
      <w:lvlJc w:val="left"/>
      <w:lvlText w:val="(%1)"/>
      <w:numFmt w:val="lowerLetter"/>
      <w:start w:val="11"/>
    </w:lvl>
  </w:abstractNum>
  <w:abstractNum w:abstractNumId="60">
    <w:nsid w:val="312167AD"/>
    <w:multiLevelType w:val="hybridMultilevel"/>
    <w:lvl w:ilvl="0">
      <w:lvlJc w:val="left"/>
      <w:lvlText w:val="(%1)"/>
      <w:numFmt w:val="lowerLetter"/>
      <w:start w:val="2"/>
    </w:lvl>
  </w:abstractNum>
  <w:abstractNum w:abstractNumId="61">
    <w:nsid w:val="631B64D4"/>
    <w:multiLevelType w:val="hybridMultilevel"/>
    <w:lvl w:ilvl="0">
      <w:lvlJc w:val="left"/>
      <w:lvlText w:val="(%1)"/>
      <w:numFmt w:val="lowerLetter"/>
      <w:start w:val="2"/>
    </w:lvl>
    <w:lvl w:ilvl="1">
      <w:lvlJc w:val="left"/>
      <w:lvlText w:val="(%2)"/>
      <w:numFmt w:val="lowerLetter"/>
      <w:start w:val="9"/>
    </w:lvl>
  </w:abstractNum>
  <w:abstractNum w:abstractNumId="62">
    <w:nsid w:val="78B5E776"/>
    <w:multiLevelType w:val="hybridMultilevel"/>
    <w:lvl w:ilvl="0">
      <w:lvlJc w:val="left"/>
      <w:lvlText w:val="(%1)"/>
      <w:numFmt w:val="lowerRoman"/>
      <w:start w:val="2"/>
    </w:lvl>
  </w:abstractNum>
  <w:abstractNum w:abstractNumId="63">
    <w:nsid w:val="75486E47"/>
    <w:multiLevelType w:val="hybridMultilevel"/>
    <w:lvl w:ilvl="0">
      <w:lvlJc w:val="left"/>
      <w:lvlText w:val="(%1)"/>
      <w:numFmt w:val="lowerLetter"/>
      <w:start w:val="4"/>
    </w:lvl>
  </w:abstractNum>
  <w:abstractNum w:abstractNumId="64">
    <w:nsid w:val="6E534CDE"/>
    <w:multiLevelType w:val="hybridMultilevel"/>
    <w:lvl w:ilvl="0">
      <w:lvlJc w:val="left"/>
      <w:lvlText w:val="(%1)"/>
      <w:numFmt w:val="lowerLetter"/>
      <w:start w:val="2"/>
    </w:lvl>
  </w:abstractNum>
  <w:abstractNum w:abstractNumId="65">
    <w:nsid w:val="1A0DDE32"/>
    <w:multiLevelType w:val="hybridMultilevel"/>
    <w:lvl w:ilvl="0">
      <w:lvlJc w:val="left"/>
      <w:lvlText w:val="%1"/>
      <w:numFmt w:val="decimal"/>
      <w:start w:val="1"/>
    </w:lvl>
    <w:lvl w:ilvl="1">
      <w:lvlJc w:val="left"/>
      <w:lvlText w:val="(%2)"/>
      <w:numFmt w:val="lowerLetter"/>
      <w:start w:val="6"/>
    </w:lvl>
  </w:abstractNum>
  <w:abstractNum w:abstractNumId="66">
    <w:nsid w:val="65968C1C"/>
    <w:multiLevelType w:val="hybridMultilevel"/>
    <w:lvl w:ilvl="0">
      <w:lvlJc w:val="left"/>
      <w:lvlText w:val="(%1)"/>
      <w:numFmt w:val="decimal"/>
      <w:start w:val="2"/>
    </w:lvl>
    <w:lvl w:ilvl="1">
      <w:lvlJc w:val="left"/>
      <w:lvlText w:val="(%2)"/>
      <w:numFmt w:val="lowerLetter"/>
      <w:start w:val="7"/>
    </w:lvl>
  </w:abstractNum>
  <w:abstractNum w:abstractNumId="67">
    <w:nsid w:val="46263DEC"/>
    <w:multiLevelType w:val="hybridMultilevel"/>
    <w:lvl w:ilvl="0">
      <w:lvlJc w:val="left"/>
      <w:lvlText w:val="(%1)"/>
      <w:numFmt w:val="lowerLetter"/>
      <w:start w:val="9"/>
    </w:lvl>
    <w:lvl w:ilvl="1">
      <w:lvlJc w:val="left"/>
      <w:lvlText w:val="(%2)"/>
      <w:numFmt w:val="lowerLetter"/>
      <w:start w:val="2"/>
    </w:lvl>
  </w:abstractNum>
  <w:abstractNum w:abstractNumId="68">
    <w:nsid w:val="260D8C4A"/>
    <w:multiLevelType w:val="hybridMultilevel"/>
    <w:lvl w:ilvl="0">
      <w:lvlJc w:val="left"/>
      <w:lvlText w:val="(%1)"/>
      <w:numFmt w:val="lowerLetter"/>
      <w:start w:val="3"/>
    </w:lvl>
  </w:abstractNum>
  <w:abstractNum w:abstractNumId="69">
    <w:nsid w:val="73D4D3C4"/>
    <w:multiLevelType w:val="hybridMultilevel"/>
    <w:lvl w:ilvl="0">
      <w:lvlJc w:val="left"/>
      <w:lvlText w:val="(%1)"/>
      <w:numFmt w:val="lowerLetter"/>
      <w:start w:val="2"/>
    </w:lvl>
    <w:lvl w:ilvl="1">
      <w:lvlJc w:val="left"/>
      <w:lvlText w:val="(%2)"/>
      <w:numFmt w:val="decimal"/>
      <w:start w:val="1"/>
    </w:lvl>
  </w:abstractNum>
  <w:abstractNum w:abstractNumId="70">
    <w:nsid w:val="746F2E30"/>
    <w:multiLevelType w:val="hybridMultilevel"/>
    <w:lvl w:ilvl="0">
      <w:lvlJc w:val="left"/>
      <w:lvlText w:val="(%1)"/>
      <w:numFmt w:val="decimal"/>
      <w:start w:val="2"/>
    </w:lvl>
  </w:abstractNum>
  <w:abstractNum w:abstractNumId="71">
    <w:nsid w:val="6FDE8AF6"/>
    <w:multiLevelType w:val="hybridMultilevel"/>
    <w:lvl w:ilvl="0">
      <w:lvlJc w:val="left"/>
      <w:lvlText w:val="%1"/>
      <w:numFmt w:val="upperLetter"/>
      <w:start w:val="1"/>
    </w:lvl>
    <w:lvl w:ilvl="1">
      <w:lvlJc w:val="left"/>
      <w:lvlText w:val="(%2)"/>
      <w:numFmt w:val="lowerLetter"/>
      <w:start w:val="4"/>
    </w:lvl>
  </w:abstractNum>
  <w:abstractNum w:abstractNumId="72">
    <w:nsid w:val="3FC32E20"/>
    <w:multiLevelType w:val="hybridMultilevel"/>
    <w:lvl w:ilvl="0">
      <w:lvlJc w:val="left"/>
      <w:lvlText w:val="(%1)"/>
      <w:numFmt w:val="upperLetter"/>
      <w:start w:val="2"/>
    </w:lvl>
    <w:lvl w:ilvl="1">
      <w:lvlJc w:val="left"/>
      <w:lvlText w:val="%2"/>
      <w:numFmt w:val="lowerLetter"/>
      <w:start w:val="1"/>
    </w:lvl>
  </w:abstractNum>
  <w:abstractNum w:abstractNumId="73">
    <w:nsid w:val="49C0E823"/>
    <w:multiLevelType w:val="hybridMultilevel"/>
    <w:lvl w:ilvl="0">
      <w:lvlJc w:val="left"/>
      <w:lvlText w:val="(%1)"/>
      <w:numFmt w:val="lowerLetter"/>
      <w:start w:val="2"/>
    </w:lvl>
  </w:abstractNum>
  <w:abstractNum w:abstractNumId="74">
    <w:nsid w:val="14D53685"/>
    <w:multiLevelType w:val="hybridMultilevel"/>
    <w:lvl w:ilvl="0">
      <w:lvlJc w:val="left"/>
      <w:lvlText w:val="(%1)"/>
      <w:numFmt w:val="lowerLetter"/>
      <w:start w:val="3"/>
    </w:lvl>
  </w:abstractNum>
  <w:abstractNum w:abstractNumId="75">
    <w:nsid w:val="230F856C"/>
    <w:multiLevelType w:val="hybridMultilevel"/>
    <w:lvl w:ilvl="0">
      <w:lvlJc w:val="left"/>
      <w:lvlText w:val="(%1)"/>
      <w:numFmt w:val="lowerLetter"/>
      <w:start w:val="2"/>
    </w:lvl>
  </w:abstractNum>
  <w:abstractNum w:abstractNumId="76">
    <w:nsid w:val="6EAA85FB"/>
    <w:multiLevelType w:val="hybridMultilevel"/>
    <w:lvl w:ilvl="0">
      <w:lvlJc w:val="left"/>
      <w:lvlText w:val="(%1)"/>
      <w:numFmt w:val="lowerLetter"/>
      <w:start w:val="1"/>
    </w:lvl>
    <w:lvl w:ilvl="1">
      <w:lvlJc w:val="left"/>
      <w:lvlText w:val="(%2)"/>
      <w:numFmt w:val="lowerRoman"/>
      <w:start w:val="1"/>
    </w:lvl>
  </w:abstractNum>
  <w:abstractNum w:abstractNumId="77">
    <w:nsid w:val="3F06ECB2"/>
    <w:multiLevelType w:val="hybridMultilevel"/>
    <w:lvl w:ilvl="0">
      <w:lvlJc w:val="left"/>
      <w:lvlText w:val="(%1)"/>
      <w:numFmt w:val="lowerLetter"/>
      <w:start w:val="2"/>
    </w:lvl>
  </w:abstractNum>
  <w:abstractNum w:abstractNumId="78">
    <w:nsid w:val="3B594807"/>
    <w:multiLevelType w:val="hybridMultilevel"/>
    <w:lvl w:ilvl="0">
      <w:lvlJc w:val="left"/>
      <w:lvlText w:val="(%1)"/>
      <w:numFmt w:val="lowerRoman"/>
      <w:start w:val="1"/>
    </w:lvl>
    <w:lvl w:ilvl="1">
      <w:lvlJc w:val="left"/>
      <w:lvlText w:val="(%2)"/>
      <w:numFmt w:val="lowerRoman"/>
      <w:start w:val="2"/>
    </w:lvl>
  </w:abstractNum>
  <w:abstractNum w:abstractNumId="79">
    <w:nsid w:val="6CAA2304"/>
    <w:multiLevelType w:val="hybridMultilevel"/>
    <w:lvl w:ilvl="0">
      <w:lvlJc w:val="left"/>
      <w:lvlText w:val="(%1)"/>
      <w:numFmt w:val="lowerRoman"/>
      <w:start w:val="3"/>
    </w:lvl>
  </w:abstractNum>
  <w:abstractNum w:abstractNumId="80">
    <w:nsid w:val="3F7C2FF4"/>
    <w:multiLevelType w:val="hybridMultilevel"/>
    <w:lvl w:ilvl="0">
      <w:lvlJc w:val="left"/>
      <w:lvlText w:val="(%1)"/>
      <w:numFmt w:val="lowerLetter"/>
      <w:start w:val="2"/>
    </w:lvl>
  </w:abstractNum>
  <w:abstractNum w:abstractNumId="81">
    <w:nsid w:val="25413BEC"/>
    <w:multiLevelType w:val="hybridMultilevel"/>
    <w:lvl w:ilvl="0">
      <w:lvlJc w:val="left"/>
      <w:lvlText w:val="(%1)"/>
      <w:numFmt w:val="lowerLetter"/>
      <w:start w:val="4"/>
    </w:lvl>
  </w:abstractNum>
  <w:abstractNum w:abstractNumId="82">
    <w:nsid w:val="17180B0B"/>
    <w:multiLevelType w:val="hybridMultilevel"/>
    <w:lvl w:ilvl="0">
      <w:lvlJc w:val="left"/>
      <w:lvlText w:val="(%1)"/>
      <w:numFmt w:val="lowerLetter"/>
      <w:start w:val="2"/>
    </w:lvl>
  </w:abstractNum>
  <w:abstractNum w:abstractNumId="83">
    <w:nsid w:val="579328B9"/>
    <w:multiLevelType w:val="hybridMultilevel"/>
    <w:lvl w:ilvl="0">
      <w:lvlJc w:val="left"/>
      <w:lvlText w:val="(%1)"/>
      <w:numFmt w:val="lowerLetter"/>
      <w:start w:val="4"/>
    </w:lvl>
  </w:abstractNum>
  <w:abstractNum w:abstractNumId="84">
    <w:nsid w:val="5D205E20"/>
    <w:multiLevelType w:val="hybridMultilevel"/>
    <w:lvl w:ilvl="0">
      <w:lvlJc w:val="left"/>
      <w:lvlText w:val="(%1)"/>
      <w:numFmt w:val="upperLetter"/>
      <w:start w:val="1"/>
    </w:lvl>
  </w:abstractNum>
  <w:abstractNum w:abstractNumId="85">
    <w:nsid w:val="11CCA8BA"/>
    <w:multiLevelType w:val="hybridMultilevel"/>
    <w:lvl w:ilvl="0">
      <w:lvlJc w:val="left"/>
      <w:lvlText w:val="%1"/>
      <w:numFmt w:val="lowerRoman"/>
      <w:start w:val="1"/>
    </w:lvl>
    <w:lvl w:ilvl="1">
      <w:lvlJc w:val="left"/>
      <w:lvlText w:val="(%2)"/>
      <w:numFmt w:val="decimal"/>
      <w:start w:val="1"/>
    </w:lvl>
  </w:abstractNum>
  <w:abstractNum w:abstractNumId="86">
    <w:nsid w:val="4D32AB86"/>
    <w:multiLevelType w:val="hybridMultilevel"/>
    <w:lvl w:ilvl="0">
      <w:lvlJc w:val="left"/>
      <w:lvlText w:val="(%1)"/>
      <w:numFmt w:val="lowerRoman"/>
      <w:start w:val="10"/>
    </w:lvl>
    <w:lvl w:ilvl="1">
      <w:lvlJc w:val="left"/>
      <w:lvlText w:val="(%2)"/>
      <w:numFmt w:val="decimal"/>
      <w:start w:val="2"/>
    </w:lvl>
  </w:abstractNum>
  <w:abstractNum w:abstractNumId="87">
    <w:nsid w:val="3F07ACC3"/>
    <w:multiLevelType w:val="hybridMultilevel"/>
    <w:lvl w:ilvl="0">
      <w:lvlJc w:val="left"/>
      <w:lvlText w:val="(%1)"/>
      <w:numFmt w:val="upperLetter"/>
      <w:start w:val="3"/>
    </w:lvl>
  </w:abstractNum>
  <w:abstractNum w:abstractNumId="88">
    <w:nsid w:val="6B47F63E"/>
    <w:multiLevelType w:val="hybridMultilevel"/>
    <w:lvl w:ilvl="0">
      <w:lvlJc w:val="left"/>
      <w:lvlText w:val="(%1)"/>
      <w:numFmt w:val="lowerLetter"/>
      <w:start w:val="7"/>
    </w:lvl>
  </w:abstractNum>
  <w:abstractNum w:abstractNumId="89">
    <w:nsid w:val="5CB44A05"/>
    <w:multiLevelType w:val="hybridMultilevel"/>
    <w:lvl w:ilvl="0">
      <w:lvlJc w:val="left"/>
      <w:lvlText w:val="(%1)"/>
      <w:numFmt w:val="lowerLetter"/>
      <w:start w:val="8"/>
    </w:lvl>
  </w:abstractNum>
  <w:abstractNum w:abstractNumId="90">
    <w:nsid w:val="16CF80F1"/>
    <w:multiLevelType w:val="hybridMultilevel"/>
    <w:lvl w:ilvl="0">
      <w:lvlJc w:val="left"/>
      <w:lvlText w:val="(%1)"/>
      <w:numFmt w:val="lowerLetter"/>
      <w:start w:val="2"/>
    </w:lvl>
  </w:abstractNum>
  <w:abstractNum w:abstractNumId="91">
    <w:nsid w:val="1C695DEC"/>
    <w:multiLevelType w:val="hybridMultilevel"/>
    <w:lvl w:ilvl="0">
      <w:lvlJc w:val="left"/>
      <w:lvlText w:val="(%1)"/>
      <w:numFmt w:val="lowerLetter"/>
      <w:start w:val="3"/>
    </w:lvl>
  </w:abstractNum>
  <w:abstractNum w:abstractNumId="92">
    <w:nsid w:val="3FCFAED9"/>
    <w:multiLevelType w:val="hybridMultilevel"/>
    <w:lvl w:ilvl="0">
      <w:lvlJc w:val="left"/>
      <w:lvlText w:val="(%1)"/>
      <w:numFmt w:val="lowerLetter"/>
      <w:start w:val="6"/>
    </w:lvl>
  </w:abstractNum>
  <w:abstractNum w:abstractNumId="93">
    <w:nsid w:val="F856867"/>
    <w:multiLevelType w:val="hybridMultilevel"/>
    <w:lvl w:ilvl="0">
      <w:lvlJc w:val="left"/>
      <w:lvlText w:val="(%1)"/>
      <w:numFmt w:val="lowerLetter"/>
      <w:start w:val="1"/>
    </w:lvl>
  </w:abstractNum>
  <w:abstractNum w:abstractNumId="94">
    <w:nsid w:val="11B1CC33"/>
    <w:multiLevelType w:val="hybridMultilevel"/>
    <w:lvl w:ilvl="0">
      <w:lvlJc w:val="left"/>
      <w:lvlText w:val="(%1)"/>
      <w:numFmt w:val="lowerLetter"/>
      <w:start w:val="1"/>
    </w:lvl>
  </w:abstractNum>
  <w:abstractNum w:abstractNumId="95">
    <w:nsid w:val="2E22FBB7"/>
    <w:multiLevelType w:val="hybridMultilevel"/>
    <w:lvl w:ilvl="0">
      <w:lvlJc w:val="left"/>
      <w:lvlText w:val="(%1)"/>
      <w:numFmt w:val="lowerLetter"/>
      <w:start w:val="2"/>
    </w:lvl>
    <w:lvl w:ilvl="1">
      <w:lvlJc w:val="left"/>
      <w:lvlText w:val="(%2)"/>
      <w:numFmt w:val="lowerLetter"/>
      <w:start w:val="9"/>
    </w:lvl>
  </w:abstractNum>
  <w:abstractNum w:abstractNumId="96">
    <w:nsid w:val="29934699"/>
    <w:multiLevelType w:val="hybridMultilevel"/>
    <w:lvl w:ilvl="0">
      <w:lvlJc w:val="left"/>
      <w:lvlText w:val="%1"/>
      <w:numFmt w:val="decimal"/>
      <w:start w:val="1"/>
    </w:lvl>
    <w:lvl w:ilvl="1">
      <w:lvlJc w:val="left"/>
      <w:lvlText w:val="(%2)"/>
      <w:numFmt w:val="lowerRoman"/>
      <w:start w:val="2"/>
    </w:lvl>
  </w:abstractNum>
  <w:abstractNum w:abstractNumId="97">
    <w:nsid w:val="77485850"/>
    <w:multiLevelType w:val="hybridMultilevel"/>
    <w:lvl w:ilvl="0">
      <w:lvlJc w:val="left"/>
      <w:lvlText w:val="(%1)"/>
      <w:numFmt w:val="decimal"/>
      <w:start w:val="1"/>
    </w:lvl>
    <w:lvl w:ilvl="1">
      <w:lvlJc w:val="left"/>
      <w:lvlText w:val="(%2)"/>
      <w:numFmt w:val="lowerRoman"/>
      <w:start w:val="3"/>
    </w:lvl>
  </w:abstractNum>
  <w:abstractNum w:abstractNumId="98">
    <w:nsid w:val="744939A3"/>
    <w:multiLevelType w:val="hybridMultilevel"/>
    <w:lvl w:ilvl="0">
      <w:lvlJc w:val="left"/>
      <w:lvlText w:val="(%1)"/>
      <w:numFmt w:val="lowerLetter"/>
      <w:start w:val="5"/>
    </w:lvl>
  </w:abstractNum>
  <w:abstractNum w:abstractNumId="99">
    <w:nsid w:val="4FA0D2E3"/>
    <w:multiLevelType w:val="hybridMultilevel"/>
    <w:lvl w:ilvl="0">
      <w:lvlJc w:val="left"/>
      <w:lvlText w:val="(%1)"/>
      <w:numFmt w:val="lowerLetter"/>
      <w:start w:val="2"/>
    </w:lvl>
  </w:abstractNum>
  <w:abstractNum w:abstractNumId="100">
    <w:nsid w:val="6B1D2C14"/>
    <w:multiLevelType w:val="hybridMultilevel"/>
    <w:lvl w:ilvl="0">
      <w:lvlJc w:val="left"/>
      <w:lvlText w:val="(%1)"/>
      <w:numFmt w:val="lowerLetter"/>
      <w:start w:val="2"/>
    </w:lvl>
  </w:abstractNum>
  <w:abstractNum w:abstractNumId="101">
    <w:nsid w:val="68B867D3"/>
    <w:multiLevelType w:val="hybridMultilevel"/>
    <w:lvl w:ilvl="0">
      <w:lvlJc w:val="left"/>
      <w:lvlText w:val="%1"/>
      <w:numFmt w:val="upperLetter"/>
      <w:start w:val="1"/>
    </w:lvl>
    <w:lvl w:ilvl="1">
      <w:lvlJc w:val="left"/>
      <w:lvlText w:val="(%2)"/>
      <w:numFmt w:val="lowerLetter"/>
      <w:start w:val="2"/>
    </w:lvl>
  </w:abstractNum>
  <w:abstractNum w:abstractNumId="102">
    <w:nsid w:val="3F7F5DD9"/>
    <w:multiLevelType w:val="hybridMultilevel"/>
    <w:lvl w:ilvl="0">
      <w:lvlJc w:val="left"/>
      <w:lvlText w:val="(%1)"/>
      <w:numFmt w:val="upperLetter"/>
      <w:start w:val="1"/>
    </w:lvl>
    <w:lvl w:ilvl="1">
      <w:lvlJc w:val="left"/>
      <w:lvlText w:val="(%2)"/>
      <w:numFmt w:val="lowerLetter"/>
      <w:start w:val="3"/>
    </w:lvl>
  </w:abstractNum>
  <w:abstractNum w:abstractNumId="103">
    <w:nsid w:val="2AE05A34"/>
    <w:multiLevelType w:val="hybridMultilevel"/>
    <w:lvl w:ilvl="0">
      <w:lvlJc w:val="left"/>
      <w:lvlText w:val="(%1)"/>
      <w:numFmt w:val="lowerRoman"/>
      <w:start w:val="1"/>
    </w:lvl>
  </w:abstractNum>
  <w:abstractNum w:abstractNumId="104">
    <w:nsid w:val="32794FF7"/>
    <w:multiLevelType w:val="hybridMultilevel"/>
    <w:lvl w:ilvl="0">
      <w:lvlJc w:val="left"/>
      <w:lvlText w:val="(%1)"/>
      <w:numFmt w:val="lowerLetter"/>
      <w:start w:val="2"/>
    </w:lvl>
  </w:abstractNum>
  <w:abstractNum w:abstractNumId="105">
    <w:nsid w:val="5454945E"/>
    <w:multiLevelType w:val="hybridMultilevel"/>
    <w:lvl w:ilvl="0">
      <w:lvlJc w:val="left"/>
      <w:lvlText w:val="(%1)"/>
      <w:numFmt w:val="lowerLetter"/>
      <w:start w:val="2"/>
    </w:lvl>
  </w:abstractNum>
  <w:abstractNum w:abstractNumId="106">
    <w:nsid w:val="4DEFDFA0"/>
    <w:multiLevelType w:val="hybridMultilevel"/>
    <w:lvl w:ilvl="0">
      <w:lvlJc w:val="left"/>
      <w:lvlText w:val="(%1)"/>
      <w:numFmt w:val="lowerLetter"/>
      <w:start w:val="2"/>
    </w:lvl>
  </w:abstractNum>
  <w:abstractNum w:abstractNumId="107">
    <w:nsid w:val="2123D5F2"/>
    <w:multiLevelType w:val="hybridMultilevel"/>
    <w:lvl w:ilvl="0">
      <w:lvlJc w:val="left"/>
      <w:lvlText w:val="(%1)"/>
      <w:numFmt w:val="lowerLetter"/>
      <w:start w:val="1"/>
    </w:lvl>
  </w:abstractNum>
  <w:abstractNum w:abstractNumId="108">
    <w:nsid w:val="135B8110"/>
    <w:multiLevelType w:val="hybridMultilevel"/>
    <w:lvl w:ilvl="0">
      <w:lvlJc w:val="left"/>
      <w:lvlText w:val="(%1)"/>
      <w:numFmt w:val="lowerLetter"/>
      <w:start w:val="2"/>
    </w:lvl>
  </w:abstractNum>
  <w:abstractNum w:abstractNumId="109">
    <w:nsid w:val="94927A8"/>
    <w:multiLevelType w:val="hybridMultilevel"/>
    <w:lvl w:ilvl="0">
      <w:lvlJc w:val="left"/>
      <w:lvlText w:val="(%1)"/>
      <w:numFmt w:val="lowerLetter"/>
      <w:start w:val="8"/>
    </w:lvl>
  </w:abstractNum>
  <w:abstractNum w:abstractNumId="110">
    <w:nsid w:val="DCDF8F6"/>
    <w:multiLevelType w:val="hybridMultilevel"/>
    <w:lvl w:ilvl="0">
      <w:lvlJc w:val="left"/>
      <w:lvlText w:val="(%1)"/>
      <w:numFmt w:val="lowerLetter"/>
      <w:start w:val="20"/>
    </w:lvl>
  </w:abstractNum>
  <w:abstractNum w:abstractNumId="111">
    <w:nsid w:val="52D7B105"/>
    <w:multiLevelType w:val="hybridMultilevel"/>
    <w:lvl w:ilvl="0">
      <w:lvlJc w:val="left"/>
      <w:lvlText w:val="%1"/>
      <w:numFmt w:val="lowerLetter"/>
      <w:start w:val="1"/>
    </w:lvl>
    <w:lvl w:ilvl="1">
      <w:lvlJc w:val="left"/>
      <w:lvlText w:val="(%2)"/>
      <w:numFmt w:val="lowerLetter"/>
      <w:start w:val="1"/>
    </w:lvl>
  </w:abstractNum>
  <w:abstractNum w:abstractNumId="112">
    <w:nsid w:val="2E8A6394"/>
    <w:multiLevelType w:val="hybridMultilevel"/>
    <w:lvl w:ilvl="0">
      <w:lvlJc w:val="left"/>
      <w:lvlText w:val="(%1)"/>
      <w:numFmt w:val="lowerLetter"/>
      <w:start w:val="3"/>
    </w:lvl>
    <w:lvl w:ilvl="1">
      <w:lvlJc w:val="left"/>
      <w:lvlText w:val="(%2)"/>
      <w:numFmt w:val="lowerLetter"/>
      <w:start w:val="4"/>
    </w:lvl>
  </w:abstractNum>
  <w:abstractNum w:abstractNumId="113">
    <w:nsid w:val="24E60401"/>
    <w:multiLevelType w:val="hybridMultilevel"/>
    <w:lvl w:ilvl="0">
      <w:lvlJc w:val="left"/>
      <w:lvlText w:val="%1"/>
      <w:numFmt w:val="lowerLetter"/>
      <w:start w:val="1"/>
    </w:lvl>
    <w:lvl w:ilvl="1">
      <w:lvlJc w:val="left"/>
      <w:lvlText w:val="(%2)"/>
      <w:numFmt w:val="lowerLetter"/>
      <w:start w:val="1"/>
    </w:lvl>
  </w:abstractNum>
  <w:abstractNum w:abstractNumId="114">
    <w:nsid w:val="2A6AD9BE"/>
    <w:multiLevelType w:val="hybridMultilevel"/>
    <w:lvl w:ilvl="0">
      <w:lvlJc w:val="left"/>
      <w:lvlText w:val="(%1)"/>
      <w:numFmt w:val="lowerLetter"/>
      <w:start w:val="3"/>
    </w:lvl>
    <w:lvl w:ilvl="1">
      <w:lvlJc w:val="left"/>
      <w:lvlText w:val="(%2)"/>
      <w:numFmt w:val="lowerLetter"/>
      <w:start w:val="4"/>
    </w:lvl>
  </w:abstractNum>
  <w:abstractNum w:abstractNumId="115">
    <w:nsid w:val="BAAC1B4"/>
    <w:multiLevelType w:val="hybridMultilevel"/>
    <w:lvl w:ilvl="0">
      <w:lvlJc w:val="left"/>
      <w:lvlText w:val="%1"/>
      <w:numFmt w:val="lowerLetter"/>
      <w:start w:val="1"/>
    </w:lvl>
    <w:lvl w:ilvl="1">
      <w:lvlJc w:val="left"/>
      <w:lvlText w:val="(%2)"/>
      <w:numFmt w:val="lowerLetter"/>
      <w:start w:val="5"/>
    </w:lvl>
  </w:abstractNum>
  <w:abstractNum w:abstractNumId="116">
    <w:nsid w:val="36B2ACBC"/>
    <w:multiLevelType w:val="hybridMultilevel"/>
    <w:lvl w:ilvl="0">
      <w:lvlJc w:val="left"/>
      <w:lvlText w:val="(%1)"/>
      <w:numFmt w:val="lowerLetter"/>
      <w:start w:val="6"/>
    </w:lvl>
    <w:lvl w:ilvl="1">
      <w:lvlJc w:val="left"/>
      <w:lvlText w:val="(%2)"/>
      <w:numFmt w:val="lowerLetter"/>
      <w:start w:val="9"/>
    </w:lvl>
  </w:abstractNum>
  <w:abstractNum w:abstractNumId="117">
    <w:nsid w:val="779D8544"/>
    <w:multiLevelType w:val="hybridMultilevel"/>
    <w:lvl w:ilvl="0">
      <w:lvlJc w:val="left"/>
      <w:lvlText w:val="(%1)"/>
      <w:numFmt w:val="lowerRoman"/>
      <w:start w:val="2"/>
    </w:lvl>
  </w:abstractNum>
  <w:abstractNum w:abstractNumId="118">
    <w:nsid w:val="4AB26E78"/>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119">
    <w:nsid w:val="21FAA2FA"/>
    <w:multiLevelType w:val="hybridMultilevel"/>
    <w:lvl w:ilvl="0">
      <w:lvlJc w:val="left"/>
      <w:lvlText w:val="(%1)"/>
      <w:numFmt w:val="lowerLetter"/>
      <w:start w:val="11"/>
    </w:lvl>
    <w:lvl w:ilvl="1">
      <w:lvlJc w:val="left"/>
      <w:lvlText w:val="(%2)"/>
      <w:numFmt w:val="lowerLetter"/>
      <w:start w:val="11"/>
    </w:lvl>
    <w:lvl w:ilvl="2">
      <w:lvlJc w:val="left"/>
      <w:lvlText w:val="(%3)"/>
      <w:numFmt w:val="lowerRoman"/>
      <w:start w:val="1"/>
    </w:lvl>
  </w:abstractNum>
  <w:abstractNum w:abstractNumId="120">
    <w:nsid w:val="5451CF49"/>
    <w:multiLevelType w:val="hybridMultilevel"/>
    <w:lvl w:ilvl="0">
      <w:lvlJc w:val="left"/>
      <w:lvlText w:val="%1"/>
      <w:numFmt w:val="lowerLetter"/>
      <w:start w:val="1"/>
    </w:lvl>
    <w:lvl w:ilvl="1">
      <w:lvlJc w:val="left"/>
      <w:lvlText w:val="(%2)"/>
      <w:numFmt w:val="lowerLetter"/>
      <w:start w:val="15"/>
    </w:lvl>
  </w:abstractNum>
  <w:abstractNum w:abstractNumId="121">
    <w:nsid w:val="6181EF69"/>
    <w:multiLevelType w:val="hybridMultilevel"/>
    <w:lvl w:ilvl="0">
      <w:lvlJc w:val="left"/>
      <w:lvlText w:val="(%1)"/>
      <w:numFmt w:val="lowerLetter"/>
      <w:start w:val="16"/>
    </w:lvl>
    <w:lvl w:ilvl="1">
      <w:lvlJc w:val="left"/>
      <w:lvlText w:val="%2"/>
      <w:numFmt w:val="lowerLetter"/>
      <w:start w:val="1"/>
    </w:lvl>
  </w:abstractNum>
  <w:abstractNum w:abstractNumId="122">
    <w:nsid w:val="3E6400E6"/>
    <w:multiLevelType w:val="hybridMultilevel"/>
    <w:lvl w:ilvl="0">
      <w:lvlJc w:val="left"/>
      <w:lvlText w:val="(%1)"/>
      <w:numFmt w:val="lowerLetter"/>
      <w:start w:val="19"/>
    </w:lvl>
  </w:abstractNum>
  <w:abstractNum w:abstractNumId="123">
    <w:nsid w:val="14217E23"/>
    <w:multiLevelType w:val="hybridMultilevel"/>
    <w:lvl w:ilvl="0">
      <w:lvlJc w:val="left"/>
      <w:lvlText w:val="(%1)"/>
      <w:numFmt w:val="lowerRoman"/>
      <w:start w:val="1"/>
    </w:lvl>
  </w:abstractNum>
  <w:abstractNum w:abstractNumId="124">
    <w:nsid w:val="710757D0"/>
    <w:multiLevelType w:val="hybridMultilevel"/>
    <w:lvl w:ilvl="0">
      <w:lvlJc w:val="left"/>
      <w:lvlText w:val="%1"/>
      <w:numFmt w:val="lowerLetter"/>
      <w:start w:val="1"/>
    </w:lvl>
    <w:lvl w:ilvl="1">
      <w:lvlJc w:val="left"/>
      <w:lvlText w:val="(%2)"/>
      <w:numFmt w:val="lowerLetter"/>
      <w:start w:val="1"/>
    </w:lvl>
  </w:abstractNum>
  <w:abstractNum w:abstractNumId="125">
    <w:nsid w:val="5015CD1A"/>
    <w:multiLevelType w:val="hybridMultilevel"/>
    <w:lvl w:ilvl="0">
      <w:lvlJc w:val="left"/>
      <w:lvlText w:val="(%1)"/>
      <w:numFmt w:val="lowerLetter"/>
      <w:start w:val="2"/>
    </w:lvl>
    <w:lvl w:ilvl="1">
      <w:lvlJc w:val="left"/>
      <w:lvlText w:val="%2"/>
      <w:numFmt w:val="lowerLetter"/>
      <w:start w:val="1"/>
    </w:lvl>
  </w:abstractNum>
  <w:abstractNum w:abstractNumId="126">
    <w:nsid w:val="424479DA"/>
    <w:multiLevelType w:val="hybridMultilevel"/>
    <w:lvl w:ilvl="0">
      <w:lvlJc w:val="left"/>
      <w:lvlText w:val="(%1)"/>
      <w:numFmt w:val="lowerLetter"/>
      <w:start w:val="3"/>
    </w:lvl>
  </w:abstractNum>
  <w:abstractNum w:abstractNumId="127">
    <w:nsid w:val="1A9A9E69"/>
    <w:multiLevelType w:val="hybridMultilevel"/>
    <w:lvl w:ilvl="0">
      <w:lvlJc w:val="left"/>
      <w:lvlText w:val="(%1)"/>
      <w:numFmt w:val="lowerRoman"/>
      <w:start w:val="1"/>
    </w:lvl>
  </w:abstractNum>
  <w:abstractNum w:abstractNumId="128">
    <w:nsid w:val="475E256A"/>
    <w:multiLevelType w:val="hybridMultilevel"/>
    <w:lvl w:ilvl="0">
      <w:lvlJc w:val="left"/>
      <w:lvlText w:val="(%1)"/>
      <w:numFmt w:val="lowerLetter"/>
      <w:start w:val="1"/>
    </w:lvl>
  </w:abstractNum>
  <w:abstractNum w:abstractNumId="129">
    <w:nsid w:val="368DB37E"/>
    <w:multiLevelType w:val="hybridMultilevel"/>
    <w:lvl w:ilvl="0">
      <w:lvlJc w:val="left"/>
      <w:lvlText w:val="(%1)"/>
      <w:numFmt w:val="lowerLetter"/>
      <w:start w:val="2"/>
    </w:lvl>
  </w:abstractNum>
  <w:abstractNum w:abstractNumId="130">
    <w:nsid w:val="6A3B714C"/>
    <w:multiLevelType w:val="hybridMultilevel"/>
    <w:lvl w:ilvl="0">
      <w:lvlJc w:val="left"/>
      <w:lvlText w:val="(%1)"/>
      <w:numFmt w:val="lowerLetter"/>
      <w:start w:val="3"/>
    </w:lvl>
  </w:abstractNum>
  <w:abstractNum w:abstractNumId="131">
    <w:nsid w:val="327B517E"/>
    <w:multiLevelType w:val="hybridMultilevel"/>
    <w:lvl w:ilvl="0">
      <w:lvlJc w:val="left"/>
      <w:lvlText w:val="%1"/>
      <w:numFmt w:val="lowerLetter"/>
      <w:start w:val="1"/>
    </w:lvl>
    <w:lvl w:ilvl="1">
      <w:lvlJc w:val="left"/>
      <w:lvlText w:val="(%2)"/>
      <w:numFmt w:val="lowerLetter"/>
      <w:start w:val="1"/>
    </w:lvl>
  </w:abstractNum>
  <w:abstractNum w:abstractNumId="132">
    <w:nsid w:val="1F461B51"/>
    <w:multiLevelType w:val="hybridMultilevel"/>
    <w:lvl w:ilvl="0">
      <w:lvlJc w:val="left"/>
      <w:lvlText w:val="(%1)"/>
      <w:numFmt w:val="lowerLetter"/>
      <w:start w:val="2"/>
    </w:lvl>
    <w:lvl w:ilvl="1">
      <w:lvlJc w:val="left"/>
      <w:lvlText w:val="%2"/>
      <w:numFmt w:val="lowerLetter"/>
      <w:start w:val="1"/>
    </w:lvl>
  </w:abstractNum>
  <w:abstractNum w:abstractNumId="133">
    <w:nsid w:val="29BACF25"/>
    <w:multiLevelType w:val="hybridMultilevel"/>
    <w:lvl w:ilvl="0">
      <w:lvlJc w:val="left"/>
      <w:lvlText w:val="%1"/>
      <w:numFmt w:val="lowerLetter"/>
      <w:start w:val="1"/>
    </w:lvl>
    <w:lvl w:ilvl="1">
      <w:lvlJc w:val="left"/>
      <w:lvlText w:val="(%2)"/>
      <w:numFmt w:val="lowerLetter"/>
      <w:start w:val="4"/>
    </w:lvl>
  </w:abstractNum>
  <w:abstractNum w:abstractNumId="134">
    <w:nsid w:val="5D5BABB3"/>
    <w:multiLevelType w:val="hybridMultilevel"/>
    <w:lvl w:ilvl="0">
      <w:lvlJc w:val="left"/>
      <w:lvlText w:val="(%1)"/>
      <w:numFmt w:val="lowerLetter"/>
      <w:start w:val="9"/>
    </w:lvl>
    <w:lvl w:ilvl="1">
      <w:lvlJc w:val="left"/>
      <w:lvlText w:val="(%2)"/>
      <w:numFmt w:val="lowerLetter"/>
      <w:start w:val="7"/>
    </w:lvl>
  </w:abstractNum>
  <w:abstractNum w:abstractNumId="135">
    <w:nsid w:val="51BF6B48"/>
    <w:multiLevelType w:val="hybridMultilevel"/>
    <w:lvl w:ilvl="0">
      <w:lvlJc w:val="left"/>
      <w:lvlText w:val="(%1)"/>
      <w:numFmt w:val="lowerLetter"/>
      <w:start w:val="1"/>
    </w:lvl>
    <w:lvl w:ilvl="1">
      <w:lvlJc w:val="left"/>
      <w:lvlText w:val="(%2)"/>
      <w:numFmt w:val="lowerLetter"/>
      <w:start w:val="3"/>
    </w:lvl>
  </w:abstractNum>
  <w:abstractNum w:abstractNumId="136">
    <w:nsid w:val="7E0F6384"/>
    <w:multiLevelType w:val="hybridMultilevel"/>
    <w:lvl w:ilvl="0">
      <w:lvlJc w:val="left"/>
      <w:lvlText w:val="%1"/>
      <w:numFmt w:val="lowerLetter"/>
      <w:start w:val="1"/>
    </w:lvl>
    <w:lvl w:ilvl="1">
      <w:lvlJc w:val="left"/>
      <w:lvlText w:val="(%2)"/>
      <w:numFmt w:val="lowerLetter"/>
      <w:start w:val="4"/>
    </w:lvl>
  </w:abstractNum>
  <w:abstractNum w:abstractNumId="137">
    <w:nsid w:val="2B4B8B53"/>
    <w:multiLevelType w:val="hybridMultilevel"/>
    <w:lvl w:ilvl="0">
      <w:lvlJc w:val="left"/>
      <w:lvlText w:val="(%1)"/>
      <w:numFmt w:val="lowerLetter"/>
      <w:start w:val="5"/>
    </w:lvl>
    <w:lvl w:ilvl="1">
      <w:lvlJc w:val="left"/>
      <w:lvlText w:val="%2"/>
      <w:numFmt w:val="lowerLetter"/>
      <w:start w:val="1"/>
    </w:lvl>
  </w:abstractNum>
  <w:abstractNum w:abstractNumId="138">
    <w:nsid w:val="72E3413A"/>
    <w:multiLevelType w:val="hybridMultilevel"/>
    <w:lvl w:ilvl="0">
      <w:lvlJc w:val="left"/>
      <w:lvlText w:val="(%1)"/>
      <w:numFmt w:val="lowerLetter"/>
      <w:start w:val="35"/>
    </w:lvl>
    <w:lvl w:ilvl="1">
      <w:lvlJc w:val="left"/>
      <w:lvlText w:val="(%2)"/>
      <w:numFmt w:val="lowerLetter"/>
      <w:start w:val="2"/>
    </w:lvl>
  </w:abstractNum>
  <w:abstractNum w:abstractNumId="139">
    <w:nsid w:val="116AE494"/>
    <w:multiLevelType w:val="hybridMultilevel"/>
    <w:lvl w:ilvl="0">
      <w:lvlJc w:val="left"/>
      <w:lvlText w:val="(%1)"/>
      <w:numFmt w:val="lowerLetter"/>
      <w:start w:val="6"/>
    </w:lvl>
  </w:abstractNum>
  <w:abstractNum w:abstractNumId="140">
    <w:nsid w:val="3494B2FB"/>
    <w:multiLevelType w:val="hybridMultilevel"/>
    <w:lvl w:ilvl="0">
      <w:lvlJc w:val="left"/>
      <w:lvlText w:val="(%1)"/>
      <w:numFmt w:val="lowerLetter"/>
      <w:start w:val="1"/>
    </w:lvl>
  </w:abstractNum>
  <w:abstractNum w:abstractNumId="141">
    <w:nsid w:val="B13A31"/>
    <w:multiLevelType w:val="hybridMultilevel"/>
    <w:lvl w:ilvl="0">
      <w:lvlJc w:val="left"/>
      <w:lvlText w:val="(%1)"/>
      <w:numFmt w:val="lowerLetter"/>
      <w:start w:val="1"/>
    </w:lvl>
  </w:abstractNum>
  <w:abstractNum w:abstractNumId="142">
    <w:nsid w:val="64429599"/>
    <w:multiLevelType w:val="hybridMultilevel"/>
    <w:lvl w:ilvl="0">
      <w:lvlJc w:val="left"/>
      <w:lvlText w:val="(%1)"/>
      <w:numFmt w:val="lowerLetter"/>
      <w:start w:val="2"/>
    </w:lvl>
    <w:lvl w:ilvl="1">
      <w:lvlJc w:val="left"/>
      <w:lvlText w:val="(%2)"/>
      <w:numFmt w:val="lowerRoman"/>
      <w:start w:val="1"/>
    </w:lvl>
  </w:abstractNum>
  <w:abstractNum w:abstractNumId="143">
    <w:nsid w:val="631F1690"/>
    <w:multiLevelType w:val="hybridMultilevel"/>
    <w:lvl w:ilvl="0">
      <w:lvlJc w:val="left"/>
      <w:lvlText w:val="(%1)"/>
      <w:numFmt w:val="lowerLetter"/>
      <w:start w:val="2"/>
    </w:lvl>
  </w:abstractNum>
  <w:abstractNum w:abstractNumId="144">
    <w:nsid w:val="25973E32"/>
    <w:multiLevelType w:val="hybridMultilevel"/>
    <w:lvl w:ilvl="0">
      <w:lvlJc w:val="left"/>
      <w:lvlText w:val="(%1)"/>
      <w:numFmt w:val="lowerLetter"/>
      <w:start w:val="1"/>
    </w:lvl>
  </w:abstractNum>
  <w:abstractNum w:abstractNumId="145">
    <w:nsid w:val="EAD6F57"/>
    <w:multiLevelType w:val="hybridMultilevel"/>
    <w:lvl w:ilvl="0">
      <w:lvlJc w:val="left"/>
      <w:lvlText w:val="%1"/>
      <w:numFmt w:val="lowerLetter"/>
      <w:start w:val="1"/>
    </w:lvl>
    <w:lvl w:ilvl="1">
      <w:lvlJc w:val="left"/>
      <w:lvlText w:val="(%2)"/>
      <w:numFmt w:val="lowerLetter"/>
      <w:start w:val="1"/>
    </w:lvl>
  </w:abstractNum>
  <w:abstractNum w:abstractNumId="146">
    <w:nsid w:val="6EC9D844"/>
    <w:multiLevelType w:val="hybridMultilevel"/>
    <w:lvl w:ilvl="0">
      <w:lvlJc w:val="left"/>
      <w:lvlText w:val="(%1)"/>
      <w:numFmt w:val="lowerLetter"/>
      <w:start w:val="1"/>
    </w:lvl>
    <w:lvl w:ilvl="1">
      <w:lvlJc w:val="left"/>
      <w:lvlText w:val="(%2)"/>
      <w:numFmt w:val="lowerLetter"/>
      <w:start w:val="3"/>
    </w:lvl>
  </w:abstractNum>
  <w:abstractNum w:abstractNumId="147">
    <w:nsid w:val="5C49EAEE"/>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148">
    <w:nsid w:val="64AF49B"/>
    <w:multiLevelType w:val="hybridMultilevel"/>
    <w:lvl w:ilvl="0">
      <w:lvlJc w:val="left"/>
      <w:lvlText w:val="(%1)"/>
      <w:numFmt w:val="lowerLetter"/>
      <w:start w:val="61"/>
    </w:lvl>
    <w:lvl w:ilvl="1">
      <w:lvlJc w:val="left"/>
      <w:lvlText w:val="(%2)"/>
      <w:numFmt w:val="lowerLetter"/>
      <w:start w:val="10"/>
    </w:lvl>
    <w:lvl w:ilvl="2">
      <w:lvlJc w:val="left"/>
      <w:lvlText w:val="(%3)"/>
      <w:numFmt w:val="lowerLetter"/>
      <w:start w:val="13"/>
    </w:lvl>
  </w:abstractNum>
  <w:abstractNum w:abstractNumId="149">
    <w:nsid w:val="397C46BC"/>
    <w:multiLevelType w:val="hybridMultilevel"/>
    <w:lvl w:ilvl="0">
      <w:lvlJc w:val="left"/>
      <w:lvlText w:val="(%1)"/>
      <w:numFmt w:val="lowerLetter"/>
      <w:start w:val="14"/>
    </w:lvl>
  </w:abstractNum>
  <w:abstractNum w:abstractNumId="150">
    <w:nsid w:val="7E448DE9"/>
    <w:multiLevelType w:val="hybridMultilevel"/>
    <w:lvl w:ilvl="0">
      <w:lvlJc w:val="left"/>
      <w:lvlText w:val="(%1)"/>
      <w:numFmt w:val="lowerLetter"/>
      <w:start w:val="17"/>
    </w:lvl>
  </w:abstractNum>
  <w:abstractNum w:abstractNumId="151">
    <w:nsid w:val="5A9CC3E5"/>
    <w:multiLevelType w:val="hybridMultilevel"/>
    <w:lvl w:ilvl="0">
      <w:lvlJc w:val="left"/>
      <w:lvlText w:val="(%1)"/>
      <w:numFmt w:val="lowerLetter"/>
      <w:start w:val="1"/>
    </w:lvl>
  </w:abstractNum>
  <w:abstractNum w:abstractNumId="152">
    <w:nsid w:val="1AFE3625"/>
    <w:multiLevelType w:val="hybridMultilevel"/>
    <w:lvl w:ilvl="0">
      <w:lvlJc w:val="left"/>
      <w:lvlText w:val="(%1)"/>
      <w:numFmt w:val="lowerLetter"/>
      <w:start w:val="3"/>
    </w:lvl>
    <w:lvl w:ilvl="1">
      <w:lvlJc w:val="left"/>
      <w:lvlText w:val="(%2)"/>
      <w:numFmt w:val="lowerRoman"/>
      <w:start w:val="1"/>
    </w:lvl>
  </w:abstractNum>
  <w:abstractNum w:abstractNumId="153">
    <w:nsid w:val="3CA88ECF"/>
    <w:multiLevelType w:val="hybridMultilevel"/>
    <w:lvl w:ilvl="0">
      <w:lvlJc w:val="left"/>
      <w:lvlText w:val="(%1)"/>
      <w:numFmt w:val="lowerLetter"/>
      <w:start w:val="4"/>
    </w:lvl>
  </w:abstractNum>
  <w:abstractNum w:abstractNumId="154">
    <w:nsid w:val="6EBE4208"/>
    <w:multiLevelType w:val="hybridMultilevel"/>
    <w:lvl w:ilvl="0">
      <w:lvlJc w:val="left"/>
      <w:lvlText w:val="(%1)"/>
      <w:numFmt w:val="lowerLetter"/>
      <w:start w:val="5"/>
    </w:lvl>
  </w:abstractNum>
  <w:abstractNum w:abstractNumId="155">
    <w:nsid w:val="C058DF5"/>
    <w:multiLevelType w:val="hybridMultilevel"/>
    <w:lvl w:ilvl="0">
      <w:lvlJc w:val="left"/>
      <w:lvlText w:val="(%1)"/>
      <w:numFmt w:val="lowerLetter"/>
      <w:start w:val="6"/>
    </w:lvl>
    <w:lvl w:ilvl="1">
      <w:lvlJc w:val="left"/>
      <w:lvlText w:val="(%2)"/>
      <w:numFmt w:val="lowerRoman"/>
      <w:start w:val="3"/>
    </w:lvl>
  </w:abstractNum>
  <w:abstractNum w:abstractNumId="156">
    <w:nsid w:val="CBE5BE9"/>
    <w:multiLevelType w:val="hybridMultilevel"/>
    <w:lvl w:ilvl="0">
      <w:lvlJc w:val="left"/>
      <w:lvlText w:val="(%1)"/>
      <w:numFmt w:val="lowerLetter"/>
      <w:start w:val="2"/>
    </w:lvl>
  </w:abstractNum>
  <w:abstractNum w:abstractNumId="157">
    <w:nsid w:val="3102BBE2"/>
    <w:multiLevelType w:val="hybridMultilevel"/>
    <w:lvl w:ilvl="0">
      <w:lvlJc w:val="left"/>
      <w:lvlText w:val="(%1)"/>
      <w:numFmt w:val="lowerLetter"/>
      <w:start w:val="3"/>
    </w:lvl>
  </w:abstractNum>
  <w:abstractNum w:abstractNumId="158">
    <w:nsid w:val="26A02C5E"/>
    <w:multiLevelType w:val="hybridMultilevel"/>
    <w:lvl w:ilvl="0">
      <w:lvlJc w:val="left"/>
      <w:lvlText w:val="(%1)"/>
      <w:numFmt w:val="lowerLetter"/>
      <w:start w:val="2"/>
    </w:lvl>
  </w:abstractNum>
  <w:abstractNum w:abstractNumId="159">
    <w:nsid w:val="541C8153"/>
    <w:multiLevelType w:val="hybridMultilevel"/>
    <w:lvl w:ilvl="0">
      <w:lvlJc w:val="left"/>
      <w:lvlText w:val="(%1)"/>
      <w:numFmt w:val="lowerLetter"/>
      <w:start w:val="4"/>
    </w:lvl>
  </w:abstractNum>
  <w:abstractNum w:abstractNumId="160">
    <w:nsid w:val="67906F60"/>
    <w:multiLevelType w:val="hybridMultilevel"/>
    <w:lvl w:ilvl="0">
      <w:lvlJc w:val="left"/>
      <w:lvlText w:val="(%1)"/>
      <w:numFmt w:val="lowerLetter"/>
      <w:start w:val="1"/>
    </w:lvl>
  </w:abstractNum>
  <w:abstractNum w:abstractNumId="161">
    <w:nsid w:val="10DB9DAA"/>
    <w:multiLevelType w:val="hybridMultilevel"/>
    <w:lvl w:ilvl="0">
      <w:lvlJc w:val="left"/>
      <w:lvlText w:val="(%1)"/>
      <w:numFmt w:val="lowerLetter"/>
      <w:start w:val="2"/>
    </w:lvl>
  </w:abstractNum>
  <w:abstractNum w:abstractNumId="162">
    <w:nsid w:val="697D2D2"/>
    <w:multiLevelType w:val="hybridMultilevel"/>
    <w:lvl w:ilvl="0">
      <w:lvlJc w:val="left"/>
      <w:lvlText w:val="(%1)"/>
      <w:numFmt w:val="lowerLetter"/>
      <w:start w:val="1"/>
    </w:lvl>
  </w:abstractNum>
  <w:abstractNum w:abstractNumId="163">
    <w:nsid w:val="6D68AB2"/>
    <w:multiLevelType w:val="hybridMultilevel"/>
    <w:lvl w:ilvl="0">
      <w:lvlJc w:val="left"/>
      <w:lvlText w:val="(%1)"/>
      <w:numFmt w:val="upperLetter"/>
      <w:start w:val="2"/>
    </w:lvl>
  </w:abstractNum>
  <w:abstractNum w:abstractNumId="164">
    <w:nsid w:val="3A966CD0"/>
    <w:multiLevelType w:val="hybridMultilevel"/>
    <w:lvl w:ilvl="0">
      <w:lvlJc w:val="left"/>
      <w:lvlText w:val="(%1)"/>
      <w:numFmt w:val="lowerLetter"/>
      <w:start w:val="1"/>
    </w:lvl>
  </w:abstractNum>
  <w:abstractNum w:abstractNumId="165">
    <w:nsid w:val="63F37E85"/>
    <w:multiLevelType w:val="hybridMultilevel"/>
    <w:lvl w:ilvl="0">
      <w:lvlJc w:val="left"/>
      <w:lvlText w:val="(%1)"/>
      <w:numFmt w:val="lowerRoman"/>
      <w:start w:val="5"/>
    </w:lvl>
  </w:abstractNum>
  <w:abstractNum w:abstractNumId="166">
    <w:nsid w:val="5895F5FA"/>
    <w:multiLevelType w:val="hybridMultilevel"/>
    <w:lvl w:ilvl="0">
      <w:lvlJc w:val="left"/>
      <w:lvlText w:val="(%1)"/>
      <w:numFmt w:val="lowerLetter"/>
      <w:start w:val="1"/>
    </w:lvl>
    <w:lvl w:ilvl="1">
      <w:lvlJc w:val="left"/>
      <w:lvlText w:val="(%2)"/>
      <w:numFmt w:val="lowerRoman"/>
      <w:start w:val="1"/>
    </w:lvl>
  </w:abstractNum>
  <w:abstractNum w:abstractNumId="167">
    <w:nsid w:val="38A5D054"/>
    <w:multiLevelType w:val="hybridMultilevel"/>
    <w:lvl w:ilvl="0">
      <w:lvlJc w:val="left"/>
      <w:lvlText w:val="%1"/>
      <w:numFmt w:val="lowerLetter"/>
      <w:start w:val="1"/>
    </w:lvl>
    <w:lvl w:ilvl="1">
      <w:lvlJc w:val="left"/>
      <w:lvlText w:val="(%2)"/>
      <w:numFmt w:val="lowerRoman"/>
      <w:start w:val="3"/>
    </w:lvl>
  </w:abstractNum>
  <w:abstractNum w:abstractNumId="168">
    <w:nsid w:val="F3F09D8"/>
    <w:multiLevelType w:val="hybridMultilevel"/>
    <w:lvl w:ilvl="0">
      <w:lvlJc w:val="left"/>
      <w:lvlText w:val="(%1)"/>
      <w:numFmt w:val="lowerLetter"/>
      <w:start w:val="2"/>
    </w:lvl>
    <w:lvl w:ilvl="1">
      <w:lvlJc w:val="left"/>
      <w:lvlText w:val="(%2)"/>
      <w:numFmt w:val="lowerRoman"/>
      <w:start w:val="1"/>
    </w:lvl>
  </w:abstractNum>
  <w:abstractNum w:abstractNumId="169">
    <w:nsid w:val="4B793735"/>
    <w:multiLevelType w:val="hybridMultilevel"/>
    <w:lvl w:ilvl="0">
      <w:lvlJc w:val="left"/>
      <w:lvlText w:val="(%1)"/>
      <w:numFmt w:val="lowerLetter"/>
      <w:start w:val="3"/>
    </w:lvl>
  </w:abstractNum>
  <w:abstractNum w:abstractNumId="170">
    <w:nsid w:val="4A10B4E8"/>
    <w:multiLevelType w:val="hybridMultilevel"/>
    <w:lvl w:ilvl="0">
      <w:lvlJc w:val="left"/>
      <w:lvlText w:val="(%1)"/>
      <w:numFmt w:val="lowerRoman"/>
      <w:start w:val="2"/>
    </w:lvl>
  </w:abstractNum>
  <w:abstractNum w:abstractNumId="171">
    <w:nsid w:val="43D3BCD4"/>
    <w:multiLevelType w:val="hybridMultilevel"/>
    <w:lvl w:ilvl="0">
      <w:lvlJc w:val="left"/>
      <w:lvlText w:val="%1"/>
      <w:numFmt w:val="lowerLetter"/>
      <w:start w:val="1"/>
    </w:lvl>
    <w:lvl w:ilvl="1">
      <w:lvlJc w:val="left"/>
      <w:lvlText w:val="(%2)"/>
      <w:numFmt w:val="lowerLetter"/>
      <w:start w:val="2"/>
    </w:lvl>
  </w:abstractNum>
  <w:abstractNum w:abstractNumId="172">
    <w:nsid w:val="4C2A7166"/>
    <w:multiLevelType w:val="hybridMultilevel"/>
    <w:lvl w:ilvl="0">
      <w:lvlJc w:val="left"/>
      <w:lvlText w:val="(%1)"/>
      <w:numFmt w:val="lowerLetter"/>
      <w:start w:val="35"/>
    </w:lvl>
    <w:lvl w:ilvl="1">
      <w:lvlJc w:val="left"/>
      <w:lvlText w:val="(%2)"/>
      <w:numFmt w:val="lowerLetter"/>
      <w:start w:val="3"/>
    </w:lvl>
  </w:abstractNum>
  <w:abstractNum w:abstractNumId="173">
    <w:nsid w:val="2E534A82"/>
    <w:multiLevelType w:val="hybridMultilevel"/>
    <w:lvl w:ilvl="0">
      <w:lvlJc w:val="left"/>
      <w:lvlText w:val="(%1)"/>
      <w:numFmt w:val="lowerLetter"/>
      <w:start w:val="2"/>
    </w:lvl>
  </w:abstractNum>
  <w:abstractNum w:abstractNumId="174">
    <w:nsid w:val="26F2D364"/>
    <w:multiLevelType w:val="hybridMultilevel"/>
    <w:lvl w:ilvl="0">
      <w:lvlJc w:val="left"/>
      <w:lvlText w:val="(%1)"/>
      <w:numFmt w:val="lowerLetter"/>
      <w:start w:val="3"/>
    </w:lvl>
  </w:abstractNum>
  <w:abstractNum w:abstractNumId="175">
    <w:nsid w:val="71C1AF98"/>
    <w:multiLevelType w:val="hybridMultilevel"/>
    <w:lvl w:ilvl="0">
      <w:lvlJc w:val="left"/>
      <w:lvlText w:val="(%1)"/>
      <w:numFmt w:val="lowerLetter"/>
      <w:start w:val="4"/>
    </w:lvl>
  </w:abstractNum>
  <w:abstractNum w:abstractNumId="176">
    <w:nsid w:val="3D00B9D9"/>
    <w:multiLevelType w:val="hybridMultilevel"/>
    <w:lvl w:ilvl="0">
      <w:lvlJc w:val="left"/>
      <w:lvlText w:val="(%1)"/>
      <w:numFmt w:val="lowerRoman"/>
      <w:start w:val="2"/>
    </w:lvl>
  </w:abstractNum>
  <w:abstractNum w:abstractNumId="177">
    <w:nsid w:val="15BCABA8"/>
    <w:multiLevelType w:val="hybridMultilevel"/>
    <w:lvl w:ilvl="0">
      <w:lvlJc w:val="left"/>
      <w:lvlText w:val="(%1)"/>
      <w:numFmt w:val="lowerLetter"/>
      <w:start w:val="2"/>
    </w:lvl>
  </w:abstractNum>
  <w:abstractNum w:abstractNumId="178">
    <w:nsid w:val="4E0B9A87"/>
    <w:multiLevelType w:val="hybridMultilevel"/>
    <w:lvl w:ilvl="0">
      <w:lvlJc w:val="left"/>
      <w:lvlText w:val="(%1)"/>
      <w:numFmt w:val="lowerLetter"/>
      <w:start w:val="4"/>
    </w:lvl>
  </w:abstractNum>
  <w:abstractNum w:abstractNumId="179">
    <w:nsid w:val="434BAE75"/>
    <w:multiLevelType w:val="hybridMultilevel"/>
    <w:lvl w:ilvl="0">
      <w:lvlJc w:val="left"/>
      <w:lvlText w:val="%1"/>
      <w:numFmt w:val="lowerRoman"/>
      <w:start w:val="1"/>
    </w:lvl>
    <w:lvl w:ilvl="1">
      <w:lvlJc w:val="left"/>
      <w:lvlText w:val="(%2)"/>
      <w:numFmt w:val="upperLetter"/>
      <w:start w:val="1"/>
    </w:lvl>
  </w:abstractNum>
  <w:abstractNum w:abstractNumId="180">
    <w:nsid w:val="4F38F265"/>
    <w:multiLevelType w:val="hybridMultilevel"/>
    <w:lvl w:ilvl="0">
      <w:lvlJc w:val="left"/>
      <w:lvlText w:val="(%1)"/>
      <w:numFmt w:val="lowerRoman"/>
      <w:start w:val="2"/>
    </w:lvl>
    <w:lvl w:ilvl="1">
      <w:lvlJc w:val="left"/>
      <w:lvlText w:val="(%2)"/>
      <w:numFmt w:val="upperLetter"/>
      <w:start w:val="1"/>
    </w:lvl>
  </w:abstractNum>
  <w:abstractNum w:abstractNumId="181">
    <w:nsid w:val="4C502870"/>
    <w:multiLevelType w:val="hybridMultilevel"/>
    <w:lvl w:ilvl="0">
      <w:lvlJc w:val="left"/>
      <w:lvlText w:val="(%1)"/>
      <w:numFmt w:val="upperLetter"/>
      <w:start w:val="2"/>
    </w:lvl>
  </w:abstractNum>
  <w:abstractNum w:abstractNumId="182">
    <w:nsid w:val="1DE8725A"/>
    <w:multiLevelType w:val="hybridMultilevel"/>
    <w:lvl w:ilvl="0">
      <w:lvlJc w:val="left"/>
      <w:lvlText w:val="(%1)"/>
      <w:numFmt w:val="lowerRoman"/>
      <w:start w:val="3"/>
    </w:lvl>
  </w:abstractNum>
  <w:abstractNum w:abstractNumId="183">
    <w:nsid w:val="6A37288A"/>
    <w:multiLevelType w:val="hybridMultilevel"/>
    <w:lvl w:ilvl="0">
      <w:lvlJc w:val="left"/>
      <w:lvlText w:val="(%1)"/>
      <w:numFmt w:val="lowerRoman"/>
      <w:start w:val="5"/>
    </w:lvl>
  </w:abstractNum>
  <w:abstractNum w:abstractNumId="184">
    <w:nsid w:val="8F8B73F"/>
    <w:multiLevelType w:val="hybridMultilevel"/>
    <w:lvl w:ilvl="0">
      <w:lvlJc w:val="left"/>
      <w:lvlText w:val="(%1)"/>
      <w:numFmt w:val="lowerLetter"/>
      <w:start w:val="3"/>
    </w:lvl>
  </w:abstractNum>
  <w:abstractNum w:abstractNumId="185">
    <w:nsid w:val="CA6B462"/>
    <w:multiLevelType w:val="hybridMultilevel"/>
    <w:lvl w:ilvl="0">
      <w:lvlJc w:val="left"/>
      <w:lvlText w:val="(%1)"/>
      <w:numFmt w:val="lowerLetter"/>
      <w:start w:val="4"/>
    </w:lvl>
  </w:abstractNum>
  <w:abstractNum w:abstractNumId="186">
    <w:nsid w:val="763CB680"/>
    <w:multiLevelType w:val="hybridMultilevel"/>
    <w:lvl w:ilvl="0">
      <w:lvlJc w:val="left"/>
      <w:lvlText w:val="(%1)"/>
      <w:numFmt w:val="lowerLetter"/>
      <w:start w:val="2"/>
    </w:lvl>
  </w:abstractNum>
  <w:abstractNum w:abstractNumId="187">
    <w:nsid w:val="15B71329"/>
    <w:multiLevelType w:val="hybridMultilevel"/>
    <w:lvl w:ilvl="0">
      <w:lvlJc w:val="left"/>
      <w:lvlText w:val="(%1)"/>
      <w:numFmt w:val="lowerLetter"/>
      <w:start w:val="2"/>
    </w:lvl>
  </w:abstractNum>
  <w:abstractNum w:abstractNumId="188">
    <w:nsid w:val="3DA97044"/>
    <w:multiLevelType w:val="hybridMultilevel"/>
    <w:lvl w:ilvl="0">
      <w:lvlJc w:val="left"/>
      <w:lvlText w:val="(%1)"/>
      <w:numFmt w:val="upperLetter"/>
      <w:start w:val="2"/>
    </w:lvl>
  </w:abstractNum>
  <w:abstractNum w:abstractNumId="189">
    <w:nsid w:val="1CDCE2DE"/>
    <w:multiLevelType w:val="hybridMultilevel"/>
    <w:lvl w:ilvl="0">
      <w:lvlJc w:val="left"/>
      <w:lvlText w:val="(%1)"/>
      <w:numFmt w:val="lowerLetter"/>
      <w:start w:val="1"/>
    </w:lvl>
    <w:lvl w:ilvl="1">
      <w:lvlJc w:val="left"/>
      <w:lvlText w:val="(%2)"/>
      <w:numFmt w:val="lowerRoman"/>
      <w:start w:val="1"/>
    </w:lvl>
  </w:abstractNum>
  <w:abstractNum w:abstractNumId="190">
    <w:nsid w:val="69D3947C"/>
    <w:multiLevelType w:val="hybridMultilevel"/>
    <w:lvl w:ilvl="0">
      <w:lvlJc w:val="left"/>
      <w:lvlText w:val="(%1)"/>
      <w:numFmt w:val="lowerLetter"/>
      <w:start w:val="2"/>
    </w:lvl>
  </w:abstractNum>
  <w:abstractNum w:abstractNumId="191">
    <w:nsid w:val="2539DFA5"/>
    <w:multiLevelType w:val="hybridMultilevel"/>
    <w:lvl w:ilvl="0">
      <w:lvlJc w:val="left"/>
      <w:lvlText w:val="(%1)"/>
      <w:numFmt w:val="lowerLetter"/>
      <w:start w:val="1"/>
    </w:lvl>
  </w:abstractNum>
  <w:abstractNum w:abstractNumId="192">
    <w:nsid w:val="2DB88089"/>
    <w:multiLevelType w:val="hybridMultilevel"/>
    <w:lvl w:ilvl="0">
      <w:lvlJc w:val="left"/>
      <w:lvlText w:val="(%1)"/>
      <w:numFmt w:val="lowerLetter"/>
      <w:start w:val="5"/>
    </w:lvl>
  </w:abstractNum>
  <w:abstractNum w:abstractNumId="193">
    <w:nsid w:val="706B674E"/>
    <w:multiLevelType w:val="hybridMultilevel"/>
    <w:lvl w:ilvl="0">
      <w:lvlJc w:val="left"/>
      <w:lvlText w:val="(%1)"/>
      <w:numFmt w:val="lowerRoman"/>
      <w:start w:val="1"/>
    </w:lvl>
  </w:abstractNum>
  <w:abstractNum w:abstractNumId="194">
    <w:nsid w:val="2C106A57"/>
    <w:multiLevelType w:val="hybridMultilevel"/>
    <w:lvl w:ilvl="0">
      <w:lvlJc w:val="left"/>
      <w:lvlText w:val="%1."/>
      <w:numFmt w:val="decimal"/>
      <w:start w:val="1"/>
    </w:lvl>
  </w:abstractNum>
  <w:abstractNum w:abstractNumId="195">
    <w:nsid w:val="684EED59"/>
    <w:multiLevelType w:val="hybridMultilevel"/>
    <w:lvl w:ilvl="0">
      <w:lvlJc w:val="left"/>
      <w:lvlText w:val="%1."/>
      <w:numFmt w:val="decimal"/>
      <w:start w:val="2"/>
    </w:lvl>
    <w:lvl w:ilvl="1">
      <w:lvlJc w:val="left"/>
      <w:lvlText w:val="(%2)"/>
      <w:numFmt w:val="lowerLetter"/>
      <w:start w:val="1"/>
    </w:lvl>
  </w:abstractNum>
  <w:abstractNum w:abstractNumId="196">
    <w:nsid w:val="545EE5D3"/>
    <w:multiLevelType w:val="hybridMultilevel"/>
    <w:lvl w:ilvl="0">
      <w:lvlJc w:val="left"/>
      <w:lvlText w:val="%1"/>
      <w:numFmt w:val="decimal"/>
      <w:start w:val="1"/>
    </w:lvl>
    <w:lvl w:ilvl="1">
      <w:lvlJc w:val="left"/>
      <w:lvlText w:val="(%2)"/>
      <w:numFmt w:val="lowerLetter"/>
      <w:start w:val="3"/>
    </w:lvl>
  </w:abstractNum>
  <w:abstractNum w:abstractNumId="197">
    <w:nsid w:val="4A66051"/>
    <w:multiLevelType w:val="hybridMultilevel"/>
    <w:lvl w:ilvl="0">
      <w:lvlJc w:val="left"/>
      <w:lvlText w:val="%1."/>
      <w:numFmt w:val="decimal"/>
      <w:start w:val="9"/>
    </w:lvl>
    <w:lvl w:ilvl="1">
      <w:lvlJc w:val="left"/>
      <w:lvlText w:val="(%2)"/>
      <w:numFmt w:val="lowerLetter"/>
      <w:start w:val="1"/>
    </w:lvl>
  </w:abstractNum>
  <w:abstractNum w:abstractNumId="198">
    <w:nsid w:val="20F4BDAD"/>
    <w:multiLevelType w:val="hybridMultilevel"/>
    <w:lvl w:ilvl="0">
      <w:lvlJc w:val="left"/>
      <w:lvlText w:val="(%1)"/>
      <w:numFmt w:val="lowerLetter"/>
      <w:start w:val="3"/>
    </w:lvl>
  </w:abstractNum>
  <w:abstractNum w:abstractNumId="199">
    <w:nsid w:val="639DEFAC"/>
    <w:multiLevelType w:val="hybridMultilevel"/>
    <w:lvl w:ilvl="0">
      <w:lvlJc w:val="left"/>
      <w:lvlText w:val="(%1)"/>
      <w:numFmt w:val="lowerLetter"/>
      <w:start w:val="1"/>
    </w:lvl>
  </w:abstractNum>
  <w:abstractNum w:abstractNumId="200">
    <w:nsid w:val="501F9786"/>
    <w:multiLevelType w:val="hybridMultilevel"/>
    <w:lvl w:ilvl="0">
      <w:lvlJc w:val="left"/>
      <w:lvlText w:val="(%1)"/>
      <w:numFmt w:val="lowerLetter"/>
      <w:start w:val="5"/>
    </w:lvl>
  </w:abstractNum>
  <w:abstractNum w:abstractNumId="201">
    <w:nsid w:val="6B057295"/>
    <w:multiLevelType w:val="hybridMultilevel"/>
    <w:lvl w:ilvl="0">
      <w:lvlJc w:val="left"/>
      <w:lvlText w:val="(%1)"/>
      <w:numFmt w:val="lowerLetter"/>
      <w:start w:val="1"/>
    </w:lvl>
  </w:abstractNum>
  <w:abstractNum w:abstractNumId="202">
    <w:nsid w:val="2771AC8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03">
    <w:nsid w:val="1C4A08EC"/>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204">
    <w:nsid w:val="1958BD17"/>
    <w:multiLevelType w:val="hybridMultilevel"/>
    <w:lvl w:ilvl="0">
      <w:lvlJc w:val="left"/>
      <w:lvlText w:val="(%1)"/>
      <w:numFmt w:val="lowerLetter"/>
      <w:start w:val="1"/>
    </w:lvl>
  </w:abstractNum>
  <w:abstractNum w:abstractNumId="205">
    <w:nsid w:val="4E647FE4"/>
    <w:multiLevelType w:val="hybridMultilevel"/>
    <w:lvl w:ilvl="0">
      <w:lvlJc w:val="left"/>
      <w:lvlText w:val="(%1)"/>
      <w:numFmt w:val="lowerRoman"/>
      <w:start w:val="1"/>
    </w:lvl>
  </w:abstractNum>
  <w:abstractNum w:abstractNumId="206">
    <w:nsid w:val="E0BB885"/>
    <w:multiLevelType w:val="hybridMultilevel"/>
    <w:lvl w:ilvl="0">
      <w:lvlJc w:val="left"/>
      <w:lvlText w:val="(%1)"/>
      <w:numFmt w:val="lowerRoman"/>
      <w:start w:val="1"/>
    </w:lvl>
  </w:abstractNum>
  <w:abstractNum w:abstractNumId="207">
    <w:nsid w:val="565976F1"/>
    <w:multiLevelType w:val="hybridMultilevel"/>
    <w:lvl w:ilvl="0">
      <w:lvlJc w:val="left"/>
      <w:lvlText w:val="(%1)"/>
      <w:numFmt w:val="lowerLetter"/>
      <w:start w:val="5"/>
    </w:lvl>
  </w:abstractNum>
  <w:abstractNum w:abstractNumId="208">
    <w:nsid w:val="64212B8C"/>
    <w:multiLevelType w:val="hybridMultilevel"/>
    <w:lvl w:ilvl="0">
      <w:lvlJc w:val="left"/>
      <w:lvlText w:val="%1"/>
      <w:numFmt w:val="decimal"/>
      <w:start w:val="1"/>
    </w:lvl>
    <w:lvl w:ilvl="1">
      <w:lvlJc w:val="left"/>
      <w:lvlText w:val="(%2)"/>
      <w:numFmt w:val="lowerLetter"/>
      <w:start w:val="6"/>
    </w:lvl>
  </w:abstractNum>
  <w:abstractNum w:abstractNumId="209">
    <w:nsid w:val="5C17530C"/>
    <w:multiLevelType w:val="hybridMultilevel"/>
    <w:lvl w:ilvl="0">
      <w:lvlJc w:val="left"/>
      <w:lvlText w:val="%1."/>
      <w:numFmt w:val="decimal"/>
      <w:start w:val="1"/>
    </w:lvl>
    <w:lvl w:ilvl="1">
      <w:lvlJc w:val="left"/>
      <w:lvlText w:val="%2"/>
      <w:numFmt w:val="lowerLetter"/>
      <w:start w:val="1"/>
    </w:lvl>
  </w:abstractNum>
  <w:abstractNum w:abstractNumId="210">
    <w:nsid w:val="19A52566"/>
    <w:multiLevelType w:val="hybridMultilevel"/>
    <w:lvl w:ilvl="0">
      <w:lvlJc w:val="left"/>
      <w:lvlText w:val="(%1)"/>
      <w:numFmt w:val="lowerLetter"/>
      <w:start w:val="2"/>
    </w:lvl>
  </w:abstractNum>
  <w:abstractNum w:abstractNumId="211">
    <w:nsid w:val="335A1DF1"/>
    <w:multiLevelType w:val="hybridMultilevel"/>
    <w:lvl w:ilvl="0">
      <w:lvlJc w:val="left"/>
      <w:lvlText w:val="(%1)"/>
      <w:numFmt w:val="lowerLetter"/>
      <w:start w:val="3"/>
    </w:lvl>
  </w:abstractNum>
  <w:abstractNum w:abstractNumId="212">
    <w:nsid w:val="28677B7C"/>
    <w:multiLevelType w:val="hybridMultilevel"/>
    <w:lvl w:ilvl="0">
      <w:lvlJc w:val="left"/>
      <w:lvlText w:val="%1"/>
      <w:numFmt w:val="decimal"/>
      <w:start w:val="1"/>
    </w:lvl>
    <w:lvl w:ilvl="1">
      <w:lvlJc w:val="left"/>
      <w:lvlText w:val="(%2)"/>
      <w:numFmt w:val="lowerLetter"/>
      <w:start w:val="1"/>
    </w:lvl>
  </w:abstractNum>
  <w:abstractNum w:abstractNumId="213">
    <w:nsid w:val="378D97C0"/>
    <w:multiLevelType w:val="hybridMultilevel"/>
    <w:lvl w:ilvl="0">
      <w:lvlJc w:val="left"/>
      <w:lvlText w:val="%1."/>
      <w:numFmt w:val="decimal"/>
      <w:start w:val="1"/>
    </w:lvl>
    <w:lvl w:ilvl="1">
      <w:lvlJc w:val="left"/>
      <w:lvlText w:val="(%2)"/>
      <w:numFmt w:val="lowerLetter"/>
      <w:start w:val="1"/>
    </w:lvl>
  </w:abstractNum>
  <w:abstractNum w:abstractNumId="214">
    <w:nsid w:val="1D91467C"/>
    <w:multiLevelType w:val="hybridMultilevel"/>
    <w:lvl w:ilvl="0">
      <w:lvlJc w:val="left"/>
      <w:lvlText w:val="(%1)"/>
      <w:numFmt w:val="lowerRoman"/>
      <w:start w:val="1"/>
    </w:lvl>
  </w:abstractNum>
  <w:abstractNum w:abstractNumId="215">
    <w:nsid w:val="316032BB"/>
    <w:multiLevelType w:val="hybridMultilevel"/>
    <w:lvl w:ilvl="0">
      <w:lvlJc w:val="left"/>
      <w:lvlText w:val="(%1)"/>
      <w:numFmt w:val="lowerRoman"/>
      <w:start w:val="3"/>
    </w:lvl>
  </w:abstractNum>
  <w:abstractNum w:abstractNumId="216">
    <w:nsid w:val="44344C22"/>
    <w:multiLevelType w:val="hybridMultilevel"/>
    <w:lvl w:ilvl="0">
      <w:lvlJc w:val="left"/>
      <w:lvlText w:val="(%1)"/>
      <w:numFmt w:val="lowerLetter"/>
      <w:start w:val="2"/>
    </w:lvl>
  </w:abstractNum>
  <w:abstractNum w:abstractNumId="217">
    <w:nsid w:val="13CDFCFC"/>
    <w:multiLevelType w:val="hybridMultilevel"/>
    <w:lvl w:ilvl="0">
      <w:lvlJc w:val="left"/>
      <w:lvlText w:val="(%1)"/>
      <w:numFmt w:val="lowerLetter"/>
      <w:start w:val="7"/>
    </w:lvl>
  </w:abstractNum>
  <w:abstractNum w:abstractNumId="218">
    <w:nsid w:val="471745E4"/>
    <w:multiLevelType w:val="hybridMultilevel"/>
    <w:lvl w:ilvl="0">
      <w:lvlJc w:val="left"/>
      <w:lvlText w:val="(%1)"/>
      <w:numFmt w:val="lowerLetter"/>
      <w:start w:val="1"/>
    </w:lvl>
  </w:abstractNum>
  <w:abstractNum w:abstractNumId="219">
    <w:nsid w:val="1DDBC66"/>
    <w:multiLevelType w:val="hybridMultilevel"/>
    <w:lvl w:ilvl="0">
      <w:lvlJc w:val="left"/>
      <w:lvlText w:val="%1."/>
      <w:numFmt w:val="decimal"/>
      <w:start w:val="1"/>
    </w:lvl>
  </w:abstractNum>
  <w:abstractNum w:abstractNumId="220">
    <w:nsid w:val="30AADFDA"/>
    <w:multiLevelType w:val="hybridMultilevel"/>
    <w:lvl w:ilvl="0">
      <w:lvlJc w:val="left"/>
      <w:lvlText w:val="(%1)"/>
      <w:numFmt w:val="lowerLetter"/>
      <w:start w:val="1"/>
    </w:lvl>
  </w:abstractNum>
  <w:abstractNum w:abstractNumId="221">
    <w:nsid w:val="30EADA61"/>
    <w:multiLevelType w:val="hybridMultilevel"/>
    <w:lvl w:ilvl="0">
      <w:lvlJc w:val="left"/>
      <w:lvlText w:val="%1."/>
      <w:numFmt w:val="decimal"/>
      <w:start w:val="3"/>
    </w:lvl>
  </w:abstractNum>
  <w:abstractNum w:abstractNumId="222">
    <w:nsid w:val="27179C0B"/>
    <w:multiLevelType w:val="hybridMultilevel"/>
    <w:lvl w:ilvl="0">
      <w:lvlJc w:val="left"/>
      <w:lvlText w:val="%1."/>
      <w:numFmt w:val="decimal"/>
      <w:start w:val="4"/>
    </w:lvl>
  </w:abstractNum>
  <w:abstractNum w:abstractNumId="223">
    <w:nsid w:val="5E636063"/>
    <w:multiLevelType w:val="hybridMultilevel"/>
    <w:lvl w:ilvl="0">
      <w:lvlJc w:val="left"/>
      <w:lvlText w:val="%1."/>
      <w:numFmt w:val="decimal"/>
      <w:start w:val="1"/>
    </w:lvl>
    <w:lvl w:ilvl="1">
      <w:lvlJc w:val="left"/>
      <w:lvlText w:val="(%2)"/>
      <w:numFmt w:val="lowerLetter"/>
      <w:start w:val="1"/>
    </w:lvl>
  </w:abstractNum>
  <w:abstractNum w:abstractNumId="224">
    <w:nsid w:val="215641AF"/>
    <w:multiLevelType w:val="hybridMultilevel"/>
    <w:lvl w:ilvl="0">
      <w:lvlJc w:val="left"/>
      <w:lvlText w:val="%1."/>
      <w:numFmt w:val="decimal"/>
      <w:start w:val="3"/>
    </w:lvl>
  </w:abstractNum>
  <w:abstractNum w:abstractNumId="225">
    <w:nsid w:val="53280662"/>
    <w:multiLevelType w:val="hybridMultilevel"/>
    <w:lvl w:ilvl="0">
      <w:lvlJc w:val="left"/>
      <w:lvlText w:val="%1."/>
      <w:numFmt w:val="decimal"/>
      <w:start w:val="1"/>
    </w:lvl>
  </w:abstractNum>
  <w:abstractNum w:abstractNumId="226">
    <w:nsid w:val="46B24DBC"/>
    <w:multiLevelType w:val="hybridMultilevel"/>
    <w:lvl w:ilvl="0">
      <w:lvlJc w:val="left"/>
      <w:lvlText w:val="%1."/>
      <w:numFmt w:val="decimal"/>
      <w:start w:val="3"/>
    </w:lvl>
  </w:abstractNum>
  <w:abstractNum w:abstractNumId="227">
    <w:nsid w:val="75B52783"/>
    <w:multiLevelType w:val="hybridMultilevel"/>
    <w:lvl w:ilvl="0">
      <w:lvlJc w:val="left"/>
      <w:lvlText w:val="%1."/>
      <w:numFmt w:val="decimal"/>
      <w:start w:val="6"/>
    </w:lvl>
  </w:abstractNum>
  <w:abstractNum w:abstractNumId="228">
    <w:nsid w:val="57CE66B4"/>
    <w:multiLevelType w:val="hybridMultilevel"/>
    <w:lvl w:ilvl="0">
      <w:lvlJc w:val="left"/>
      <w:lvlText w:val="%1."/>
      <w:numFmt w:val="decimal"/>
      <w:start w:val="11"/>
    </w:lvl>
  </w:abstractNum>
  <w:abstractNum w:abstractNumId="229">
    <w:nsid w:val="67A70B69"/>
    <w:multiLevelType w:val="hybridMultilevel"/>
    <w:lvl w:ilvl="0">
      <w:lvlJc w:val="left"/>
      <w:lvlText w:val="%1."/>
      <w:numFmt w:val="decimal"/>
      <w:start w:val="18"/>
    </w:lvl>
  </w:abstractNum>
  <w:abstractNum w:abstractNumId="230">
    <w:nsid w:val="5953172F"/>
    <w:multiLevelType w:val="hybridMultilevel"/>
    <w:lvl w:ilvl="0">
      <w:lvlJc w:val="left"/>
      <w:lvlText w:val="%1."/>
      <w:numFmt w:val="decimal"/>
      <w:start w:val="1"/>
    </w:lvl>
    <w:lvl w:ilvl="1">
      <w:lvlJc w:val="left"/>
      <w:lvlText w:val="(%2)"/>
      <w:numFmt w:val="lowerLetter"/>
      <w:start w:val="1"/>
    </w:lvl>
  </w:abstractNum>
  <w:abstractNum w:abstractNumId="231">
    <w:nsid w:val="27EDFE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2019-12-28T19:29:42Z</dcterms:created>
  <dcterms:modified xsi:type="dcterms:W3CDTF">2019-12-28T19:29:42Z</dcterms:modified>
</cp:coreProperties>
</file>