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28,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9" w:lineRule="exact"/>
        <w:rPr>
          <w:sz w:val="24"/>
          <w:szCs w:val="24"/>
          <w:color w:val="auto"/>
        </w:rPr>
      </w:pPr>
    </w:p>
    <w:p>
      <w:pPr>
        <w:ind w:left="3080"/>
        <w:spacing w:after="0"/>
        <w:tabs>
          <w:tab w:leader="none" w:pos="70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 BRADLEY,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6320" w:type="dxa"/>
            <w:vAlign w:val="bottom"/>
          </w:tcPr>
          <w:p>
            <w:pPr>
              <w:jc w:val="center"/>
              <w:ind w:right="4022"/>
              <w:spacing w:after="0"/>
              <w:rPr>
                <w:sz w:val="20"/>
                <w:szCs w:val="20"/>
                <w:color w:val="auto"/>
              </w:rPr>
            </w:pPr>
            <w:r>
              <w:rPr>
                <w:rFonts w:ascii="Arial" w:cs="Arial" w:eastAsia="Arial" w:hAnsi="Arial"/>
                <w:sz w:val="18"/>
                <w:szCs w:val="18"/>
                <w:b w:val="1"/>
                <w:bCs w:val="1"/>
                <w:color w:val="auto"/>
                <w:w w:val="91"/>
              </w:rPr>
              <w:t>Indiana</w:t>
            </w:r>
          </w:p>
        </w:tc>
        <w:tc>
          <w:tcPr>
            <w:tcW w:w="108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27-2935063</w:t>
            </w:r>
          </w:p>
        </w:tc>
      </w:tr>
      <w:tr>
        <w:trPr>
          <w:trHeight w:val="149"/>
        </w:trPr>
        <w:tc>
          <w:tcPr>
            <w:tcW w:w="6320" w:type="dxa"/>
            <w:vAlign w:val="bottom"/>
          </w:tcPr>
          <w:p>
            <w:pPr>
              <w:jc w:val="center"/>
              <w:ind w:right="40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20" w:type="dxa"/>
            <w:vAlign w:val="bottom"/>
          </w:tcPr>
          <w:p>
            <w:pPr>
              <w:jc w:val="center"/>
              <w:ind w:right="4002"/>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20" w:type="dxa"/>
            <w:vAlign w:val="bottom"/>
          </w:tcPr>
          <w:p>
            <w:pPr>
              <w:jc w:val="center"/>
              <w:ind w:right="4002"/>
              <w:spacing w:after="0"/>
              <w:rPr>
                <w:sz w:val="20"/>
                <w:szCs w:val="20"/>
                <w:color w:val="auto"/>
              </w:rPr>
            </w:pPr>
            <w:r>
              <w:rPr>
                <w:rFonts w:ascii="Arial" w:cs="Arial" w:eastAsia="Arial" w:hAnsi="Arial"/>
                <w:sz w:val="18"/>
                <w:szCs w:val="18"/>
                <w:b w:val="1"/>
                <w:bCs w:val="1"/>
                <w:color w:val="auto"/>
                <w:w w:val="88"/>
              </w:rPr>
              <w:t>2208 Production Road,</w:t>
            </w:r>
          </w:p>
        </w:tc>
        <w:tc>
          <w:tcPr>
            <w:tcW w:w="1080" w:type="dxa"/>
            <w:vAlign w:val="bottom"/>
          </w:tcPr>
          <w:p>
            <w:pPr>
              <w:spacing w:after="0"/>
              <w:rPr>
                <w:sz w:val="24"/>
                <w:szCs w:val="24"/>
                <w:color w:val="auto"/>
              </w:rPr>
            </w:pPr>
          </w:p>
        </w:tc>
      </w:tr>
      <w:tr>
        <w:trPr>
          <w:trHeight w:val="231"/>
        </w:trPr>
        <w:tc>
          <w:tcPr>
            <w:tcW w:w="6320" w:type="dxa"/>
            <w:vAlign w:val="bottom"/>
          </w:tcPr>
          <w:p>
            <w:pPr>
              <w:jc w:val="center"/>
              <w:ind w:right="4022"/>
              <w:spacing w:after="0"/>
              <w:rPr>
                <w:sz w:val="20"/>
                <w:szCs w:val="20"/>
                <w:color w:val="auto"/>
              </w:rPr>
            </w:pPr>
            <w:r>
              <w:rPr>
                <w:rFonts w:ascii="Arial" w:cs="Arial" w:eastAsia="Arial" w:hAnsi="Arial"/>
                <w:sz w:val="18"/>
                <w:szCs w:val="18"/>
                <w:b w:val="1"/>
                <w:bCs w:val="1"/>
                <w:color w:val="auto"/>
                <w:w w:val="92"/>
              </w:rPr>
              <w:t>Fort Wayne, Indiana</w:t>
            </w:r>
          </w:p>
        </w:tc>
        <w:tc>
          <w:tcPr>
            <w:tcW w:w="1080" w:type="dxa"/>
            <w:vAlign w:val="bottom"/>
          </w:tcPr>
          <w:p>
            <w:pPr>
              <w:jc w:val="right"/>
              <w:ind w:right="224"/>
              <w:spacing w:after="0"/>
              <w:rPr>
                <w:sz w:val="20"/>
                <w:szCs w:val="20"/>
                <w:color w:val="auto"/>
              </w:rPr>
            </w:pPr>
            <w:r>
              <w:rPr>
                <w:rFonts w:ascii="Arial" w:cs="Arial" w:eastAsia="Arial" w:hAnsi="Arial"/>
                <w:sz w:val="18"/>
                <w:szCs w:val="18"/>
                <w:b w:val="1"/>
                <w:bCs w:val="1"/>
                <w:color w:val="auto"/>
              </w:rPr>
              <w:t>46808</w:t>
            </w:r>
          </w:p>
        </w:tc>
      </w:tr>
      <w:tr>
        <w:trPr>
          <w:trHeight w:val="174"/>
        </w:trPr>
        <w:tc>
          <w:tcPr>
            <w:tcW w:w="6320" w:type="dxa"/>
            <w:vAlign w:val="bottom"/>
          </w:tcPr>
          <w:p>
            <w:pPr>
              <w:jc w:val="center"/>
              <w:ind w:right="40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20" w:type="dxa"/>
            <w:vAlign w:val="bottom"/>
          </w:tcPr>
          <w:p>
            <w:pPr>
              <w:jc w:val="center"/>
              <w:ind w:left="1462"/>
              <w:spacing w:after="0"/>
              <w:rPr>
                <w:sz w:val="20"/>
                <w:szCs w:val="20"/>
                <w:color w:val="auto"/>
              </w:rPr>
            </w:pPr>
            <w:r>
              <w:rPr>
                <w:rFonts w:ascii="Arial" w:cs="Arial" w:eastAsia="Arial" w:hAnsi="Arial"/>
                <w:sz w:val="18"/>
                <w:szCs w:val="18"/>
                <w:b w:val="1"/>
                <w:bCs w:val="1"/>
                <w:color w:val="auto"/>
                <w:w w:val="89"/>
              </w:rPr>
              <w:t>(877) 708-8372</w:t>
            </w:r>
          </w:p>
        </w:tc>
        <w:tc>
          <w:tcPr>
            <w:tcW w:w="1080" w:type="dxa"/>
            <w:vAlign w:val="bottom"/>
          </w:tcPr>
          <w:p>
            <w:pPr>
              <w:spacing w:after="0"/>
              <w:rPr>
                <w:sz w:val="24"/>
                <w:szCs w:val="24"/>
                <w:color w:val="auto"/>
              </w:rPr>
            </w:pPr>
          </w:p>
        </w:tc>
      </w:tr>
      <w:tr>
        <w:trPr>
          <w:trHeight w:val="174"/>
        </w:trPr>
        <w:tc>
          <w:tcPr>
            <w:tcW w:w="6320" w:type="dxa"/>
            <w:vAlign w:val="bottom"/>
          </w:tcPr>
          <w:p>
            <w:pPr>
              <w:jc w:val="center"/>
              <w:ind w:left="146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352"/>
        </w:trPr>
        <w:tc>
          <w:tcPr>
            <w:tcW w:w="6320" w:type="dxa"/>
            <w:vAlign w:val="bottom"/>
          </w:tcPr>
          <w:p>
            <w:pPr>
              <w:jc w:val="center"/>
              <w:ind w:left="1462"/>
              <w:spacing w:after="0"/>
              <w:rPr>
                <w:sz w:val="20"/>
                <w:szCs w:val="20"/>
                <w:color w:val="auto"/>
              </w:rPr>
            </w:pPr>
            <w:r>
              <w:rPr>
                <w:rFonts w:ascii="Arial" w:cs="Arial" w:eastAsia="Arial" w:hAnsi="Arial"/>
                <w:sz w:val="18"/>
                <w:szCs w:val="18"/>
                <w:b w:val="1"/>
                <w:bCs w:val="1"/>
                <w:color w:val="auto"/>
                <w:w w:val="84"/>
              </w:rPr>
              <w:t>None</w:t>
            </w:r>
          </w:p>
        </w:tc>
        <w:tc>
          <w:tcPr>
            <w:tcW w:w="1080" w:type="dxa"/>
            <w:vAlign w:val="bottom"/>
          </w:tcPr>
          <w:p>
            <w:pPr>
              <w:spacing w:after="0"/>
              <w:rPr>
                <w:sz w:val="24"/>
                <w:szCs w:val="24"/>
                <w:color w:val="auto"/>
              </w:rPr>
            </w:pPr>
          </w:p>
        </w:tc>
      </w:tr>
      <w:tr>
        <w:trPr>
          <w:trHeight w:val="174"/>
        </w:trPr>
        <w:tc>
          <w:tcPr>
            <w:tcW w:w="6320" w:type="dxa"/>
            <w:vAlign w:val="bottom"/>
          </w:tcPr>
          <w:p>
            <w:pPr>
              <w:jc w:val="center"/>
              <w:ind w:left="146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registrant had 40,533,011 shares of its common stock outstanding as of August 31, 2012.</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40" w:type="dxa"/>
            <w:vAlign w:val="bottom"/>
            <w:gridSpan w:val="6"/>
          </w:tcPr>
          <w:p>
            <w:pPr>
              <w:ind w:left="56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19"/>
                <w:szCs w:val="19"/>
                <w:color w:val="auto"/>
              </w:rPr>
            </w:pPr>
          </w:p>
        </w:tc>
      </w:tr>
      <w:tr>
        <w:trPr>
          <w:trHeight w:val="380"/>
        </w:trPr>
        <w:tc>
          <w:tcPr>
            <w:tcW w:w="300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FINANCIAL INFORMATION</w:t>
              </w:r>
            </w:hyperlink>
          </w:p>
        </w:tc>
        <w:tc>
          <w:tcPr>
            <w:tcW w:w="7160" w:type="dxa"/>
            <w:vAlign w:val="bottom"/>
            <w:gridSpan w:val="8"/>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16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28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July 28, 2012, and January 28, 2012</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81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Income for the Thirteen and Twenty-Six Weeks Ended July 28, 2012, and July 30, 2011</w:t>
              </w:r>
            </w:hyperlink>
          </w:p>
        </w:tc>
        <w:tc>
          <w:tcPr>
            <w:tcW w:w="1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80" w:type="dxa"/>
            <w:vAlign w:val="bottom"/>
          </w:tcPr>
          <w:p>
            <w:pPr>
              <w:spacing w:after="0"/>
              <w:rPr>
                <w:sz w:val="24"/>
                <w:szCs w:val="24"/>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Comprehensive Income for the Thirteen and Twenty-Six Weeks Ended July 28, 2012, and July 30, 2011</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80" w:type="dxa"/>
            <w:vAlign w:val="bottom"/>
          </w:tcPr>
          <w:p>
            <w:pPr>
              <w:spacing w:after="0"/>
              <w:rPr>
                <w:sz w:val="24"/>
                <w:szCs w:val="24"/>
                <w:color w:val="auto"/>
              </w:rPr>
            </w:pPr>
          </w:p>
        </w:tc>
        <w:tc>
          <w:tcPr>
            <w:tcW w:w="75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Cash Flows for the Twenty-Six Weeks Ended July 28, 2012, and July 30, 2011</w:t>
              </w:r>
            </w:hyperlink>
          </w:p>
        </w:tc>
        <w:tc>
          <w:tcPr>
            <w:tcW w:w="178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80" w:type="dxa"/>
            <w:vAlign w:val="bottom"/>
          </w:tcPr>
          <w:p>
            <w:pPr>
              <w:spacing w:after="0"/>
              <w:rPr>
                <w:sz w:val="24"/>
                <w:szCs w:val="24"/>
                <w:color w:val="auto"/>
              </w:rPr>
            </w:pPr>
          </w:p>
        </w:tc>
        <w:tc>
          <w:tcPr>
            <w:tcW w:w="33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the Consolidated Financial Statements</w:t>
              </w:r>
            </w:hyperlink>
          </w:p>
        </w:tc>
        <w:tc>
          <w:tcPr>
            <w:tcW w:w="5940" w:type="dxa"/>
            <w:vAlign w:val="bottom"/>
            <w:gridSpan w:val="6"/>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1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298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22">
              <w:r>
                <w:rPr>
                  <w:rFonts w:ascii="Arial" w:cs="Arial" w:eastAsia="Arial" w:hAnsi="Arial"/>
                  <w:sz w:val="18"/>
                  <w:szCs w:val="18"/>
                  <w:color w:val="0000EE"/>
                  <w:w w:val="86"/>
                </w:rPr>
                <w:t>Controls and Procedures</w:t>
              </w:r>
            </w:hyperlink>
          </w:p>
        </w:tc>
        <w:tc>
          <w:tcPr>
            <w:tcW w:w="7540" w:type="dxa"/>
            <w:vAlign w:val="bottom"/>
            <w:gridSpan w:val="10"/>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0160" w:type="dxa"/>
            <w:vAlign w:val="bottom"/>
            <w:gridSpan w:val="14"/>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1160" w:type="dxa"/>
            <w:vAlign w:val="bottom"/>
          </w:tcPr>
          <w:p>
            <w:pPr>
              <w:spacing w:after="0"/>
              <w:rPr>
                <w:sz w:val="24"/>
                <w:szCs w:val="24"/>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1A.</w:t>
            </w: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460" w:type="dxa"/>
            <w:vAlign w:val="bottom"/>
            <w:gridSpan w:val="9"/>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280" w:type="dxa"/>
            <w:vAlign w:val="bottom"/>
            <w:tcBorders>
              <w:top w:val="single" w:sz="8" w:color="0000EE"/>
            </w:tcBorders>
          </w:tcPr>
          <w:p>
            <w:pPr>
              <w:spacing w:after="0"/>
              <w:rPr>
                <w:sz w:val="24"/>
                <w:szCs w:val="24"/>
                <w:color w:val="auto"/>
              </w:rPr>
            </w:pPr>
          </w:p>
        </w:tc>
        <w:tc>
          <w:tcPr>
            <w:tcW w:w="8400" w:type="dxa"/>
            <w:vAlign w:val="bottom"/>
            <w:gridSpan w:val="11"/>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83"/>
        </w:trPr>
        <w:tc>
          <w:tcPr>
            <w:tcW w:w="880" w:type="dxa"/>
            <w:vAlign w:val="bottom"/>
          </w:tcPr>
          <w:p>
            <w:pPr>
              <w:spacing w:after="0"/>
              <w:rPr>
                <w:sz w:val="24"/>
                <w:szCs w:val="24"/>
                <w:color w:val="auto"/>
              </w:rPr>
            </w:pPr>
          </w:p>
        </w:tc>
        <w:tc>
          <w:tcPr>
            <w:tcW w:w="5000" w:type="dxa"/>
            <w:vAlign w:val="bottom"/>
            <w:gridSpan w:val="9"/>
          </w:tcPr>
          <w:p>
            <w:pPr>
              <w:ind w:left="480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ORWARD</w:t>
      </w:r>
      <w:r>
        <w:rPr>
          <w:rFonts w:ascii="Arial" w:cs="Arial" w:eastAsia="Arial" w:hAnsi="Arial"/>
          <w:sz w:val="18"/>
          <w:szCs w:val="18"/>
          <w:b w:val="1"/>
          <w:bCs w:val="1"/>
          <w:color w:val="auto"/>
        </w:rPr>
        <w:t>-</w:t>
      </w:r>
      <w:r>
        <w:rPr>
          <w:rFonts w:ascii="Arial" w:cs="Arial" w:eastAsia="Arial" w:hAnsi="Arial"/>
          <w:sz w:val="14"/>
          <w:szCs w:val="14"/>
          <w:b w:val="1"/>
          <w:bCs w:val="1"/>
          <w:color w:val="auto"/>
        </w:rPr>
        <w:t>LOOKING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January 28, 2012.</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July 28,</w:t>
            </w:r>
          </w:p>
        </w:tc>
        <w:tc>
          <w:tcPr>
            <w:tcW w:w="3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117,895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191,359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of accumulated depreciation of $46,068 and $41,872,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263,248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45,016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employment costs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112,097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without par value; 200,000 shares authorized, 40,533 and 40,507 shares issued and outstanding,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151,151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263,248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15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91"/>
              </w:rPr>
              <w:t>Thirteen Weeks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w w:val="97"/>
              </w:rPr>
              <w:t>Twenty-Six Weeks Ended</w:t>
            </w:r>
          </w:p>
        </w:tc>
        <w:tc>
          <w:tcPr>
            <w:tcW w:w="0" w:type="dxa"/>
            <w:vAlign w:val="bottom"/>
          </w:tcPr>
          <w:p>
            <w:pPr>
              <w:spacing w:after="0"/>
              <w:rPr>
                <w:sz w:val="1"/>
                <w:szCs w:val="1"/>
                <w:color w:val="auto"/>
              </w:rPr>
            </w:pPr>
          </w:p>
        </w:tc>
      </w:tr>
      <w:tr>
        <w:trPr>
          <w:trHeight w:val="129"/>
        </w:trPr>
        <w:tc>
          <w:tcPr>
            <w:tcW w:w="7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July 28,</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5"/>
              </w:rPr>
              <w:t>July 30,</w:t>
            </w: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July 28,</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9"/>
              </w:rPr>
              <w:t>July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123,037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103,789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240,238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54,425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106,324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68,612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133,914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47,833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95,024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42,609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21,647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22,597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42,266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13,373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13,633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25,999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40,568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40,557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1"/>
              </w:rPr>
              <w:t>Thirteen Weeks Ended</w:t>
            </w: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w w:val="97"/>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July 28,</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July 30,</w:t>
            </w:r>
          </w:p>
        </w:tc>
        <w:tc>
          <w:tcPr>
            <w:tcW w:w="320" w:type="dxa"/>
            <w:vAlign w:val="bottom"/>
          </w:tcPr>
          <w:p>
            <w:pPr>
              <w:spacing w:after="0"/>
              <w:rPr>
                <w:sz w:val="11"/>
                <w:szCs w:val="11"/>
                <w:color w:val="auto"/>
              </w:rPr>
            </w:pPr>
          </w:p>
        </w:tc>
        <w:tc>
          <w:tcPr>
            <w:tcW w:w="98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July 28,</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5"/>
              </w:rPr>
              <w:t>July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3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880" w:type="dxa"/>
            <w:vAlign w:val="bottom"/>
            <w:gridSpan w:val="2"/>
          </w:tcPr>
          <w:p>
            <w:pPr>
              <w:jc w:val="center"/>
              <w:ind w:left="222"/>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4"/>
                <w:szCs w:val="14"/>
                <w:color w:val="auto"/>
              </w:rPr>
            </w:pPr>
          </w:p>
        </w:tc>
        <w:tc>
          <w:tcPr>
            <w:tcW w:w="640" w:type="dxa"/>
            <w:vAlign w:val="bottom"/>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7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$13,373</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$13,633</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$ 25,999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2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13,539</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13,707</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$ 25,982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July 28,</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5"/>
              </w:rPr>
              <w:t>July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25,999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4,759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(11,529)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17,740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and other liabilities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gridSpan w:val="2"/>
            <w:vMerge w:val="continue"/>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25,461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(22,704)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(22,704)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22"/>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financial-institution debt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(62,750)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Borrowings on financial-institution debt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63,000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vendor-financed debt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Change in bank overdraft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withholdings for equity compensation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2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6" w:lineRule="exact"/>
        <w:rPr>
          <w:rFonts w:ascii="Arial" w:cs="Arial" w:eastAsia="Arial" w:hAnsi="Arial"/>
          <w:sz w:val="18"/>
          <w:szCs w:val="18"/>
          <w:b w:val="1"/>
          <w:bCs w:val="1"/>
          <w:color w:val="auto"/>
        </w:rPr>
      </w:pPr>
    </w:p>
    <w:p>
      <w:pPr>
        <w:ind w:left="460" w:right="4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Vera Bradley Designs, Inc. is a wholly owned subsidiary of Vera Bradley, Inc. Except where context requires or where otherwise indicated, the terms “Company” and “Vera Bradley” refer to Vera Bradley, Inc. and its subsidiaries, including Vera Bradley Designs, Inc.</w:t>
      </w:r>
    </w:p>
    <w:p>
      <w:pPr>
        <w:spacing w:after="0" w:line="4"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Vera Bradley is a leading designer, producer, marketer, and retailer of stylish, highly functional accessories for women. The Company’s products include a wide offering of handbags, accessories, and travel and leisure items. The Company generates net revenues by selling products through two reportable segments: Direct and Indirect. The Direct business consists of sales of Vera Bradley products through the Company’s full-price and outlet stores in the United States, pop-up stores and permanent shop-in-shops in Japan, its websites, verabradley.com and verabradley.co.jp, and its annual outlet sale in Fort Wayne, Indiana. As of July 28, 2012, the Company operated 60 full-price stores and 10 outlet stores. The Indirect business consists of sales of Vera Bradley products to approximately 3,300 specialty retailers, select national retailers, and independent e-commerce retailers.</w:t>
      </w:r>
    </w:p>
    <w:p>
      <w:pPr>
        <w:spacing w:after="0" w:line="39" w:lineRule="exact"/>
        <w:rPr>
          <w:rFonts w:ascii="Arial" w:cs="Arial" w:eastAsia="Arial" w:hAnsi="Arial"/>
          <w:sz w:val="18"/>
          <w:szCs w:val="18"/>
          <w:b w:val="1"/>
          <w:bCs w:val="1"/>
          <w:color w:val="auto"/>
        </w:rPr>
      </w:pPr>
    </w:p>
    <w:p>
      <w:pPr>
        <w:ind w:left="46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January 28, 2012, filed with the SEC.</w:t>
      </w:r>
    </w:p>
    <w:p>
      <w:pPr>
        <w:spacing w:after="0" w:line="34"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twenty-six weeks ended July 28, 2012, are not necessarily indicative of the results to be expected for the full fiscal year.</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6"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July 28, 2012, and July 30, 2011, refer to the thirteen-week periods ended on those dates.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Accounting Pronouncements</w:t>
      </w:r>
    </w:p>
    <w:p>
      <w:pPr>
        <w:spacing w:after="0" w:line="96" w:lineRule="exact"/>
        <w:rPr>
          <w:rFonts w:ascii="Arial" w:cs="Arial" w:eastAsia="Arial" w:hAnsi="Arial"/>
          <w:sz w:val="18"/>
          <w:szCs w:val="18"/>
          <w:b w:val="1"/>
          <w:bCs w:val="1"/>
          <w:color w:val="auto"/>
        </w:rPr>
      </w:pPr>
    </w:p>
    <w:p>
      <w:pPr>
        <w:ind w:left="460" w:right="4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In June 2011, the Financial Accounting Standards Board (“FASB”) issued Accounting Standards Update (“ASU”) 2011-05, C</w:t>
      </w:r>
      <w:r>
        <w:rPr>
          <w:rFonts w:ascii="Arial" w:cs="Arial" w:eastAsia="Arial" w:hAnsi="Arial"/>
          <w:sz w:val="15"/>
          <w:szCs w:val="15"/>
          <w:i w:val="1"/>
          <w:iCs w:val="1"/>
          <w:color w:val="auto"/>
        </w:rPr>
        <w:t>omprehensive Income –</w:t>
      </w:r>
      <w:r>
        <w:rPr>
          <w:rFonts w:ascii="Arial" w:cs="Arial" w:eastAsia="Arial" w:hAnsi="Arial"/>
          <w:sz w:val="15"/>
          <w:szCs w:val="15"/>
          <w:color w:val="auto"/>
        </w:rPr>
        <w:t xml:space="preserve"> </w:t>
      </w:r>
      <w:r>
        <w:rPr>
          <w:rFonts w:ascii="Arial" w:cs="Arial" w:eastAsia="Arial" w:hAnsi="Arial"/>
          <w:sz w:val="15"/>
          <w:szCs w:val="15"/>
          <w:i w:val="1"/>
          <w:iCs w:val="1"/>
          <w:color w:val="auto"/>
        </w:rPr>
        <w:t>Presentation of Comprehensive Income</w:t>
      </w:r>
      <w:r>
        <w:rPr>
          <w:rFonts w:ascii="Arial" w:cs="Arial" w:eastAsia="Arial" w:hAnsi="Arial"/>
          <w:sz w:val="15"/>
          <w:szCs w:val="15"/>
          <w:color w:val="auto"/>
        </w:rPr>
        <w:t>. This guidance eliminates the option to present the components of other comprehensive income as part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Shareholders’ 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In accordance with this guidance, we have presented two separate but consecutive statements which include the components of net income and other comprehensive income.</w:t>
      </w:r>
    </w:p>
    <w:p>
      <w:pPr>
        <w:spacing w:after="0" w:line="24" w:lineRule="exact"/>
        <w:rPr>
          <w:rFonts w:ascii="Arial" w:cs="Arial" w:eastAsia="Arial" w:hAnsi="Arial"/>
          <w:sz w:val="18"/>
          <w:szCs w:val="18"/>
          <w:b w:val="1"/>
          <w:bCs w:val="1"/>
          <w:color w:val="auto"/>
        </w:rPr>
      </w:pPr>
    </w:p>
    <w:p>
      <w:pPr>
        <w:ind w:left="460" w:right="2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In May 2011, FASB issued ASU 2011-04, </w:t>
      </w:r>
      <w:r>
        <w:rPr>
          <w:rFonts w:ascii="Arial" w:cs="Arial" w:eastAsia="Arial" w:hAnsi="Arial"/>
          <w:sz w:val="18"/>
          <w:szCs w:val="18"/>
          <w:i w:val="1"/>
          <w:iCs w:val="1"/>
          <w:color w:val="auto"/>
        </w:rPr>
        <w:t>Fair Value Measurement – Amendments to Achieve Common Fair Value Measurement and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in U.S. GAAP and IFRS</w:t>
      </w:r>
      <w:r>
        <w:rPr>
          <w:rFonts w:ascii="Arial" w:cs="Arial" w:eastAsia="Arial" w:hAnsi="Arial"/>
          <w:sz w:val="18"/>
          <w:szCs w:val="18"/>
          <w:color w:val="auto"/>
        </w:rPr>
        <w:t>. The guidance requires additional disclosures, including disclosures related to the measurement of Level 3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is effective for interim and annual periods beginning after December 15, 2011 and is applied prospectively. The adoption of this pronouncement did not have a material impact on our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The components of basic and diluted earnings per share were as follows (in thousands, except per share amounts):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July 28,2012</w:t>
            </w:r>
          </w:p>
        </w:tc>
        <w:tc>
          <w:tcPr>
            <w:tcW w:w="6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July 30,2011</w:t>
            </w:r>
          </w:p>
        </w:tc>
        <w:tc>
          <w:tcPr>
            <w:tcW w:w="6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July 28,2012</w:t>
            </w:r>
          </w:p>
        </w:tc>
        <w:tc>
          <w:tcPr>
            <w:tcW w:w="3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July 30,2011</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13,373</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13,633</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25,999</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24,857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Weighted-average number of common shares (basic)</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40,532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40,507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40,524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(diluted)</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40,568</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40,541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40,557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40,537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share: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0.33</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0.34</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0.64</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As of July 28, 2012, there was an aggregate of 0.2 million additional shares issuable upon the vesting of restricted stock units that were excluded from the diluted share calculations because they were anti-dilutive. As of July 30, 2011, there were no additional shares issuable upon the vesting of restricted stock units that were excluded from the diluted share calculations.</w:t>
      </w:r>
    </w:p>
    <w:p>
      <w:pPr>
        <w:spacing w:after="0" w:line="25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9" w:lineRule="exact"/>
        <w:rPr>
          <w:rFonts w:ascii="Arial" w:cs="Arial" w:eastAsia="Arial" w:hAnsi="Arial"/>
          <w:sz w:val="18"/>
          <w:szCs w:val="18"/>
          <w:b w:val="1"/>
          <w:bCs w:val="1"/>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 The classification of fair value measurements within the hierarchy is based upon the lowest level of input that is significant to the measurement.</w:t>
      </w:r>
    </w:p>
    <w:p>
      <w:pPr>
        <w:spacing w:after="0" w:line="5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The carrying amounts reflected on the Consolidated Balance Sheet for cash and cash equivalents, receivables, and payables approximate fair value at July 28, 2012, because of their short-term nature.</w:t>
      </w:r>
    </w:p>
    <w:p>
      <w:pPr>
        <w:spacing w:after="0" w:line="51"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carrying amount for the amended and restated credit agreement (“credit agreement”) approximates fair value at July 28, 2012 as the interest rates of these borrowings fluctuate with the market. The credit agreement falls within Level 2 of the fair value hierarchy.</w:t>
      </w:r>
    </w:p>
    <w:p>
      <w:pPr>
        <w:spacing w:after="0" w:line="24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9"/>
              <w:spacing w:after="0"/>
              <w:rPr>
                <w:sz w:val="20"/>
                <w:szCs w:val="20"/>
                <w:color w:val="auto"/>
              </w:rPr>
            </w:pPr>
            <w:r>
              <w:rPr>
                <w:rFonts w:ascii="Arial" w:cs="Arial" w:eastAsia="Arial" w:hAnsi="Arial"/>
                <w:sz w:val="14"/>
                <w:szCs w:val="14"/>
                <w:b w:val="1"/>
                <w:bCs w:val="1"/>
                <w:color w:val="auto"/>
                <w:w w:val="85"/>
              </w:rPr>
              <w:t>July 28,</w:t>
            </w:r>
          </w:p>
        </w:tc>
        <w:tc>
          <w:tcPr>
            <w:tcW w:w="1300" w:type="dxa"/>
            <w:vAlign w:val="bottom"/>
            <w:gridSpan w:val="4"/>
          </w:tcPr>
          <w:p>
            <w:pPr>
              <w:ind w:left="50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Work in process</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98,851</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6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3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117,895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760" w:type="dxa"/>
            <w:vAlign w:val="bottom"/>
            <w:vMerge w:val="restart"/>
          </w:tcPr>
          <w:p>
            <w:pPr>
              <w:jc w:val="right"/>
              <w:ind w:right="2252"/>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3"/>
              </w:rPr>
              <w:t>July 28,</w:t>
            </w:r>
          </w:p>
        </w:tc>
        <w:tc>
          <w:tcPr>
            <w:tcW w:w="1300" w:type="dxa"/>
            <w:vAlign w:val="bottom"/>
            <w:gridSpan w:val="4"/>
          </w:tcPr>
          <w:p>
            <w:pPr>
              <w:ind w:left="500"/>
              <w:spacing w:after="0"/>
              <w:rPr>
                <w:sz w:val="20"/>
                <w:szCs w:val="20"/>
                <w:color w:val="auto"/>
              </w:rPr>
            </w:pPr>
            <w:r>
              <w:rPr>
                <w:rFonts w:ascii="Arial" w:cs="Arial" w:eastAsia="Arial" w:hAnsi="Arial"/>
                <w:sz w:val="14"/>
                <w:szCs w:val="14"/>
                <w:b w:val="1"/>
                <w:bCs w:val="1"/>
                <w:color w:val="auto"/>
              </w:rPr>
              <w:t>January 28,</w:t>
            </w:r>
          </w:p>
        </w:tc>
      </w:tr>
      <w:tr>
        <w:trPr>
          <w:trHeight w:val="161"/>
        </w:trPr>
        <w:tc>
          <w:tcPr>
            <w:tcW w:w="4280" w:type="dxa"/>
            <w:vAlign w:val="bottom"/>
          </w:tcPr>
          <w:p>
            <w:pPr>
              <w:spacing w:after="0"/>
              <w:rPr>
                <w:sz w:val="14"/>
                <w:szCs w:val="14"/>
                <w:color w:val="auto"/>
              </w:rPr>
            </w:pPr>
          </w:p>
        </w:tc>
        <w:tc>
          <w:tcPr>
            <w:tcW w:w="310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r>
      <w:tr>
        <w:trPr>
          <w:trHeight w:val="210"/>
        </w:trPr>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Financial-institution debt</w:t>
            </w:r>
          </w:p>
        </w:tc>
        <w:tc>
          <w:tcPr>
            <w:tcW w:w="2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$25,250</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Other borrowings</w:t>
            </w:r>
          </w:p>
        </w:tc>
        <w:tc>
          <w:tcPr>
            <w:tcW w:w="2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25,391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25,184</w:t>
            </w:r>
          </w:p>
        </w:tc>
        <w:tc>
          <w:tcPr>
            <w:tcW w:w="100" w:type="dxa"/>
            <w:vAlign w:val="bottom"/>
            <w:shd w:val="clear" w:color="auto" w:fill="CCEEFF"/>
          </w:tcPr>
          <w:p>
            <w:pPr>
              <w:spacing w:after="0"/>
              <w:rPr>
                <w:sz w:val="18"/>
                <w:szCs w:val="18"/>
                <w:color w:val="auto"/>
              </w:rPr>
            </w:pPr>
          </w:p>
        </w:tc>
      </w:tr>
      <w:tr>
        <w:trPr>
          <w:trHeight w:val="331"/>
        </w:trPr>
        <w:tc>
          <w:tcPr>
            <w:tcW w:w="42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5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r>
      <w:tr>
        <w:trPr>
          <w:trHeight w:val="216"/>
        </w:trPr>
        <w:tc>
          <w:tcPr>
            <w:tcW w:w="42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25,095</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At July 28, 2012, the interest rate on outstanding borrowings under the Company’s $125.0 million credit agreement was 1.30%, and the Company had borrowing availability of $99.7 million under the agreement.</w:t>
      </w:r>
    </w:p>
    <w:p>
      <w:pPr>
        <w:spacing w:after="0" w:line="5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On June 1, 2012, Vera Bradley Designs, Inc. entered into an amendment to the credit agreement. The amendment extends the maturity date from October 3, 2015 to June 1, 2017. Certain permitted indebtedness covenants were also amended.</w:t>
      </w:r>
    </w:p>
    <w:p>
      <w:pPr>
        <w:spacing w:after="0" w:line="24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2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provision for income taxes for interim periods is based on an estimate of the annual effective tax rate adjusted to reflect the impact of discrete items. Significant management judgment is required in projecting ordinary income (loss) to estimate the Company’s annual effective tax rate.</w:t>
      </w:r>
    </w:p>
    <w:p>
      <w:pPr>
        <w:spacing w:after="0" w:line="4"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July 28, 2012, was 38.2%, compared to 39.6% for the thirteen weeks ended July 30, 2011. The valuation allowance recorded against the deferred tax asset arising from the net operating loss of the Company’s Japanese subsidiary decreased the effective tax rate by approximately 1.4% for the thirteen weeks ended July 28, 2012, when compared to the thirteen weeks ended July 30, 2011. This is due to a lower net operating loss for the thirteen weeks ended July 28, 2012.</w:t>
      </w:r>
    </w:p>
    <w:p>
      <w:pPr>
        <w:spacing w:after="0" w:line="62"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effective tax rate for the twenty-six weeks ended July 28, 2012, was 38.5%, compared to 39.9% for the twenty-six weeks ended July 30, 2011. The Company’s effective tax rate for the twenty-six weeks ended July 30, 2011, was negatively impacted by the non-deductibility of expenses related to the April 2011 secondary offering. The expenses were recorded as a discrete event and increased the effective tax rate by approximately 0.5% for the twenty-six weeks ended July 30, 2011. The valuation allowance recorded against the deferred tax asset arising from the net operating loss of the Company’s Japanese subsidiary decreased the effective tax rate by approximately 1.0% for the twenty-six weeks ended July 28, 2012, when compared to the twenty-six weeks ended July 30, 2011. This is due to a lower net operating loss for the twenty-six weeks ended July 28,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accounts for stock-based compensation under the fair-value recognition provisions of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Under these provisions, for its awards of restricted stock and restricted stock units, the Company recognizes share-based compensation expense in an amount equal to the fair market value of the underlying stock on the grant date of the respective award.</w:t>
      </w:r>
    </w:p>
    <w:p>
      <w:pPr>
        <w:spacing w:after="0" w:line="59"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21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90" w:lineRule="exact"/>
        <w:rPr>
          <w:rFonts w:ascii="Arial" w:cs="Arial" w:eastAsia="Arial" w:hAnsi="Arial"/>
          <w:sz w:val="18"/>
          <w:szCs w:val="18"/>
          <w:b w:val="1"/>
          <w:bCs w:val="1"/>
          <w:color w:val="auto"/>
        </w:rPr>
      </w:pPr>
    </w:p>
    <w:p>
      <w:pPr>
        <w:jc w:val="both"/>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thirteen weeks ended July 28, 2012, the Company granted a total of 3,158 time-based restricted stock units with an aggregate fair value of $0.1 million to certain employees under the 2010 Equity and Incentive Plan compared to a total of 3,213 time-based restricted stock units with an aggregate fair value of $0.1 million granted in the same period of the prior year.</w:t>
      </w:r>
    </w:p>
    <w:p>
      <w:pPr>
        <w:spacing w:after="0" w:line="59"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During the twenty-six weeks ended July 28, 2012, the Company granted a total of 177,512 time-based and performance-based restricted stock units with an aggregate fair value of $5.3 million to certain employees and non-employee directors under the 2010 Equity and Incentive Plan compared to a total of 106,889 time-based restricted stock units with an aggregate fair value of $4.4 million granted in the same period of the prior year. The Company determined the fair value of the awards based on the closing price of the Company’s common stock on the grant date.</w:t>
      </w:r>
    </w:p>
    <w:p>
      <w:pPr>
        <w:spacing w:after="0" w:line="3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time-based restricted stock units vest and settle in shares of the Company’s common stock, on a one-for-one basis, in equal installments on each of the first three anniversaries of the grant date. The Company is recognizing the expense relating to these awards, net of estimated forfeitures, on a straight-line basis over three years.</w:t>
      </w:r>
    </w:p>
    <w:p>
      <w:pPr>
        <w:spacing w:after="0" w:line="59"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Performance-based restricted stock units vest upon the completion of a three-year period of time (cliff vesting), subject to the employee’s continuing employment throughout the three-year performance period and the Company’s achievement of annual net income targets during the three-year performance period. The Company is recognizing the expense relating to these awards, net of estimated forfeitures and based on the probable outcome of achievement of the net income targets, on a straight-line basis over three years.</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a summary of restricted stock unit activity for the period ended July 28, 2012 (in thousands, except as otherwise indicated):</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gridSpan w:val="3"/>
          </w:tcPr>
          <w:p>
            <w:pPr>
              <w:jc w:val="center"/>
              <w:ind w:left="424"/>
              <w:spacing w:after="0"/>
              <w:rPr>
                <w:sz w:val="20"/>
                <w:szCs w:val="20"/>
                <w:color w:val="auto"/>
              </w:rPr>
            </w:pPr>
            <w:r>
              <w:rPr>
                <w:rFonts w:ascii="Arial" w:cs="Arial" w:eastAsia="Arial" w:hAnsi="Arial"/>
                <w:sz w:val="14"/>
                <w:szCs w:val="14"/>
                <w:b w:val="1"/>
                <w:bCs w:val="1"/>
                <w:color w:val="auto"/>
                <w:w w:val="84"/>
              </w:rPr>
              <w:t>Time-based</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gridSpan w:val="6"/>
          </w:tcPr>
          <w:p>
            <w:pPr>
              <w:ind w:left="36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7"/>
              </w:rPr>
              <w:t>Restricted Stock Units</w:t>
            </w:r>
          </w:p>
        </w:tc>
        <w:tc>
          <w:tcPr>
            <w:tcW w:w="1940" w:type="dxa"/>
            <w:vAlign w:val="bottom"/>
            <w:gridSpan w:val="6"/>
          </w:tcPr>
          <w:p>
            <w:pPr>
              <w:ind w:left="2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6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Grant</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Date Fair</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11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Value</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Units</w:t>
            </w:r>
          </w:p>
        </w:tc>
        <w:tc>
          <w:tcPr>
            <w:tcW w:w="12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2"/>
              </w:rPr>
              <w:t>(per unit)</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(per unit)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units outstanding at January 28, 2012</w:t>
            </w:r>
          </w:p>
        </w:tc>
        <w:tc>
          <w:tcPr>
            <w:tcW w:w="1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3040" w:type="dxa"/>
            <w:vAlign w:val="bottom"/>
            <w:gridSpan w:val="3"/>
          </w:tcPr>
          <w:p>
            <w:pPr>
              <w:jc w:val="right"/>
              <w:ind w:right="6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29.90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41.28</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7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24.30</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outstanding at July 28, 2012</w:t>
            </w:r>
          </w:p>
        </w:tc>
        <w:tc>
          <w:tcPr>
            <w:tcW w:w="17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30.89</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780" w:type="dxa"/>
            <w:vAlign w:val="bottom"/>
            <w:vMerge w:val="restart"/>
          </w:tcPr>
          <w:p>
            <w:pPr>
              <w:jc w:val="right"/>
              <w:ind w:right="652"/>
              <w:spacing w:after="0"/>
              <w:rPr>
                <w:sz w:val="20"/>
                <w:szCs w:val="20"/>
                <w:color w:val="auto"/>
              </w:rPr>
            </w:pPr>
            <w:r>
              <w:rPr>
                <w:rFonts w:ascii="Arial" w:cs="Arial" w:eastAsia="Arial" w:hAnsi="Arial"/>
                <w:sz w:val="18"/>
                <w:szCs w:val="18"/>
                <w:color w:val="auto"/>
              </w:rPr>
              <w:t>11</w:t>
            </w: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litigation, employee benefits, environmental, and other matters. Management believes that it is not reasonably possible that any of these claims will have a material adverse effect on the Company’s financial condition, results of operations, or cash flows.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60" w:right="2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25" w:lineRule="exact"/>
        <w:rPr>
          <w:rFonts w:ascii="Arial" w:cs="Arial" w:eastAsia="Arial" w:hAnsi="Arial"/>
          <w:sz w:val="18"/>
          <w:szCs w:val="18"/>
          <w:b w:val="1"/>
          <w:bCs w:val="1"/>
          <w:color w:val="auto"/>
        </w:rPr>
      </w:pPr>
    </w:p>
    <w:p>
      <w:pPr>
        <w:ind w:left="460" w:right="46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The Direct segment includes the Company’s full-price and outlet stores in the United States, pop-up stores and permanent shop-in-shops in Japan, e-commerce activity driven by the Company’s websites, and the annual outlet sale. Revenues generated through this segment are driven by the sale of Company-branded products from Vera Bradley to end customers. The Indirect segment represents activity driven by revenues generated through the distribution of Company-branded products to approximately 3,300 specialty retailers, select national retailers, and independent e-commerce retailers.</w:t>
      </w:r>
    </w:p>
    <w:p>
      <w:pPr>
        <w:spacing w:after="0" w:line="16"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executive management, merchandising, human resources, legal, finance, IT, and various other corporate-level-activity-related expenses. All intercompany-related activities are eliminated in consolidation and are excluded from the segment reporting.</w:t>
      </w:r>
    </w:p>
    <w:p>
      <w:pPr>
        <w:spacing w:after="0" w:line="59"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chief operating decision maker evaluates segment operating results based on several indicators. The primary or key performance indicators for each segment are net revenues and operating income. The table below represents key financial information for each of the Company’s reportable segments: Direct and Indirect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4"/>
              </w:rPr>
              <w:t>Thirteen Weeks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7"/>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5"/>
              </w:rPr>
              <w:t>July 28,</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5"/>
              </w:rPr>
              <w:t>July 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5"/>
              </w:rPr>
              <w:t>July 28,</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5"/>
              </w:rPr>
              <w:t>July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net revenues:</w:t>
            </w: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Direct</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65,692</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47,871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124,917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Indirect</w:t>
            </w:r>
          </w:p>
        </w:tc>
        <w:tc>
          <w:tcPr>
            <w:tcW w:w="2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115,321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113,167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860"/>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123,037</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103,789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240,238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205,179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Direct</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16,252</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13,045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31,631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Indirect</w:t>
            </w:r>
          </w:p>
        </w:tc>
        <w:tc>
          <w:tcPr>
            <w:tcW w:w="2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860"/>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39,916</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37,094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77,733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39,916</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37,094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77,733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(18,117)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(35,124)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560" w:type="dxa"/>
            <w:vAlign w:val="bottom"/>
            <w:vMerge w:val="restart"/>
          </w:tcPr>
          <w:p>
            <w:pPr>
              <w:jc w:val="right"/>
              <w:ind w:right="105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and twenty-six weeks ended July 28, 2012, and July 30, 2011. The following discussion should be read in conjunction with our Annual Report on Form 10-K for the fiscal year ended January 28, 2012, and our unaudited consolidated financial statements and the related notes included in Item 1 of this Quarterly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Vera Bradley is a leading designer, producer, marketer, and retailer of stylish and highly functional accessories for women. Our products include a wide offering of handbags, accessories, luggage, eyewear, travel items, and gifts. Over our 30-year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generate revenues by selling products through two reportable segments: Direct and Indirect. As of July 28, 2012, our Direct business consisted of sales of Vera Bradley products through our full-price and outlet stores in the United States, pop-up stores and permanent shop-in-shops in Japan, our websites, verabradley.com and verabradley.co.jp, and our annual outlet sale in Fort Wayne, Indiana. In the United States we operated 60 full-price and 10 outlet stores as of July 28, 2012, compared to 43 full-price stores and six outlet stores as of July 30, 2011. As of July 28, 2012, our Indirect business consisted of sales of Vera Bradley products to approximately 3,300 specialty retailers, substantially all of which are located in the United States, and to select national retailers and independent e-commerce retailers.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Net revenues reflect revenues from the sale of our merchandise and from shipping and handling fees, less returns and discounts. Revenues for the Direct segment reflect sales through our full-price and outlet stores in the United States, pop-up stores and permanent shop-in-shops in Japan, our websites, verabradley.com and verabradley.co.jp, and our annual outlet sale in Fort Wayne, Indiana. Revenues for the Indirect segment reflect sales to specialty retailers, select national retailers, and independent e-commerce retailers.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Store traffic;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Gross profit can be impacted by changes in volume, operational efficiencies, such as leveraging of fixed costs, promotional activities, such as free shipping, commodity prices such as cotton, and fluctuations in pricing structures.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SG&amp;A expenses include selling; advertising, marketing, merchandising,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merchandising,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and charitable donations. SG&amp;A expenses increase as the number of stores increase.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 and the gain on the sale of certain life insurance policies.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provisions for income taxes for interim reporting periods are based on an estimate of the effective tax rate for each of the periods presented. The computation of the effective tax rate includes a forecast of our estimated ordinary income, which is the annual income from operations before income tax, excluding unusual or infrequently occurring (or discrete)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98"/>
              </w:rPr>
              <w:t>Thirteen Weeks Ended</w:t>
            </w:r>
          </w:p>
        </w:tc>
        <w:tc>
          <w:tcPr>
            <w:tcW w:w="100" w:type="dxa"/>
            <w:vAlign w:val="bottom"/>
          </w:tcPr>
          <w:p>
            <w:pPr>
              <w:spacing w:after="0"/>
              <w:rPr>
                <w:sz w:val="14"/>
                <w:szCs w:val="14"/>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July 28,</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85"/>
              </w:rPr>
              <w:t>July 30,</w:t>
            </w: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5"/>
              </w:rPr>
              <w:t>July 28,</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85"/>
              </w:rPr>
              <w:t>July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2012</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5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56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7"/>
              </w:rPr>
              <w:t>(unaudited)</w:t>
            </w:r>
          </w:p>
        </w:tc>
        <w:tc>
          <w:tcPr>
            <w:tcW w:w="56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0"/>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revenues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123,037</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103,789</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240,238</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205,179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44,161</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106,324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68,612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59,628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133,914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116,072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95,024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42,609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 net</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42,266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16,267</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Percentage of Net Revenues:</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760" w:type="dxa"/>
            <w:vAlign w:val="bottom"/>
            <w:vMerge w:val="restart"/>
          </w:tcPr>
          <w:p>
            <w:pPr>
              <w:jc w:val="right"/>
              <w:ind w:right="5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our net revenues, and store data for the periods indicated (in thousands, except as otherwise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Twenty-Six Weeks Ended</w:t>
            </w: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July 28,</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9"/>
              </w:rPr>
              <w:t>July 30,</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July 28,</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9"/>
              </w:rPr>
              <w:t>July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4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by Segment: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Direct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65,692</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47,871</w:t>
            </w:r>
          </w:p>
        </w:tc>
        <w:tc>
          <w:tcPr>
            <w:tcW w:w="1320" w:type="dxa"/>
            <w:vAlign w:val="bottom"/>
            <w:gridSpan w:val="4"/>
          </w:tcPr>
          <w:p>
            <w:pPr>
              <w:jc w:val="right"/>
              <w:ind w:right="400"/>
              <w:spacing w:after="0"/>
              <w:rPr>
                <w:sz w:val="20"/>
                <w:szCs w:val="20"/>
                <w:color w:val="auto"/>
              </w:rPr>
            </w:pPr>
            <w:r>
              <w:rPr>
                <w:rFonts w:ascii="Arial" w:cs="Arial" w:eastAsia="Arial" w:hAnsi="Arial"/>
                <w:sz w:val="18"/>
                <w:szCs w:val="18"/>
                <w:color w:val="auto"/>
              </w:rPr>
              <w:t>$ 124,917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92,012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115,321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113,167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$ 123,037</w:t>
            </w:r>
          </w:p>
        </w:tc>
        <w:tc>
          <w:tcPr>
            <w:tcW w:w="380" w:type="dxa"/>
            <w:vAlign w:val="bottom"/>
          </w:tcPr>
          <w:p>
            <w:pPr>
              <w:spacing w:after="0"/>
              <w:rPr>
                <w:sz w:val="19"/>
                <w:szCs w:val="19"/>
                <w:color w:val="auto"/>
              </w:rPr>
            </w:pP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$ 103,789</w:t>
            </w:r>
          </w:p>
        </w:tc>
        <w:tc>
          <w:tcPr>
            <w:tcW w:w="1320" w:type="dxa"/>
            <w:vAlign w:val="bottom"/>
            <w:gridSpan w:val="4"/>
          </w:tcPr>
          <w:p>
            <w:pPr>
              <w:jc w:val="right"/>
              <w:ind w:right="400"/>
              <w:spacing w:after="0"/>
              <w:rPr>
                <w:sz w:val="20"/>
                <w:szCs w:val="20"/>
                <w:color w:val="auto"/>
              </w:rPr>
            </w:pPr>
            <w:r>
              <w:rPr>
                <w:rFonts w:ascii="Arial" w:cs="Arial" w:eastAsia="Arial" w:hAnsi="Arial"/>
                <w:sz w:val="18"/>
                <w:szCs w:val="18"/>
                <w:color w:val="auto"/>
              </w:rPr>
              <w:t>$ 240,238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$ 205,179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Twenty-Six Weeks Ended</w:t>
            </w: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July 28,</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9"/>
              </w:rPr>
              <w:t>July 30,</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July 28,</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9"/>
              </w:rPr>
              <w:t>July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4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Revenues by Segment: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Direct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Twenty-Six Weeks Ended</w:t>
            </w: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July 28,</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9"/>
              </w:rPr>
              <w:t>July 30,</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July 28,</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9"/>
              </w:rPr>
              <w:t>July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by Segment: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Direct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16,252</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13,045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31,631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25,405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46,102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39,916</w:t>
            </w:r>
          </w:p>
        </w:tc>
        <w:tc>
          <w:tcPr>
            <w:tcW w:w="3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37,094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77,733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71,193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Corporate unallocated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(18,117)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(14,168)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(35,124)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(29,207)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21,799</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Twenty-Six Weeks Ended</w:t>
            </w: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July 28,</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9"/>
              </w:rPr>
              <w:t>July 30,</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July 28,</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9"/>
              </w:rPr>
              <w:t>July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Operating Income as a Percentage of Net Revenues by Segment: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Direct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322"/>
        </w:trPr>
        <w:tc>
          <w:tcPr>
            <w:tcW w:w="5240" w:type="dxa"/>
            <w:vAlign w:val="bottom"/>
          </w:tcPr>
          <w:p>
            <w:pPr>
              <w:spacing w:after="0"/>
              <w:rPr>
                <w:sz w:val="20"/>
                <w:szCs w:val="20"/>
                <w:color w:val="auto"/>
              </w:rPr>
            </w:pPr>
            <w:r>
              <w:rPr>
                <w:rFonts w:ascii="Arial" w:cs="Arial" w:eastAsia="Arial" w:hAnsi="Arial"/>
                <w:sz w:val="18"/>
                <w:szCs w:val="18"/>
                <w:b w:val="1"/>
                <w:bCs w:val="1"/>
                <w:color w:val="auto"/>
              </w:rPr>
              <w:t>Store Data: (1)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stores open at end of period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Comparable-store sales increase (2)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gross square footage at end of period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142,142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142,142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Average net revenues per gross square foot (3)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3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only our full-price and outlet stores. Our first full-price store opened in mid-September 2007 and our first outlet store opened in November 2009.</w:t>
      </w:r>
    </w:p>
    <w:p>
      <w:pPr>
        <w:spacing w:after="0" w:line="38"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Comparable-store sales represent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9" w:lineRule="exact"/>
        <w:rPr>
          <w:sz w:val="20"/>
          <w:szCs w:val="20"/>
          <w:color w:val="auto"/>
        </w:rPr>
      </w:pPr>
    </w:p>
    <w:p>
      <w:pPr>
        <w:ind w:right="4800"/>
        <w:spacing w:after="0" w:line="347" w:lineRule="auto"/>
        <w:rPr>
          <w:sz w:val="20"/>
          <w:szCs w:val="20"/>
          <w:color w:val="auto"/>
        </w:rPr>
      </w:pPr>
      <w:r>
        <w:rPr>
          <w:rFonts w:ascii="Arial" w:cs="Arial" w:eastAsia="Arial" w:hAnsi="Arial"/>
          <w:sz w:val="18"/>
          <w:szCs w:val="18"/>
          <w:b w:val="1"/>
          <w:bCs w:val="1"/>
          <w:color w:val="auto"/>
        </w:rPr>
        <w:t xml:space="preserve">Thirteen Weeks Ended July 28, 2012, Compared to Thirteen Weeks Ended July 30, 2011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thirteen weeks ended July 28, 2012, net revenues increased $19.2 million, or 18.5%, to $123.0 million, from $103.8 million in the comparable prior-year period.</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July 28, 2012, net revenues in the Direct segment increased $17.8 million, or 37.2%, to $65.7 million, from $47.9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comparable prior-year period. This growth resulted from an $11.7 million increase in revenues related to the opening of eight new stores, a $4.8 million increase in e-commerce revenues due primarily to increased traffic, and a comparable-store sales increase of $1.3 million, or 5.3%, primarily driven by the strength of the July Fall Back to Campus collection. The aggregate number of our full-price and outlet stores grew from 49 at July 30, 2011, to 70 at July 28, 2012.</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July 28, 2012, net revenues in the Indirect segment increased $1.4 million, or 2.6%, to $57.3 million, from $55.9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comparable prior-year period, driven by the strength of the Fall Back to Campus collection in July, partially offset by a slowdown in May and June due to a product portfolio that underperformed.</w:t>
      </w:r>
    </w:p>
    <w:p>
      <w:pPr>
        <w:sectPr>
          <w:pgSz w:w="11900" w:h="16838" w:orient="portrait"/>
          <w:cols w:equalWidth="0" w:num="1">
            <w:col w:w="11400"/>
          </w:cols>
          <w:pgMar w:left="240" w:top="459" w:right="259" w:bottom="589"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459" w:right="259" w:bottom="589"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For the thirteen weeks ended July 28, 2012, gross profit increased $9.0 million, or 15.1%, to $68.6 million, from $59.6 million in the comparable prior-year period. As a percentage of net revenues, gross profit decreased to 55.8% for the thirteen weeks ended July 28, 2012, from 57.5% in the comparable prior-year period. The decline as a percentage of net revenues was due to increased promotional activity in both segments of our business, partially offset by a positive channel mix with the Direct segment becoming a larger part of our business, and operational savings.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thirteen weeks ended July 28, 2012, SG&amp;A expenses increased $8.7 million, or 22.3%, to $47.8 million, from $39.1 million in the comparable prior-year period. As a percentage of net revenues, SG&amp;A expenses were 38.9% and 37.7% for the fiscal quarters ended July 28, 2012, and July 30, 2011, respectively. The increase as a percentage of net revenues in SG&amp;A expenses was due primarily to annualizing fiscal 2012 infrastructure investments made in the second half of last year and higher occupancy costs driven by opening full-price stores earlier than originally anticipated.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For the thirteen weeks ended July 28, 2012, other income decreased $1.4 million, or 57.5%, to $1.0 million, from $2.4 million in the comparable prior-year period. The decrease in other income was in line with a decrease in associated advertising costs related to mailers for our specialty retailers.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thirteen weeks ended July 28, 2012, operating income decreased $1.1 million, or 4.9%, to $21.8 million, from $22.9 million in the comparable prior-year period. As a percentage of net revenues, operating income was 17.7% and 22.1% for the thirteen weeks ended July 28, 2012, and July 30, 2011, respectively.</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i w:val="1"/>
          <w:iCs w:val="1"/>
          <w:color w:val="auto"/>
        </w:rPr>
        <w:t>Direct</w:t>
      </w:r>
      <w:r>
        <w:rPr>
          <w:rFonts w:ascii="Arial" w:cs="Arial" w:eastAsia="Arial" w:hAnsi="Arial"/>
          <w:sz w:val="15"/>
          <w:szCs w:val="15"/>
          <w:color w:val="auto"/>
        </w:rPr>
        <w:t>. For the thirteen weeks ended July 28, 2012, operating income in the Direct segment increased $3.2 million, or 24.6%. As a percentage of Direct segment</w:t>
      </w:r>
      <w:r>
        <w:rPr>
          <w:rFonts w:ascii="Arial" w:cs="Arial" w:eastAsia="Arial" w:hAnsi="Arial"/>
          <w:sz w:val="15"/>
          <w:szCs w:val="15"/>
          <w:i w:val="1"/>
          <w:iCs w:val="1"/>
          <w:color w:val="auto"/>
        </w:rPr>
        <w:t xml:space="preserve"> </w:t>
      </w:r>
      <w:r>
        <w:rPr>
          <w:rFonts w:ascii="Arial" w:cs="Arial" w:eastAsia="Arial" w:hAnsi="Arial"/>
          <w:sz w:val="15"/>
          <w:szCs w:val="15"/>
          <w:color w:val="auto"/>
        </w:rPr>
        <w:t>net revenues, operating income in the Direct segment was 24.7% and 27.3% for the thirteen weeks ended July 28, 2012, and July 30, 2011, respectively. This decrease as a percentage of net revenues in the Direct segment was due primarily to increased promotional activity, offset in part by operational savings.</w:t>
      </w:r>
    </w:p>
    <w:p>
      <w:pPr>
        <w:spacing w:after="0" w:line="8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July 28, 2012, operating income in the Indirect segment decreased $0.4 million, or 1.6%. As a percentage of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Indirect segment was 41.3% and 43.0% for the thirteen weeks ended July 28, 2012, and July 30, 2011, respectively. This decrease as a percentage of net revenues in the Indirect segment resulted primarily from a decline in gross margin due to promotional activity, offset in part by sales-driven leverage of SG&amp;A.</w:t>
      </w:r>
    </w:p>
    <w:p>
      <w:pPr>
        <w:spacing w:after="0" w:line="14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July 28, 2012, unallocated expenses increased $3.9 million, or 27.9%, primarily as a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personnel and advertising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thirteen weeks ended July 28, 2012, net interest expense decreased $0.2 million, or 53.9%, to $0.1 million, from $0.3 million in the comparable prior-year period. The decrease of $0.2 million was due primarily to lower average borrowing levels in the thirteen weeks ended July 28,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effective tax rate for the thirteen weeks ended July 28, 2012, was 38.2%, compared to 39.6% for the thirteen weeks ended July 30, 2011. The valuation allowance recorded against the deferred tax asset arising from the net operating loss of the Company’s Japanese subsidiary decreased the effective tax rate by approximately 1.4% for the thirteen weeks ended July 28, 2012, when compared to the thirteen weeks ended July 30, 2011. This is due to a lower net operating loss for the thirteen weeks ended July 28, 2012.</w:t>
      </w:r>
    </w:p>
    <w:p>
      <w:pPr>
        <w:spacing w:after="0" w:line="218" w:lineRule="exact"/>
        <w:rPr>
          <w:sz w:val="20"/>
          <w:szCs w:val="20"/>
          <w:color w:val="auto"/>
        </w:rPr>
      </w:pPr>
    </w:p>
    <w:p>
      <w:pPr>
        <w:ind w:right="4420"/>
        <w:spacing w:after="0" w:line="347" w:lineRule="auto"/>
        <w:rPr>
          <w:sz w:val="20"/>
          <w:szCs w:val="20"/>
          <w:color w:val="auto"/>
        </w:rPr>
      </w:pPr>
      <w:r>
        <w:rPr>
          <w:rFonts w:ascii="Arial" w:cs="Arial" w:eastAsia="Arial" w:hAnsi="Arial"/>
          <w:sz w:val="18"/>
          <w:szCs w:val="18"/>
          <w:b w:val="1"/>
          <w:bCs w:val="1"/>
          <w:color w:val="auto"/>
        </w:rPr>
        <w:t xml:space="preserve">Twenty-Six Weeks Ended July 28, 2012, Compared to Twenty-Six Weeks Ended July 30, 2011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twenty-six weeks ended July 28, 2012, net revenues increased $35.0 million, or 17.1%, to $240.2 million, from $205.2 million in the comparable prior-year period.</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twenty-six weeks ended July 28, 2012, net revenues in the Direct segment increased $32.9 million, or 35.8%, to $124.9 million, from $92.0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growth resulted from a $21.5 million increase in revenues related to the opening of 14 new stores, a $9.3 million increase in e-commerce revenues due primarily to greater traffic resulting from marketing initiatives, a comparable-store sales increase of $1.9 million, or 4.9%, and an increase of $0.2 million in outlet-sale revenues. The aggregate number of our full-price and outlet stores grew from 49 at July 30, 2011 to 70 at July 28, 2012.</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twenty-six weeks ended July 28, 2012, net revenues in the Indirect segment increased $2.1 million, or 1.9%, to $115.3 million, from $113.2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driven by the strength of the Fall Back to Campus collection in July, partially offset by a slowdown due to a product portfolio that underperformed.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twenty-six weeks ended July 28, 2012, gross profit increased $17.8 million, or 15.4%, to $133.9 million, from $116.1 million in the comparable prior-year period. As a percentage of net revenues, gross profit decreased to 55.7% for the twenty-six weeks ended July 30, 2011, from 56.6% in the comparable prior-year period. The decline as a percentage of net revenues was due to increased promotional activity in both segments of our business, partially offset by a positive channel mix, and operational savings.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jc w:val="both"/>
        <w:ind w:right="40"/>
        <w:spacing w:after="0" w:line="323" w:lineRule="auto"/>
        <w:rPr>
          <w:sz w:val="20"/>
          <w:szCs w:val="20"/>
          <w:color w:val="auto"/>
        </w:rPr>
      </w:pPr>
      <w:r>
        <w:rPr>
          <w:rFonts w:ascii="Arial" w:cs="Arial" w:eastAsia="Arial" w:hAnsi="Arial"/>
          <w:sz w:val="15"/>
          <w:szCs w:val="15"/>
          <w:color w:val="auto"/>
        </w:rPr>
        <w:t>For the twenty-six weeks ended July 28, 2012, SG&amp;A expenses increased $15.9 million, or 20.1%, to $95.0 million, from $79.1 million in the comparable prior-year period. As a percentage of net revenues, SG&amp;A expenses were 39.6% and 38.6% for the fiscal quarters ended July 28, 2012, and July 30, 2011, respectively. The increase as a percentage of net revenues in SG&amp;A expenses was due primarily to annualizing fiscal 2012 infrastructure investments made in the second half of last year and higher occupancy costs driven by increased store count, offset in part by a decrease in advertising costs as a percentage of net 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the twenty-six weeks ended July 28, 2012, other income decreased $1.3 million, or 25.7%, to $3.7 million, from $5.0 million in the comparable prior-year period. The decrease in other income was in line with a decrease in associated advertising costs related to mailers for our specialty retailers.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twenty-six weeks ended July 28, 2012, operating income increased $0.6 million, or 1.5%, to $42.6 million, from $42.0 million in the comparable prior-year period. As a percentage of net revenues, operating income was 17.7% and 20.5% for the twenty-six weeks ended July 28, 2012, and July 30, 2011, respectively.</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twenty-six weeks ended July 28, 2012, operating income in the Direct segment increased $6.2 million, or 24.5%. As a percentage of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Direct segment was 25.3% and 27.6% for the twenty-six weeks ended July 28, 2012, and July 30, 2011, respectively. This decrease as a percentage of net revenues in the Direct segment was due primarily to increased promotional activity, offset in part by a positive channel mix and operational savings.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twenty-six weeks ended July 28, 2012, operating income in the Indirect segment increased $0.3 million, or 0.7%. As a percentage of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Indirect segment was 40.0% and 40.5% for the twenty-six weeks ended July 28, 2012, and July 30, 2011, respectively. This decrease as a percentage of net revenues in the Indirect segment resulted primarily from a decline in gross margin due to promotional activity, offset in part by sales-driven leverage of SG&amp;A.</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twenty-six weeks ended July 28, 2012, unallocated expenses increased $5.9 million, or 20.3%, primarily as a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personnel and advertising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twenty-six weeks ended July 28, 2012, net interest expense decreased $0.3 million, or 46.9%, to $0.3 million, from $0.6 million in the comparable prior-year period. The decrease was due to lower average borrowing levels in the twenty-six weeks ended July 28, 2012.</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effective tax rate for the twenty-six weeks ended July 28, 2012, was 38.5%, compared to 39.9% for the twenty-six weeks ended July 30, 2011. The Company’s effective tax rate for the twenty-six weeks ended July 30, 2011, was negatively impacted by the non-deductibility of expenses related to the April 2011 secondary offering. The expenses were recorded as a discrete event and increased the effective tax rate by approximately 0.5% for the twenty-six weeks ended July 30, 2011. The valuation allowance recorded against the deferred tax asset arising from the net operating loss of the Company’s Japanese subsidiary decreased the effective tax rate by approximately 1.0% for the twenty-six weeks ended July 28, 2012, when compared to the twenty-six weeks ended July 30, 2011. This is due to a lower net operating loss for the twenty-six weeks ended July 28,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primary source of liquidity is cash flow from operations. We also have access to additional liquidity, if needed, through borrowings under our $125.0 million credit agreement. Historically, our primary cash needs have been for inventories, payroll, store rent, capital expenditures associated with opening new stores, debt repayments, operational equipment, and information technology. The most significant components of our working capital are cash and cash equivalents, inventories, accounts receivable, accounts payable, and other current liabilities. We do not believe that the expansion of our Direct business will materially alter the nature and levels of our accounts receivable and inventories, or require materially increased borrowings under our credit agreement, in the near term.</w:t>
      </w:r>
    </w:p>
    <w:p>
      <w:pPr>
        <w:spacing w:after="0" w:line="11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We believe that cash flows from operating activities and the availability of borrowings under our credit agreement or other financing arrangements will be sufficient to meet working capital requirements, anticipated capital expenditures, and debt payments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Twenty-Six Weeks Ended</w:t>
            </w:r>
          </w:p>
        </w:tc>
      </w:tr>
      <w:tr>
        <w:trPr>
          <w:trHeight w:val="129"/>
        </w:trPr>
        <w:tc>
          <w:tcPr>
            <w:tcW w:w="50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9"/>
              </w:rPr>
              <w:t>July 28,</w:t>
            </w: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July 30,</w:t>
            </w:r>
          </w:p>
        </w:tc>
        <w:tc>
          <w:tcPr>
            <w:tcW w:w="120" w:type="dxa"/>
            <w:vAlign w:val="bottom"/>
          </w:tcPr>
          <w:p>
            <w:pPr>
              <w:spacing w:after="0"/>
              <w:rPr>
                <w:sz w:val="11"/>
                <w:szCs w:val="11"/>
                <w:color w:val="auto"/>
              </w:rPr>
            </w:pPr>
          </w:p>
        </w:tc>
      </w:tr>
      <w:tr>
        <w:trPr>
          <w:trHeight w:val="161"/>
        </w:trPr>
        <w:tc>
          <w:tcPr>
            <w:tcW w:w="5040" w:type="dxa"/>
            <w:vAlign w:val="bottom"/>
          </w:tcPr>
          <w:p>
            <w:pPr>
              <w:spacing w:after="0"/>
              <w:rPr>
                <w:sz w:val="14"/>
                <w:szCs w:val="14"/>
                <w:color w:val="auto"/>
              </w:rPr>
            </w:pPr>
          </w:p>
        </w:tc>
        <w:tc>
          <w:tcPr>
            <w:tcW w:w="2180" w:type="dxa"/>
            <w:vAlign w:val="bottom"/>
            <w:gridSpan w:val="2"/>
          </w:tcPr>
          <w:p>
            <w:pPr>
              <w:jc w:val="center"/>
              <w:ind w:left="1397"/>
              <w:spacing w:after="0"/>
              <w:rPr>
                <w:sz w:val="20"/>
                <w:szCs w:val="20"/>
                <w:color w:val="auto"/>
              </w:rPr>
            </w:pPr>
            <w:r>
              <w:rPr>
                <w:rFonts w:ascii="Arial" w:cs="Arial" w:eastAsia="Arial" w:hAnsi="Arial"/>
                <w:sz w:val="14"/>
                <w:szCs w:val="14"/>
                <w:b w:val="1"/>
                <w:bCs w:val="1"/>
                <w:color w:val="auto"/>
                <w:w w:val="83"/>
              </w:rPr>
              <w:t>2012</w:t>
            </w:r>
          </w:p>
        </w:tc>
        <w:tc>
          <w:tcPr>
            <w:tcW w:w="360" w:type="dxa"/>
            <w:vAlign w:val="bottom"/>
          </w:tcPr>
          <w:p>
            <w:pPr>
              <w:spacing w:after="0"/>
              <w:rPr>
                <w:sz w:val="14"/>
                <w:szCs w:val="14"/>
                <w:color w:val="auto"/>
              </w:rPr>
            </w:pPr>
          </w:p>
        </w:tc>
        <w:tc>
          <w:tcPr>
            <w:tcW w:w="980" w:type="dxa"/>
            <w:vAlign w:val="bottom"/>
            <w:gridSpan w:val="2"/>
          </w:tcPr>
          <w:p>
            <w:pPr>
              <w:jc w:val="center"/>
              <w:ind w:left="197"/>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25,461</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(11,778)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gridSpan w:val="3"/>
          </w:tcPr>
          <w:p>
            <w:pPr>
              <w:jc w:val="right"/>
              <w:ind w:right="320"/>
              <w:spacing w:after="0"/>
              <w:rPr>
                <w:sz w:val="20"/>
                <w:szCs w:val="20"/>
                <w:color w:val="auto"/>
              </w:rPr>
            </w:pPr>
            <w:r>
              <w:rPr>
                <w:rFonts w:ascii="Arial" w:cs="Arial" w:eastAsia="Arial" w:hAnsi="Arial"/>
                <w:sz w:val="18"/>
                <w:szCs w:val="18"/>
                <w:color w:val="auto"/>
              </w:rPr>
              <w:t>(22,704)</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(6,526)</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2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for the twenty-six weeks ended July 28, 2012 was $25.5 million, compared to net cash used in operating activities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$11.8 million for the twenty-six weeks ended July 30, 2011. The $37.3 million increase in cash provided by operating activities was due primarily to increased net cash inflows from operating assets and liabilities driven by improvements in our supply chain and inventory management processes which enabled lower inventory growth and timing of estimated tax payments.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distribution center expansion, operational equipment, and information technology investments.</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Net cash used in investing activities was $22.7 million and $6.5 million for the twenty-six weeks ended July 28, 2012, and July 30, 2011, respectively. The $16.2 million increase in capital expenditures was due primarily to the expansion of the distribution facility and to increased investments in new stores, including the opening of 14 stores during the twenty-six weeks ended July 28, 2012, compared to 10 stores during the twenty-six weeks ended July 30, 2011.</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Capital expenditures for fiscal year 2013 are expected to be approximately $36.0 million, which includes approximately $19.0 million related to the distribution center expansion.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consist primarily of borrowings and repayments under our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$0.1 million for the twenty-six weeks ended July 28, 2012.</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cash provided by financing activities was $5.1 million for the twenty-six weeks ended July 30, 2011, resulting primarily from $4.7 million of net borrowings under our credit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October 4, 2010, Vera Bradley Designs, Inc. entered into a credit agreement with JPMorgan Chase Bank, as administrative agent, and certain other lenders. The credit agreement provides for a revolving credit commitment of $125.0 million. All borrowings under the credit agreement are collateralized by substantially all of the Company’s assets. The credit agreement is also guaranteed by Vera Bradley, Inc. and its subsidiaries (other than Vera Bradley Designs, Inc.).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July 28, 2012.</w:t>
      </w:r>
    </w:p>
    <w:p>
      <w:pPr>
        <w:spacing w:after="0" w:line="12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Borrowings under the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July 28, 2012, the interest rate on outstanding borrowings under the credit agreement was 1.30%. The Company had borrowing availability of $99.7 million under the agreement as of July 28, 2012.</w:t>
      </w:r>
    </w:p>
    <w:p>
      <w:pPr>
        <w:spacing w:after="0" w:line="13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June 1, 2012, Vera Bradley Designs Inc., entered into an amendment to the credit agreement. The amendment extends the maturity date from October 3, 2015 to June 1, 2017. Certain permitted indebtedness covenants were also amended.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28, 2012.</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of the Company’s accounting policies and estimates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28, 2012. There was no significant change to any of the critical accounting policies and estimates described in the Annual Report.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2011, FASB issued ASU 2011-05, C</w:t>
      </w:r>
      <w:r>
        <w:rPr>
          <w:rFonts w:ascii="Arial" w:cs="Arial" w:eastAsia="Arial" w:hAnsi="Arial"/>
          <w:sz w:val="18"/>
          <w:szCs w:val="18"/>
          <w:i w:val="1"/>
          <w:iCs w:val="1"/>
          <w:color w:val="auto"/>
        </w:rPr>
        <w:t>omprehensive Income – Presentation of Comprehensive Income</w:t>
      </w:r>
      <w:r>
        <w:rPr>
          <w:rFonts w:ascii="Arial" w:cs="Arial" w:eastAsia="Arial" w:hAnsi="Arial"/>
          <w:sz w:val="18"/>
          <w:szCs w:val="18"/>
          <w:color w:val="auto"/>
        </w:rPr>
        <w:t>. This guidance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In accordance with this guidance, we have presented two separate but consecutive statements which include the components of net income and other comprehensive income.</w:t>
      </w:r>
    </w:p>
    <w:p>
      <w:pPr>
        <w:spacing w:after="0" w:line="1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May 2011, FASB issued ASU 2011-04, </w:t>
      </w:r>
      <w:r>
        <w:rPr>
          <w:rFonts w:ascii="Arial" w:cs="Arial" w:eastAsia="Arial" w:hAnsi="Arial"/>
          <w:sz w:val="18"/>
          <w:szCs w:val="18"/>
          <w:i w:val="1"/>
          <w:iCs w:val="1"/>
          <w:color w:val="auto"/>
        </w:rPr>
        <w:t>Fair Value Measurement – Amendments to Achieve Common Fair Value Measurement and Disclosure Requirements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U.S. GAAP and IFRS</w:t>
      </w:r>
      <w:r>
        <w:rPr>
          <w:rFonts w:ascii="Arial" w:cs="Arial" w:eastAsia="Arial" w:hAnsi="Arial"/>
          <w:sz w:val="18"/>
          <w:szCs w:val="18"/>
          <w:color w:val="auto"/>
        </w:rPr>
        <w:t>. The guidance requires additional disclosures, including disclosures related to the measurement of Level 3 assets. The guidance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interim and annual periods beginning after December 15, 2011 and is applied prospectively. The adoption of this pronouncement did not have a material impact on our consolidated financial statements.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As of July 28, 2012, there was no material change in the market risks described in “Quantitative and Qualitative Disclosures About Market Risks” in the Company’s Annual Report on Form 10-K for the fiscal year ended January 28,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and Administrative Officer, of the effectiveness of the design and operation of the Company’s disclosure controls and procedures pursuant to Rule 13a-15 of the Securities Exchange Act of 1934. Based on that evaluation, the Chief Executive Officer and Chief Financial and Administrative Officer concluded that the Company’s disclosure controls and procedures were effective as of July 28, 2012.</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January 28,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460" w:type="dxa"/>
            <w:vAlign w:val="bottom"/>
          </w:tcPr>
          <w:p>
            <w:pPr>
              <w:spacing w:after="0"/>
              <w:rPr>
                <w:sz w:val="14"/>
                <w:szCs w:val="14"/>
                <w:color w:val="auto"/>
              </w:rPr>
            </w:pP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CEO Section 302 Certification</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CFO Section 302 Certification</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ind w:left="1020" w:hanging="914"/>
        <w:spacing w:after="0" w:line="323" w:lineRule="auto"/>
        <w:tabs>
          <w:tab w:leader="none" w:pos="1020" w:val="left"/>
        </w:tabs>
        <w:numPr>
          <w:ilvl w:val="1"/>
          <w:numId w:val="14"/>
        </w:numPr>
        <w:rPr>
          <w:rFonts w:ascii="Arial" w:cs="Arial" w:eastAsia="Arial" w:hAnsi="Arial"/>
          <w:sz w:val="15"/>
          <w:szCs w:val="15"/>
          <w:color w:val="auto"/>
        </w:rPr>
      </w:pPr>
      <w:r>
        <w:rPr>
          <w:rFonts w:ascii="Arial" w:cs="Arial" w:eastAsia="Arial" w:hAnsi="Arial"/>
          <w:sz w:val="15"/>
          <w:szCs w:val="15"/>
          <w:color w:val="auto"/>
        </w:rPr>
        <w:t>The following materials from the Vera Bradley, Inc.’s Quarterly Report on Form 10-Q for the quarter ended July 28, 2012 formatted in Extensible Business Reporting Language (XBRL): (i) Consolidated Statements of Income and Comprehensive Income for the Thirteen and Twenty-Six Weeks ended July 28, 2012 and July 30, 2011; (ii) Consolidated Balance Sheets at July 28, 2012 and January 28, 2012; (iii) Consolidated Statements of Cash Flows for the Twenty-Six Weeks Ended July 28, 2012 and July 30, 2011, and (iv) Notes to Consolidated Financial Statements. **</w:t>
      </w:r>
    </w:p>
    <w:p>
      <w:pPr>
        <w:spacing w:after="0" w:line="8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6"/>
          <w:szCs w:val="16"/>
          <w:color w:val="auto"/>
        </w:rPr>
        <w:t>Furnished, not filed.</w:t>
      </w:r>
    </w:p>
    <w:p>
      <w:pPr>
        <w:spacing w:after="0" w:line="15" w:lineRule="exact"/>
        <w:rPr>
          <w:rFonts w:ascii="Arial" w:cs="Arial" w:eastAsia="Arial" w:hAnsi="Arial"/>
          <w:sz w:val="15"/>
          <w:szCs w:val="15"/>
          <w:color w:val="auto"/>
        </w:rPr>
      </w:pPr>
    </w:p>
    <w:p>
      <w:pPr>
        <w:ind w:left="460" w:right="40" w:hanging="452"/>
        <w:spacing w:after="0" w:line="30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Vera Bradley, Inc.</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7"/>
        </w:trPr>
        <w:tc>
          <w:tcPr>
            <w:tcW w:w="3700" w:type="dxa"/>
            <w:vAlign w:val="bottom"/>
          </w:tcPr>
          <w:p>
            <w:pPr>
              <w:spacing w:after="0"/>
              <w:rPr>
                <w:sz w:val="20"/>
                <w:szCs w:val="20"/>
                <w:color w:val="auto"/>
              </w:rPr>
            </w:pPr>
            <w:r>
              <w:rPr>
                <w:rFonts w:ascii="Arial" w:cs="Arial" w:eastAsia="Arial" w:hAnsi="Arial"/>
                <w:sz w:val="18"/>
                <w:szCs w:val="18"/>
                <w:color w:val="auto"/>
              </w:rPr>
              <w:t>Date: September 6, 2012</w:t>
            </w:r>
          </w:p>
        </w:tc>
        <w:tc>
          <w:tcPr>
            <w:tcW w:w="22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A. Blade</w:t>
            </w:r>
          </w:p>
        </w:tc>
      </w:tr>
      <w:tr>
        <w:trPr>
          <w:trHeight w:val="202"/>
        </w:trPr>
        <w:tc>
          <w:tcPr>
            <w:tcW w:w="3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Jeffrey A. Blade</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Vice President – Chief Financial and Administrative</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Officer (duly authorized officer and principal financial officer)</w:t>
            </w:r>
          </w:p>
        </w:tc>
      </w:tr>
      <w:tr>
        <w:trPr>
          <w:trHeight w:val="378"/>
        </w:trPr>
        <w:tc>
          <w:tcPr>
            <w:tcW w:w="3700" w:type="dxa"/>
            <w:vAlign w:val="bottom"/>
          </w:tcPr>
          <w:p>
            <w:pPr>
              <w:spacing w:after="0"/>
              <w:rPr>
                <w:sz w:val="24"/>
                <w:szCs w:val="24"/>
                <w:color w:val="auto"/>
              </w:rPr>
            </w:pP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0400" w:type="dxa"/>
            <w:vAlign w:val="bottom"/>
          </w:tcPr>
          <w:p>
            <w:pPr>
              <w:spacing w:after="0"/>
              <w:rPr>
                <w:sz w:val="14"/>
                <w:szCs w:val="14"/>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CEO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CFO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ind w:left="1020" w:right="40" w:hanging="1012"/>
        <w:spacing w:after="0" w:line="323" w:lineRule="auto"/>
        <w:tabs>
          <w:tab w:leader="none" w:pos="10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following materials from the Vera Bradley, Inc.’s Quarterly Report on Form 10-Q for the quarter ended July 28, 2012 formatted in Extensible Business Reporting Language (XBRL): (i) Consolidated Statements of Income and Comprehensive Income for the Thirteen and Twenty-Six Weeks ended July 28, 2012 and July 30, 2011; (ii) Consolidated Balance Sheets at July 28, 2012 and January 28, 2012; (iii) Consolidated Statements of Cash Flows for the Twenty-Six Weeks Ended July 28, 2012 and July 30, 2011, and (iv)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5" w:lineRule="exact"/>
        <w:rPr>
          <w:sz w:val="20"/>
          <w:szCs w:val="20"/>
          <w:color w:val="auto"/>
        </w:rPr>
      </w:pPr>
    </w:p>
    <w:p>
      <w:pPr>
        <w:ind w:left="460" w:right="80" w:hanging="452"/>
        <w:spacing w:after="0" w:line="30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C. Ray,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Jeffrey A. Blade,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September 6, 2012</w:t>
      </w:r>
      <w:r>
        <w:rPr>
          <w:sz w:val="20"/>
          <w:szCs w:val="20"/>
          <w:color w:val="auto"/>
        </w:rPr>
        <w:tab/>
      </w:r>
      <w:r>
        <w:rPr>
          <w:rFonts w:ascii="Arial" w:cs="Arial" w:eastAsia="Arial" w:hAnsi="Arial"/>
          <w:sz w:val="16"/>
          <w:szCs w:val="16"/>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Executive Vice President—Chief Financial and Administrative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 Michael C. Ray, the Chief Executive Officer of Vera Bradley, Inc., certify that (i) the quarterly report on Form 10-Q for the fiscal quarter ended July 28, 2012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September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 Jeffrey A. Blade, the Executive Vice President—Chief Financial and Administrative Officer of Vera Bradley, Inc., certify that (i) the quarterly report on Form 10-Q for the fiscal quarter ended July 28, 2012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President—Chief Financial and Administrative</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Officer</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September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3"/>
    </w:lvl>
    <w:lvl w:ilvl="1">
      <w:lvlJc w:val="left"/>
      <w:lvlText w:val="•"/>
      <w:numFmt w:val="bullet"/>
      <w:start w:val="1"/>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1."/>
      <w:numFmt w:val="decimal"/>
      <w:start w:val="7"/>
    </w:lvl>
  </w:abstractNum>
  <w:abstractNum w:abstractNumId="10">
    <w:nsid w:val="41A7C4C9"/>
    <w:multiLevelType w:val="hybridMultilevel"/>
    <w:lvl w:ilvl="0">
      <w:lvlJc w:val="left"/>
      <w:lvlText w:val="%1."/>
      <w:numFmt w:val="decimal"/>
      <w:start w:val="8"/>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lvl w:ilvl="1">
      <w:lvlJc w:val="left"/>
      <w:lvlText w:val="%2"/>
      <w:numFmt w:val="decimal"/>
      <w:start w:val="101"/>
    </w:lvl>
  </w:abstractNum>
  <w:abstractNum w:abstractNumId="14">
    <w:nsid w:val="519B500D"/>
    <w:multiLevelType w:val="hybridMultilevel"/>
    <w:lvl w:ilvl="0">
      <w:lvlJc w:val="left"/>
      <w:lvlText w:val="**"/>
      <w:numFmt w:val="bullet"/>
      <w:start w:val="1"/>
    </w:lvl>
    <w:lvl w:ilvl="1">
      <w:lvlJc w:val="left"/>
      <w:lvlText w:val="%2"/>
      <w:numFmt w:val="decimal"/>
      <w:start w:val="1"/>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2019-12-09T18:54:29Z</dcterms:created>
  <dcterms:modified xsi:type="dcterms:W3CDTF">2019-12-09T18:54:29Z</dcterms:modified>
</cp:coreProperties>
</file>