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28,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314" w:right="239" w:bottom="1440" w:gutter="0" w:footer="0" w:header="0"/>
        </w:sectPr>
      </w:pPr>
    </w:p>
    <w:p>
      <w:pPr>
        <w:spacing w:after="0" w:line="122"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120" w:space="720"/>
            <w:col w:w="4580"/>
          </w:cols>
          <w:pgMar w:left="240" w:top="314"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 BRADLEY,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6380" w:type="dxa"/>
            <w:vAlign w:val="bottom"/>
          </w:tcPr>
          <w:p>
            <w:pPr>
              <w:jc w:val="center"/>
              <w:ind w:right="4042"/>
              <w:spacing w:after="0"/>
              <w:rPr>
                <w:sz w:val="20"/>
                <w:szCs w:val="20"/>
                <w:color w:val="auto"/>
              </w:rPr>
            </w:pPr>
            <w:r>
              <w:rPr>
                <w:rFonts w:ascii="Arial" w:cs="Arial" w:eastAsia="Arial" w:hAnsi="Arial"/>
                <w:sz w:val="18"/>
                <w:szCs w:val="18"/>
                <w:b w:val="1"/>
                <w:bCs w:val="1"/>
                <w:color w:val="auto"/>
                <w:w w:val="91"/>
              </w:rPr>
              <w:t>Indiana</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27-2935063</w:t>
            </w:r>
          </w:p>
        </w:tc>
      </w:tr>
      <w:tr>
        <w:trPr>
          <w:trHeight w:val="149"/>
        </w:trPr>
        <w:tc>
          <w:tcPr>
            <w:tcW w:w="6380" w:type="dxa"/>
            <w:vAlign w:val="bottom"/>
          </w:tcPr>
          <w:p>
            <w:pPr>
              <w:jc w:val="center"/>
              <w:ind w:right="406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80" w:type="dxa"/>
            <w:vAlign w:val="bottom"/>
          </w:tcPr>
          <w:p>
            <w:pPr>
              <w:jc w:val="center"/>
              <w:ind w:right="4062"/>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80" w:type="dxa"/>
            <w:vAlign w:val="bottom"/>
          </w:tcPr>
          <w:p>
            <w:pPr>
              <w:jc w:val="center"/>
              <w:ind w:right="4062"/>
              <w:spacing w:after="0"/>
              <w:rPr>
                <w:sz w:val="20"/>
                <w:szCs w:val="20"/>
                <w:color w:val="auto"/>
              </w:rPr>
            </w:pPr>
            <w:r>
              <w:rPr>
                <w:rFonts w:ascii="Arial" w:cs="Arial" w:eastAsia="Arial" w:hAnsi="Arial"/>
                <w:sz w:val="18"/>
                <w:szCs w:val="18"/>
                <w:b w:val="1"/>
                <w:bCs w:val="1"/>
                <w:color w:val="auto"/>
                <w:w w:val="88"/>
              </w:rPr>
              <w:t>2208 Production Road,</w:t>
            </w:r>
          </w:p>
        </w:tc>
        <w:tc>
          <w:tcPr>
            <w:tcW w:w="1100" w:type="dxa"/>
            <w:vAlign w:val="bottom"/>
          </w:tcPr>
          <w:p>
            <w:pPr>
              <w:spacing w:after="0"/>
              <w:rPr>
                <w:sz w:val="24"/>
                <w:szCs w:val="24"/>
                <w:color w:val="auto"/>
              </w:rPr>
            </w:pPr>
          </w:p>
        </w:tc>
      </w:tr>
      <w:tr>
        <w:trPr>
          <w:trHeight w:val="231"/>
        </w:trPr>
        <w:tc>
          <w:tcPr>
            <w:tcW w:w="6380" w:type="dxa"/>
            <w:vAlign w:val="bottom"/>
          </w:tcPr>
          <w:p>
            <w:pPr>
              <w:jc w:val="center"/>
              <w:ind w:right="4062"/>
              <w:spacing w:after="0"/>
              <w:rPr>
                <w:sz w:val="20"/>
                <w:szCs w:val="20"/>
                <w:color w:val="auto"/>
              </w:rPr>
            </w:pPr>
            <w:r>
              <w:rPr>
                <w:rFonts w:ascii="Arial" w:cs="Arial" w:eastAsia="Arial" w:hAnsi="Arial"/>
                <w:sz w:val="18"/>
                <w:szCs w:val="18"/>
                <w:b w:val="1"/>
                <w:bCs w:val="1"/>
                <w:color w:val="auto"/>
                <w:w w:val="91"/>
              </w:rPr>
              <w:t>Fort Wayne, Indiana</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46808</w:t>
            </w:r>
          </w:p>
        </w:tc>
      </w:tr>
      <w:tr>
        <w:trPr>
          <w:trHeight w:val="174"/>
        </w:trPr>
        <w:tc>
          <w:tcPr>
            <w:tcW w:w="6380" w:type="dxa"/>
            <w:vAlign w:val="bottom"/>
          </w:tcPr>
          <w:p>
            <w:pPr>
              <w:jc w:val="center"/>
              <w:ind w:right="40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80" w:type="dxa"/>
            <w:vAlign w:val="bottom"/>
          </w:tcPr>
          <w:p>
            <w:pPr>
              <w:jc w:val="center"/>
              <w:ind w:left="1482"/>
              <w:spacing w:after="0"/>
              <w:rPr>
                <w:sz w:val="20"/>
                <w:szCs w:val="20"/>
                <w:color w:val="auto"/>
              </w:rPr>
            </w:pPr>
            <w:r>
              <w:rPr>
                <w:rFonts w:ascii="Arial" w:cs="Arial" w:eastAsia="Arial" w:hAnsi="Arial"/>
                <w:sz w:val="18"/>
                <w:szCs w:val="18"/>
                <w:b w:val="1"/>
                <w:bCs w:val="1"/>
                <w:color w:val="auto"/>
                <w:w w:val="89"/>
              </w:rPr>
              <w:t>(877) 708-8372</w:t>
            </w:r>
          </w:p>
        </w:tc>
        <w:tc>
          <w:tcPr>
            <w:tcW w:w="1100" w:type="dxa"/>
            <w:vAlign w:val="bottom"/>
          </w:tcPr>
          <w:p>
            <w:pPr>
              <w:spacing w:after="0"/>
              <w:rPr>
                <w:sz w:val="24"/>
                <w:szCs w:val="24"/>
                <w:color w:val="auto"/>
              </w:rPr>
            </w:pPr>
          </w:p>
        </w:tc>
      </w:tr>
      <w:tr>
        <w:trPr>
          <w:trHeight w:val="174"/>
        </w:trPr>
        <w:tc>
          <w:tcPr>
            <w:tcW w:w="6380" w:type="dxa"/>
            <w:vAlign w:val="bottom"/>
          </w:tcPr>
          <w:p>
            <w:pPr>
              <w:jc w:val="center"/>
              <w:ind w:left="148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352"/>
        </w:trPr>
        <w:tc>
          <w:tcPr>
            <w:tcW w:w="6380" w:type="dxa"/>
            <w:vAlign w:val="bottom"/>
          </w:tcPr>
          <w:p>
            <w:pPr>
              <w:jc w:val="center"/>
              <w:ind w:left="1482"/>
              <w:spacing w:after="0"/>
              <w:rPr>
                <w:sz w:val="20"/>
                <w:szCs w:val="20"/>
                <w:color w:val="auto"/>
              </w:rPr>
            </w:pPr>
            <w:r>
              <w:rPr>
                <w:rFonts w:ascii="Arial" w:cs="Arial" w:eastAsia="Arial" w:hAnsi="Arial"/>
                <w:sz w:val="18"/>
                <w:szCs w:val="18"/>
                <w:b w:val="1"/>
                <w:bCs w:val="1"/>
                <w:color w:val="auto"/>
                <w:w w:val="84"/>
              </w:rPr>
              <w:t>None</w:t>
            </w:r>
          </w:p>
        </w:tc>
        <w:tc>
          <w:tcPr>
            <w:tcW w:w="1100" w:type="dxa"/>
            <w:vAlign w:val="bottom"/>
          </w:tcPr>
          <w:p>
            <w:pPr>
              <w:spacing w:after="0"/>
              <w:rPr>
                <w:sz w:val="24"/>
                <w:szCs w:val="24"/>
                <w:color w:val="auto"/>
              </w:rPr>
            </w:pPr>
          </w:p>
        </w:tc>
      </w:tr>
      <w:tr>
        <w:trPr>
          <w:trHeight w:val="174"/>
        </w:trPr>
        <w:tc>
          <w:tcPr>
            <w:tcW w:w="6380" w:type="dxa"/>
            <w:vAlign w:val="bottom"/>
          </w:tcPr>
          <w:p>
            <w:pPr>
              <w:jc w:val="center"/>
              <w:ind w:left="148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registrant had 40,531,975 shares of its common stock outstanding as of June 1, 2012.</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40" w:type="dxa"/>
            <w:vAlign w:val="bottom"/>
            <w:gridSpan w:val="7"/>
          </w:tcPr>
          <w:p>
            <w:pPr>
              <w:ind w:left="56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19"/>
                <w:szCs w:val="19"/>
                <w:color w:val="auto"/>
              </w:rPr>
            </w:pPr>
          </w:p>
        </w:tc>
      </w:tr>
      <w:tr>
        <w:trPr>
          <w:trHeight w:val="380"/>
        </w:trPr>
        <w:tc>
          <w:tcPr>
            <w:tcW w:w="300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FINANCIAL INFORMATION</w:t>
              </w:r>
            </w:hyperlink>
          </w:p>
        </w:tc>
        <w:tc>
          <w:tcPr>
            <w:tcW w:w="7160" w:type="dxa"/>
            <w:vAlign w:val="bottom"/>
            <w:gridSpan w:val="9"/>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16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2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April 28, 2012, and January 28, 2012</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1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Income for the Thirteen Weeks Ended April 28, 2012, and April 30, 2011</w:t>
              </w:r>
            </w:hyperlink>
          </w:p>
        </w:tc>
        <w:tc>
          <w:tcPr>
            <w:tcW w:w="214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80" w:type="dxa"/>
            <w:vAlign w:val="bottom"/>
          </w:tcPr>
          <w:p>
            <w:pPr>
              <w:spacing w:after="0"/>
              <w:rPr>
                <w:sz w:val="24"/>
                <w:szCs w:val="24"/>
                <w:color w:val="auto"/>
              </w:rPr>
            </w:pPr>
          </w:p>
        </w:tc>
        <w:tc>
          <w:tcPr>
            <w:tcW w:w="82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Comprehensive Income for the Thirteen Weeks Ended April 28, 2012, and April 30, 2011</w:t>
              </w:r>
            </w:hyperlink>
          </w:p>
        </w:tc>
        <w:tc>
          <w:tcPr>
            <w:tcW w:w="10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8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Cash Flows for the Thirteen Weeks Ended April 28, 2012, and April 30, 2011</w:t>
              </w:r>
            </w:hyperlink>
          </w:p>
        </w:tc>
        <w:tc>
          <w:tcPr>
            <w:tcW w:w="184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80" w:type="dxa"/>
            <w:vAlign w:val="bottom"/>
          </w:tcPr>
          <w:p>
            <w:pPr>
              <w:spacing w:after="0"/>
              <w:rPr>
                <w:sz w:val="24"/>
                <w:szCs w:val="24"/>
                <w:color w:val="auto"/>
              </w:rPr>
            </w:pPr>
          </w:p>
        </w:tc>
        <w:tc>
          <w:tcPr>
            <w:tcW w:w="33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the Consolidated Financial Statements</w:t>
              </w:r>
            </w:hyperlink>
          </w:p>
        </w:tc>
        <w:tc>
          <w:tcPr>
            <w:tcW w:w="594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1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98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20">
              <w:r>
                <w:rPr>
                  <w:rFonts w:ascii="Arial" w:cs="Arial" w:eastAsia="Arial" w:hAnsi="Arial"/>
                  <w:sz w:val="18"/>
                  <w:szCs w:val="18"/>
                  <w:color w:val="0000EE"/>
                  <w:w w:val="86"/>
                </w:rPr>
                <w:t>Controls and Procedures</w:t>
              </w:r>
            </w:hyperlink>
          </w:p>
        </w:tc>
        <w:tc>
          <w:tcPr>
            <w:tcW w:w="7540" w:type="dxa"/>
            <w:vAlign w:val="bottom"/>
            <w:gridSpan w:val="11"/>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0160" w:type="dxa"/>
            <w:vAlign w:val="bottom"/>
            <w:gridSpan w:val="15"/>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OTHER INFORMATION</w:t>
              </w:r>
            </w:hyperlink>
          </w:p>
        </w:tc>
        <w:tc>
          <w:tcPr>
            <w:tcW w:w="1160" w:type="dxa"/>
            <w:vAlign w:val="bottom"/>
          </w:tcPr>
          <w:p>
            <w:pPr>
              <w:spacing w:after="0"/>
              <w:rPr>
                <w:sz w:val="24"/>
                <w:szCs w:val="24"/>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1A.</w:t>
            </w: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7460" w:type="dxa"/>
            <w:vAlign w:val="bottom"/>
            <w:gridSpan w:val="10"/>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Exhibits</w:t>
              </w:r>
            </w:hyperlink>
          </w:p>
        </w:tc>
        <w:tc>
          <w:tcPr>
            <w:tcW w:w="280" w:type="dxa"/>
            <w:vAlign w:val="bottom"/>
            <w:tcBorders>
              <w:top w:val="single" w:sz="8" w:color="0000EE"/>
            </w:tcBorders>
          </w:tcPr>
          <w:p>
            <w:pPr>
              <w:spacing w:after="0"/>
              <w:rPr>
                <w:sz w:val="24"/>
                <w:szCs w:val="24"/>
                <w:color w:val="auto"/>
              </w:rPr>
            </w:pPr>
          </w:p>
        </w:tc>
        <w:tc>
          <w:tcPr>
            <w:tcW w:w="840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32"/>
        </w:trPr>
        <w:tc>
          <w:tcPr>
            <w:tcW w:w="880" w:type="dxa"/>
            <w:vAlign w:val="bottom"/>
          </w:tcPr>
          <w:p>
            <w:pPr>
              <w:spacing w:after="0"/>
              <w:rPr>
                <w:sz w:val="24"/>
                <w:szCs w:val="24"/>
                <w:color w:val="auto"/>
              </w:rPr>
            </w:pPr>
          </w:p>
        </w:tc>
        <w:tc>
          <w:tcPr>
            <w:tcW w:w="5080" w:type="dxa"/>
            <w:vAlign w:val="bottom"/>
            <w:gridSpan w:val="9"/>
          </w:tcPr>
          <w:p>
            <w:pPr>
              <w:ind w:left="480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rFonts w:ascii="Arial" w:cs="Arial" w:eastAsia="Arial" w:hAnsi="Arial"/>
          <w:sz w:val="14"/>
          <w:szCs w:val="14"/>
          <w:b w:val="1"/>
          <w:bCs w:val="1"/>
          <w:color w:val="auto"/>
        </w:rPr>
        <w:t>ORWARD</w:t>
      </w:r>
      <w:r>
        <w:rPr>
          <w:rFonts w:ascii="Arial" w:cs="Arial" w:eastAsia="Arial" w:hAnsi="Arial"/>
          <w:sz w:val="18"/>
          <w:szCs w:val="18"/>
          <w:b w:val="1"/>
          <w:bCs w:val="1"/>
          <w:color w:val="auto"/>
        </w:rPr>
        <w:t>-</w:t>
      </w:r>
      <w:r>
        <w:rPr>
          <w:rFonts w:ascii="Arial" w:cs="Arial" w:eastAsia="Arial" w:hAnsi="Arial"/>
          <w:sz w:val="14"/>
          <w:szCs w:val="14"/>
          <w:b w:val="1"/>
          <w:bCs w:val="1"/>
          <w:color w:val="auto"/>
        </w:rPr>
        <w:t>LOOKING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January 28, 2012.</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ind w:left="4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9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April 28,</w:t>
            </w: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157,012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of accumulated depreciation of $44,125 and $41,872,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219,313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31,195</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employment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Preferred stock; 5,000,000 shares authorized, no shares issued or outstanding</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without par value; 200,000,000 shares authorized, 40,531,975 and 40,506,670 shares issued and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136,810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219,313</w:t>
            </w:r>
          </w:p>
        </w:tc>
        <w:tc>
          <w:tcPr>
            <w:tcW w:w="1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6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April 28,</w:t>
            </w: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0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117,201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Cost of sales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51,899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47,191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440"/>
              <w:spacing w:after="0"/>
              <w:rPr>
                <w:sz w:val="20"/>
                <w:szCs w:val="20"/>
                <w:color w:val="auto"/>
              </w:rPr>
            </w:pPr>
            <w:r>
              <w:rPr>
                <w:rFonts w:ascii="Arial" w:cs="Arial" w:eastAsia="Arial" w:hAnsi="Arial"/>
                <w:sz w:val="18"/>
                <w:szCs w:val="18"/>
                <w:color w:val="auto"/>
              </w:rPr>
              <w:t>Operating income</w:t>
            </w: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00" w:type="dxa"/>
            <w:vAlign w:val="bottom"/>
            <w:vMerge w:val="continue"/>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20,810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440"/>
              <w:spacing w:after="0"/>
              <w:rPr>
                <w:sz w:val="20"/>
                <w:szCs w:val="20"/>
                <w:color w:val="auto"/>
              </w:rPr>
            </w:pPr>
            <w:r>
              <w:rPr>
                <w:rFonts w:ascii="Arial" w:cs="Arial" w:eastAsia="Arial" w:hAnsi="Arial"/>
                <w:sz w:val="18"/>
                <w:szCs w:val="18"/>
                <w:color w:val="auto"/>
              </w:rPr>
              <w:t>Income before income taxes</w:t>
            </w: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00" w:type="dxa"/>
            <w:vAlign w:val="bottom"/>
            <w:vMerge w:val="continue"/>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20,619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vMerge w:val="continue"/>
          </w:tcPr>
          <w:p>
            <w:pPr>
              <w:spacing w:after="0"/>
              <w:rPr>
                <w:sz w:val="19"/>
                <w:szCs w:val="19"/>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12,626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40,515,261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40,506,670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40,547,015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40,532,169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0.31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3"/>
              </w:rPr>
              <w:t>Thirteen Weeks Ended</w:t>
            </w:r>
          </w:p>
        </w:tc>
      </w:tr>
      <w:tr>
        <w:trPr>
          <w:trHeight w:val="129"/>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7"/>
              </w:rPr>
              <w:t>April 28,</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April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8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$12,626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$ 11,224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12,443</w:t>
            </w: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$ 11,224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84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rPr>
              <w:t>April 28,</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12,626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and other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30,683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(11,512)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financial-institution debt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(32,750)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Borrowings on financial-institution debt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vendor-financed debt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Tax withholdings for equity compensation</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(18,037)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6,022</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p>
      <w:pPr>
        <w:ind w:left="452" w:hanging="452"/>
        <w:spacing w:after="0"/>
        <w:tabs>
          <w:tab w:leader="none" w:pos="4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6" w:lineRule="exact"/>
        <w:rPr>
          <w:rFonts w:ascii="Arial" w:cs="Arial" w:eastAsia="Arial" w:hAnsi="Arial"/>
          <w:sz w:val="18"/>
          <w:szCs w:val="18"/>
          <w:b w:val="1"/>
          <w:bCs w:val="1"/>
          <w:color w:val="auto"/>
        </w:rPr>
      </w:pPr>
    </w:p>
    <w:p>
      <w:pPr>
        <w:ind w:left="452" w:righ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Vera Bradley Designs, Inc. is a wholly owned subsidiary of Vera Bradley, Inc. Except where context requires or where otherwise indicated, the terms “Company” and “Vera Bradley” refer to Vera Bradley, Inc. and its subsidiaries, including Vera Bradley Designs, Inc.</w:t>
      </w:r>
    </w:p>
    <w:p>
      <w:pPr>
        <w:spacing w:after="0" w:line="85" w:lineRule="exact"/>
        <w:rPr>
          <w:rFonts w:ascii="Arial" w:cs="Arial" w:eastAsia="Arial" w:hAnsi="Arial"/>
          <w:sz w:val="18"/>
          <w:szCs w:val="18"/>
          <w:b w:val="1"/>
          <w:bCs w:val="1"/>
          <w:color w:val="auto"/>
        </w:rPr>
      </w:pPr>
    </w:p>
    <w:p>
      <w:pPr>
        <w:ind w:left="452"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producer, marketer, and retailer of stylish, highly functional accessories for women. The Company’s products include a wide offering of handbags, accessories, and travel and leisure items. The Company generates net revenues by selling products through two reportable segments: Direct and Indirect. The Direct business consists of sales of Vera Bradley products through the Company’s full-price and outlet stores in the United States, pop-up stores and permanent shop-in-shops in Japan, its websites, verabradley.com and verabradley.co.jp, and its annual outlet sale in Fort Wayne, Indiana. As of April 28, 2012, the Company operated 53 full-price stores and nine outlet stores. The Indirect business consists of sales of Vera Bradley products to approximately 3,300 specialty retailers, select national retailers, and independent e-commerce retailers.</w:t>
      </w:r>
    </w:p>
    <w:p>
      <w:pPr>
        <w:spacing w:after="0" w:line="120" w:lineRule="exact"/>
        <w:rPr>
          <w:rFonts w:ascii="Arial" w:cs="Arial" w:eastAsia="Arial" w:hAnsi="Arial"/>
          <w:sz w:val="18"/>
          <w:szCs w:val="18"/>
          <w:b w:val="1"/>
          <w:bCs w:val="1"/>
          <w:color w:val="auto"/>
        </w:rPr>
      </w:pPr>
    </w:p>
    <w:p>
      <w:pPr>
        <w:ind w:left="452"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28, 2012, filed with the SEC.</w:t>
      </w:r>
    </w:p>
    <w:p>
      <w:pPr>
        <w:spacing w:after="0" w:line="115" w:lineRule="exact"/>
        <w:rPr>
          <w:rFonts w:ascii="Arial" w:cs="Arial" w:eastAsia="Arial" w:hAnsi="Arial"/>
          <w:sz w:val="18"/>
          <w:szCs w:val="18"/>
          <w:b w:val="1"/>
          <w:bCs w:val="1"/>
          <w:color w:val="auto"/>
        </w:rPr>
      </w:pPr>
    </w:p>
    <w:p>
      <w:pPr>
        <w:jc w:val="both"/>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April 28, 2012, are not necessarily indicative of the results to be expected for the full fiscal year.</w:t>
      </w:r>
    </w:p>
    <w:p>
      <w:pPr>
        <w:spacing w:after="0" w:line="21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52"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April 28, 2012, and April 30, 2011, refer to the thirteen-week periods ended on those dates.</w:t>
      </w:r>
    </w:p>
    <w:p>
      <w:pPr>
        <w:spacing w:after="0" w:line="20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96" w:lineRule="exact"/>
        <w:rPr>
          <w:rFonts w:ascii="Arial" w:cs="Arial" w:eastAsia="Arial" w:hAnsi="Arial"/>
          <w:sz w:val="18"/>
          <w:szCs w:val="18"/>
          <w:b w:val="1"/>
          <w:bCs w:val="1"/>
          <w:color w:val="auto"/>
        </w:rPr>
      </w:pPr>
    </w:p>
    <w:p>
      <w:pPr>
        <w:ind w:left="452" w:right="2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In June 2011, the Financial Accounting Standards Board (“FASB”) issued Accounting Standards Update (“ASU”) 2011-05, C</w:t>
      </w:r>
      <w:r>
        <w:rPr>
          <w:rFonts w:ascii="Arial" w:cs="Arial" w:eastAsia="Arial" w:hAnsi="Arial"/>
          <w:sz w:val="15"/>
          <w:szCs w:val="15"/>
          <w:i w:val="1"/>
          <w:iCs w:val="1"/>
          <w:color w:val="auto"/>
        </w:rPr>
        <w:t>omprehensive Income –</w:t>
      </w:r>
      <w:r>
        <w:rPr>
          <w:rFonts w:ascii="Arial" w:cs="Arial" w:eastAsia="Arial" w:hAnsi="Arial"/>
          <w:sz w:val="15"/>
          <w:szCs w:val="15"/>
          <w:color w:val="auto"/>
        </w:rPr>
        <w:t xml:space="preserve"> </w:t>
      </w:r>
      <w:r>
        <w:rPr>
          <w:rFonts w:ascii="Arial" w:cs="Arial" w:eastAsia="Arial" w:hAnsi="Arial"/>
          <w:sz w:val="15"/>
          <w:szCs w:val="15"/>
          <w:i w:val="1"/>
          <w:iCs w:val="1"/>
          <w:color w:val="auto"/>
        </w:rPr>
        <w:t>Presentation of Comprehensive Income</w:t>
      </w:r>
      <w:r>
        <w:rPr>
          <w:rFonts w:ascii="Arial" w:cs="Arial" w:eastAsia="Arial" w:hAnsi="Arial"/>
          <w:sz w:val="15"/>
          <w:szCs w:val="15"/>
          <w:color w:val="auto"/>
        </w:rPr>
        <w:t>. This guidance eliminates the option to present the components of other comprehensive income as part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In accordance with this guidance, we have presented two separate but consecutive statements which include the components of net income and other comprehensive income.</w:t>
      </w:r>
    </w:p>
    <w:p>
      <w:pPr>
        <w:spacing w:after="0" w:line="105"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In May 2011, FASB issued ASU 2011-04, </w:t>
      </w:r>
      <w:r>
        <w:rPr>
          <w:rFonts w:ascii="Arial" w:cs="Arial" w:eastAsia="Arial" w:hAnsi="Arial"/>
          <w:sz w:val="18"/>
          <w:szCs w:val="18"/>
          <w:i w:val="1"/>
          <w:iCs w:val="1"/>
          <w:color w:val="auto"/>
        </w:rPr>
        <w:t>Fair Value Measurement – Amendments to Achieve Common Fair Value Measurement and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in U.S. GAAP and IFRS</w:t>
      </w:r>
      <w:r>
        <w:rPr>
          <w:rFonts w:ascii="Arial" w:cs="Arial" w:eastAsia="Arial" w:hAnsi="Arial"/>
          <w:sz w:val="18"/>
          <w:szCs w:val="18"/>
          <w:color w:val="auto"/>
        </w:rPr>
        <w:t>. The guidance requires additional disclosures, including disclosures related to the measurement of level 3 assets.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is effective for interim and annual periods beginning after December 15, 2011 and is applied prospectively. The adoption of this pronouncement did not have a material impact on our consolidated financial statements.</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4" w:right="25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hanging="452"/>
        <w:spacing w:after="0"/>
        <w:tabs>
          <w:tab w:leader="none" w:pos="4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Earnings per share is computed under the provisions of ASC 260, Earnings Per Share. 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The components of basic and diluted earnings per share were as follows ($ in thousands, except per share amounts):</w:t>
      </w:r>
    </w:p>
    <w:p>
      <w:pPr>
        <w:spacing w:after="0" w:line="179"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April 28,</w:t>
            </w: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12,626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40,515,261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40,506,670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1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31,754</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(diluted)</w:t>
            </w: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40,547,015</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40,532,169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160"/>
        <w:spacing w:after="0" w:line="259" w:lineRule="auto"/>
        <w:rPr>
          <w:sz w:val="20"/>
          <w:szCs w:val="20"/>
          <w:color w:val="auto"/>
        </w:rPr>
      </w:pPr>
      <w:r>
        <w:rPr>
          <w:rFonts w:ascii="Arial" w:cs="Arial" w:eastAsia="Arial" w:hAnsi="Arial"/>
          <w:sz w:val="18"/>
          <w:szCs w:val="18"/>
          <w:color w:val="auto"/>
        </w:rPr>
        <w:t>As of April 28, 2012 there was an aggregate of 12,598 additional shares issuable upon the vesting of restricted stock units that were excluded from the diluted share calculations because they are anti-dilutive. As of April 30, 2011 there were no additional shares issuable upon the vesting of restricted stock units that were excluded from the diluted share calculations.</w:t>
      </w:r>
    </w:p>
    <w:p>
      <w:pPr>
        <w:spacing w:after="0" w:line="256"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9" w:lineRule="exact"/>
        <w:rPr>
          <w:rFonts w:ascii="Arial" w:cs="Arial" w:eastAsia="Arial" w:hAnsi="Arial"/>
          <w:sz w:val="18"/>
          <w:szCs w:val="18"/>
          <w:b w:val="1"/>
          <w:bCs w:val="1"/>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892" w:right="420" w:hanging="446"/>
        <w:spacing w:after="0" w:line="268"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 The classification of fair value measurements within the hierarchy is based upon the lowest level of input that is significant to the measurement.</w:t>
      </w:r>
    </w:p>
    <w:p>
      <w:pPr>
        <w:spacing w:after="0" w:line="51" w:lineRule="exact"/>
        <w:rPr>
          <w:sz w:val="20"/>
          <w:szCs w:val="20"/>
          <w:color w:val="auto"/>
        </w:rPr>
      </w:pPr>
    </w:p>
    <w:p>
      <w:pPr>
        <w:ind w:left="452" w:right="460"/>
        <w:spacing w:after="0" w:line="268" w:lineRule="auto"/>
        <w:rPr>
          <w:sz w:val="20"/>
          <w:szCs w:val="20"/>
          <w:color w:val="auto"/>
        </w:rPr>
      </w:pPr>
      <w:r>
        <w:rPr>
          <w:rFonts w:ascii="Arial" w:cs="Arial" w:eastAsia="Arial" w:hAnsi="Arial"/>
          <w:sz w:val="18"/>
          <w:szCs w:val="18"/>
          <w:color w:val="auto"/>
        </w:rPr>
        <w:t>The carrying amounts reflected on the Consolidated Balance Sheet for cash and cash equivalents, receivables, and payables approximate fair value at April 28, 2012, because of their short-term nature.</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carrying amount for the revolving credit facility borrowings approximates fair value at April 28, 2012 as their interest rates fluctuate with the market.</w:t>
      </w:r>
    </w:p>
    <w:p>
      <w:pPr>
        <w:spacing w:after="0" w:line="310"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April 28,</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44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3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$17,219</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Work in process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80,289</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4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98,231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840" w:type="dxa"/>
            <w:vAlign w:val="bottom"/>
            <w:vMerge w:val="restart"/>
          </w:tcPr>
          <w:p>
            <w:pPr>
              <w:jc w:val="right"/>
              <w:ind w:right="2337"/>
              <w:spacing w:after="0"/>
              <w:rPr>
                <w:sz w:val="20"/>
                <w:szCs w:val="20"/>
                <w:color w:val="auto"/>
              </w:rPr>
            </w:pPr>
            <w:r>
              <w:rPr>
                <w:rFonts w:ascii="Arial" w:cs="Arial" w:eastAsia="Arial" w:hAnsi="Arial"/>
                <w:sz w:val="18"/>
                <w:szCs w:val="18"/>
                <w:color w:val="auto"/>
              </w:rPr>
              <w:t>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74" w:right="259" w:bottom="1440" w:gutter="0" w:footer="0" w:header="0"/>
        </w:sectPr>
      </w:pPr>
    </w:p>
    <w:bookmarkStart w:id="9" w:name="page10"/>
    <w:bookmarkEnd w:id="9"/>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(in thousands):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28,</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January 28,</w:t>
            </w:r>
          </w:p>
        </w:tc>
      </w:tr>
      <w:tr>
        <w:trPr>
          <w:trHeight w:val="161"/>
        </w:trPr>
        <w:tc>
          <w:tcPr>
            <w:tcW w:w="4320" w:type="dxa"/>
            <w:vAlign w:val="bottom"/>
          </w:tcPr>
          <w:p>
            <w:pPr>
              <w:spacing w:after="0"/>
              <w:rPr>
                <w:sz w:val="14"/>
                <w:szCs w:val="14"/>
                <w:color w:val="auto"/>
              </w:rPr>
            </w:pPr>
          </w:p>
        </w:tc>
        <w:tc>
          <w:tcPr>
            <w:tcW w:w="3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Financial-institution debt</w:t>
            </w:r>
          </w:p>
        </w:tc>
        <w:tc>
          <w:tcPr>
            <w:tcW w:w="2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$ 7,250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Other borrowings</w:t>
            </w:r>
          </w:p>
        </w:tc>
        <w:tc>
          <w:tcPr>
            <w:tcW w:w="25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25,184</w:t>
            </w:r>
          </w:p>
        </w:tc>
        <w:tc>
          <w:tcPr>
            <w:tcW w:w="100" w:type="dxa"/>
            <w:vAlign w:val="bottom"/>
            <w:shd w:val="clear" w:color="auto" w:fill="CCEEFF"/>
          </w:tcPr>
          <w:p>
            <w:pPr>
              <w:spacing w:after="0"/>
              <w:rPr>
                <w:sz w:val="18"/>
                <w:szCs w:val="18"/>
                <w:color w:val="auto"/>
              </w:rPr>
            </w:pPr>
          </w:p>
        </w:tc>
      </w:tr>
      <w:tr>
        <w:trPr>
          <w:trHeight w:val="331"/>
        </w:trPr>
        <w:tc>
          <w:tcPr>
            <w:tcW w:w="43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5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$ 7,322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25,095</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At April 28, 2012, the interest rate on outstanding borrowings under the Company’s $125.0 million amended and restated credit agreement was 1.30%, and the Company had borrowing availability of $117.7 million under the agreement.</w:t>
      </w:r>
    </w:p>
    <w:p>
      <w:pPr>
        <w:spacing w:after="0" w:line="248"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52" w:right="1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provision for income taxes for interim periods is based on an estimate of the annual effective tax rate adjusted to reflect the impact of discrete items. Significant management judgment is required in projecting ordinary income (loss) to estimate the Company’s annual effective tax rate.</w:t>
      </w:r>
    </w:p>
    <w:p>
      <w:pPr>
        <w:spacing w:after="0" w:line="85" w:lineRule="exact"/>
        <w:rPr>
          <w:rFonts w:ascii="Arial" w:cs="Arial" w:eastAsia="Arial" w:hAnsi="Arial"/>
          <w:sz w:val="18"/>
          <w:szCs w:val="18"/>
          <w:b w:val="1"/>
          <w:bCs w:val="1"/>
          <w:color w:val="auto"/>
        </w:rPr>
      </w:pPr>
    </w:p>
    <w:p>
      <w:pPr>
        <w:ind w:left="452"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April 28, 2012, was 38.8%, compared to 40.1% for the thirteen weeks ended April 30, 2011. The decrease in the effective tax rate was primarily due to the non-deductibility of expenses related to a secondary offering of the Company’s common stock by certain shareholders in April 2011. The non-deductibility of the secondary offering expenses increased the effective tax rate by approximately 1.0%, which was recorded as a discrete event for the thirteen weeks ended April 30, 2011.</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72"/>
          </w:cols>
          <w:pgMar w:left="248" w:top="274" w:right="27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5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stock-based compensation under the fair-value recognition provisions of ASC 718, Stock Compensation. Under these provisions, for its awards of restricted stock and restricted stock units, the Company recognizes share-based compensation expense in an amount equal to the fair market value of the underlying stock on the grant date of the respective award.</w:t>
      </w:r>
    </w:p>
    <w:p>
      <w:pPr>
        <w:spacing w:after="0" w:line="140" w:lineRule="exact"/>
        <w:rPr>
          <w:rFonts w:ascii="Arial" w:cs="Arial" w:eastAsia="Arial" w:hAnsi="Arial"/>
          <w:sz w:val="18"/>
          <w:szCs w:val="18"/>
          <w:b w:val="1"/>
          <w:bCs w:val="1"/>
          <w:color w:val="auto"/>
        </w:rPr>
      </w:pPr>
    </w:p>
    <w:p>
      <w:pPr>
        <w:ind w:left="452"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21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90" w:lineRule="exact"/>
        <w:rPr>
          <w:rFonts w:ascii="Arial" w:cs="Arial" w:eastAsia="Arial" w:hAnsi="Arial"/>
          <w:sz w:val="18"/>
          <w:szCs w:val="18"/>
          <w:b w:val="1"/>
          <w:bCs w:val="1"/>
          <w:color w:val="auto"/>
        </w:rPr>
      </w:pPr>
    </w:p>
    <w:p>
      <w:pPr>
        <w:ind w:left="452"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the thirteen weeks ended April 28, 2012, the Company granted a total of 174,354 time-based and performance-based restricted stock units with an aggregate fair value of $5.2 million to certain employees and non-employee directors under the 2010 Equity and Incentive Plan. During the thirteen weeks ended April 30, 2011, the Company granted a total of 106,889 time-based restricted stock units with an aggregate fair value of $4.4 million to certain employees and non-employee directors under the 2010 Equity and Incentive Plan. The Company determined the fair value of the awards based on the closing price of the Company’s common stock on the grant date.</w:t>
      </w:r>
    </w:p>
    <w:p>
      <w:pPr>
        <w:spacing w:after="0" w:line="115" w:lineRule="exact"/>
        <w:rPr>
          <w:rFonts w:ascii="Arial" w:cs="Arial" w:eastAsia="Arial" w:hAnsi="Arial"/>
          <w:sz w:val="18"/>
          <w:szCs w:val="18"/>
          <w:b w:val="1"/>
          <w:bCs w:val="1"/>
          <w:color w:val="auto"/>
        </w:rPr>
      </w:pPr>
    </w:p>
    <w:p>
      <w:pPr>
        <w:ind w:left="4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time-based restricted stock units vest and settle in shares of the Company’s common stock, on a one-for-one basis, in equal installments on each of the first three anniversaries of the grant date. The Company is recognizing the expense relating to these awards, net of estimated forfeitures, on a straight-line basis over three years.</w:t>
      </w:r>
    </w:p>
    <w:p>
      <w:pPr>
        <w:spacing w:after="0" w:line="140"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Performance-based restricted stock units vest upon the completion of a three-year period of time (cliff vesting), subject to the employee’s continuing employment throughout the three-year performance period and the Company’s achievement of annual net income targets during the three-year performance period. The Company is recognizing the expense relating to these awards, net of estimated forfeitures and based on the probable outcome of achievement of the net income targets, on a straight-line basis over three years.</w:t>
      </w:r>
    </w:p>
    <w:p>
      <w:pPr>
        <w:spacing w:after="0" w:line="14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a summary of restricted stock unit activity for the period ended April 28, 2012:</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20" w:type="dxa"/>
            <w:vAlign w:val="bottom"/>
            <w:gridSpan w:val="4"/>
          </w:tcPr>
          <w:p>
            <w:pPr>
              <w:jc w:val="center"/>
              <w:ind w:left="424"/>
              <w:spacing w:after="0"/>
              <w:rPr>
                <w:sz w:val="20"/>
                <w:szCs w:val="20"/>
                <w:color w:val="auto"/>
              </w:rPr>
            </w:pPr>
            <w:r>
              <w:rPr>
                <w:rFonts w:ascii="Arial" w:cs="Arial" w:eastAsia="Arial" w:hAnsi="Arial"/>
                <w:sz w:val="14"/>
                <w:szCs w:val="14"/>
                <w:b w:val="1"/>
                <w:bCs w:val="1"/>
                <w:color w:val="auto"/>
                <w:w w:val="87"/>
              </w:rPr>
              <w:t>Time-based</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5"/>
              </w:rPr>
              <w:t>Performance-based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7"/>
              </w:rPr>
              <w:t>Restricted Stock Units</w:t>
            </w:r>
          </w:p>
        </w:tc>
        <w:tc>
          <w:tcPr>
            <w:tcW w:w="18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5"/>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4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Grant</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Date Fair</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Value</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4"/>
                <w:szCs w:val="14"/>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2"/>
              </w:rPr>
              <w:t>(per unit)</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(per unit)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units outstanding at January 28, 2012</w:t>
            </w:r>
          </w:p>
        </w:tc>
        <w:tc>
          <w:tcPr>
            <w:tcW w:w="2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160,463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88,274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30.15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86,080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(34,155)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41.35</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2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23.76</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outstanding at April 28, 2012</w:t>
            </w:r>
          </w:p>
        </w:tc>
        <w:tc>
          <w:tcPr>
            <w:tcW w:w="22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212,889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30.92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20" w:type="dxa"/>
            <w:vAlign w:val="bottom"/>
            <w:vMerge w:val="restart"/>
          </w:tcPr>
          <w:p>
            <w:pPr>
              <w:jc w:val="right"/>
              <w:ind w:right="1092"/>
              <w:spacing w:after="0"/>
              <w:rPr>
                <w:sz w:val="20"/>
                <w:szCs w:val="20"/>
                <w:color w:val="auto"/>
              </w:rPr>
            </w:pPr>
            <w:r>
              <w:rPr>
                <w:rFonts w:ascii="Arial" w:cs="Arial" w:eastAsia="Arial" w:hAnsi="Arial"/>
                <w:sz w:val="18"/>
                <w:szCs w:val="18"/>
                <w:color w:val="auto"/>
              </w:rPr>
              <w:t>11</w:t>
            </w: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74" w:right="259" w:bottom="1440" w:gutter="0" w:footer="0" w:header="0"/>
        </w:sectPr>
      </w:pPr>
    </w:p>
    <w:bookmarkStart w:id="11" w:name="page12"/>
    <w:bookmarkEnd w:id="11"/>
    <w:p>
      <w:pPr>
        <w:jc w:val="center"/>
        <w:ind w:right="-2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jc w:val="both"/>
        <w:ind w:left="452"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255"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52"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106" w:lineRule="exact"/>
        <w:rPr>
          <w:rFonts w:ascii="Arial" w:cs="Arial" w:eastAsia="Arial" w:hAnsi="Arial"/>
          <w:sz w:val="18"/>
          <w:szCs w:val="18"/>
          <w:b w:val="1"/>
          <w:bCs w:val="1"/>
          <w:color w:val="auto"/>
        </w:rPr>
      </w:pPr>
    </w:p>
    <w:p>
      <w:pPr>
        <w:ind w:left="452" w:right="22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The Direct segment includes the Company’s full-price and outlet stores in the United States, pop-up stores and permanent shop-in-shops in Japan, e-commerce activity driven by the Company’s websites, and the annual outlet sale. Revenues generated through this segment are driven by the sale of Company-branded products from Vera Bradley to end customers. The Indirect segment represents activity driven by revenues generated through the distribution of Company-branded products to approximately 3,300 specialty retailers, select national retailers, and independent e-commerce retailers.</w:t>
      </w:r>
    </w:p>
    <w:p>
      <w:pPr>
        <w:spacing w:after="0" w:line="97"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IT, and various other corporate-level-activity-related expenses. All intercompany-related activities are eliminated in consolidation and are excluded from the segment reporting.</w:t>
      </w:r>
    </w:p>
    <w:p>
      <w:pPr>
        <w:spacing w:after="0" w:line="140"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chief operating decision maker evaluates segment operating results based on several indicators. The primary or key performance indicators for each segment are net revenues and operating income. The table below represents key financial information for each of the Company’s reportable segments: Direct and Indirect (in thousands):</w:t>
      </w:r>
    </w:p>
    <w:p>
      <w:pPr>
        <w:spacing w:after="0" w:line="176"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rPr>
              <w:t>April 28,</w:t>
            </w: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net revenues:</w:t>
            </w:r>
          </w:p>
        </w:tc>
        <w:tc>
          <w:tcPr>
            <w:tcW w:w="3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Direct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59,225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3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840"/>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117,201</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Direct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15,379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3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840"/>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37,817</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37,817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(17,007)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(15,039)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340" w:type="dxa"/>
            <w:vAlign w:val="bottom"/>
            <w:vMerge w:val="restart"/>
          </w:tcPr>
          <w:p>
            <w:pPr>
              <w:jc w:val="right"/>
              <w:ind w:right="2292"/>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52"/>
          </w:cols>
          <w:pgMar w:left="248" w:top="274" w:right="499" w:bottom="1440" w:gutter="0" w:footer="0" w:header="0"/>
        </w:sectPr>
      </w:pPr>
    </w:p>
    <w:bookmarkStart w:id="12" w:name="page13"/>
    <w:bookmarkEnd w:id="1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weeks ended April 28, 2012, and April 30, 2011. The following discussion should be read in conjunction with our Annual Report on Form 10-K for the fiscal year ended January 28, 2012, and our unaudited consolidated financial statements and the related notes included in Item 1 of this Quarterly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Vera Bradley is a leading designer, producer, marketer, and retailer of stylish and highly functional accessories for women. Our products include a wide offering of handbags, accessories, and travel and leisure items. Over our 30-year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generate revenues by selling products through two reportable segments: Direct and Indirect. As of April 28, 2012, our Direct business consisted of sales of Vera Bradley products through our full-price and outlet stores in the United States, pop-up stores and permanent shop-in-shops in Japan, our websites, verabradley.com and verabradley.co.jp, and our annual outlet sale in Fort Wayne, Indiana. In the United States we operated 53 full-price and nine outlet stores as of April 28, 2012, compared to 38 full-price stores and five outlet stores as of April 30, 2011. As of April 28, 2012, our Indirect business consisted of sales of Vera Bradley products to approximately 3,300 specialty retailers, substantially all of which are located in the United States, and to select national retailers and independent e-commerce retailers.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thirteen weeks ended April 28, 2012, we continued to experience strong demand for our brand, as reflected in our net revenue growth of 15.6%. In our Direct segment, net revenues increased 34.2%, including an increase of $9.7 million in revenues related to the opening of new stores, a $4.5 million, or 26.1%, increase in e-commerce revenues, and a comparable-store sales increase of 4.3%. In our Indirect segment, net revenues increased 1.3%. Additionally, we achieved operating income of $20.8 million for the thirteen weeks ended April 28, 2012, compared to an operating income of $19.1 million for the thirteen weeks ended April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revenues reflect revenues from the sale of our merchandise and from distribution and shipping and handling fees, less returns and discounts. Revenues for the Direct segment reflect sales through our full-price and outlet stores in the United States, pop-up stores and permanent shop-in-shops in Japan, our websites, verabradley.com and verabradley.co.jp, and our annual outlet sale in Fort Wayne, Indiana. Revenues for the Indirect segment reflect sales to specialty retailers, select national retailers, and independent e-commerce retailers.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Comparable-Store Sales</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Store traffic;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Gross profit can be impacted by changes in volume, operational efficiencies, such as leveraging of fixed costs, promotional activities, such as free shipping, commodity prices such as cotton, and fluctuations in pricing structures.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 but typically not in the same proportion as the associated increase in revenues.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provisions for income taxes for interim reporting periods are based on an estimate of the effective tax rate for each of the periods presented. The computation of the effective tax rate includes a forecast of our estimated ordinary income, which is the annual income from operations before income tax, excluding unusual or infrequently occurring (or discrete)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rPr>
              <w:t>April 28,</w:t>
            </w: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April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revenues</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117,201</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101,390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51,899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65,302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47,191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20,810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20,619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12,626</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sales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store data for the periods indicated ($ in thousands, except as otherwise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28,</w:t>
            </w: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April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4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by Segment:</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Direct</w:t>
            </w:r>
          </w:p>
        </w:tc>
        <w:tc>
          <w:tcPr>
            <w:tcW w:w="3780" w:type="dxa"/>
            <w:vAlign w:val="bottom"/>
            <w:gridSpan w:val="2"/>
          </w:tcPr>
          <w:p>
            <w:pPr>
              <w:ind w:left="36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59,225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3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57,976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2"/>
          </w:tcPr>
          <w:p>
            <w:pPr>
              <w:ind w:left="368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117,201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700" w:type="dxa"/>
            <w:vAlign w:val="bottom"/>
            <w:vMerge w:val="restart"/>
          </w:tcPr>
          <w:p>
            <w:pPr>
              <w:jc w:val="right"/>
              <w:ind w:right="2312"/>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60" w:type="dxa"/>
            <w:vAlign w:val="bottom"/>
            <w:tcBorders>
              <w:top w:val="single" w:sz="8" w:color="auto"/>
            </w:tcBorders>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94"/>
              </w:rPr>
              <w:t>April 28,</w:t>
            </w: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April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Revenues by Segment: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Direct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50.5%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Data(1):</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stores open at end of period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Comparable-store sales increase (2)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gross square footage at end of period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126,655</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82,728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Average net revenues per gross square foot (3)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only our full-price and outlet stores. Our first full-price store opened in mid-September 2007 and our first outlet store opened in November 2009.</w:t>
      </w:r>
    </w:p>
    <w:p>
      <w:pPr>
        <w:spacing w:after="0" w:line="38" w:lineRule="exact"/>
        <w:rPr>
          <w:rFonts w:ascii="Arial" w:cs="Arial" w:eastAsia="Arial" w:hAnsi="Arial"/>
          <w:sz w:val="16"/>
          <w:szCs w:val="16"/>
          <w:color w:val="auto"/>
        </w:rPr>
      </w:pPr>
    </w:p>
    <w:p>
      <w:pPr>
        <w:ind w:left="460" w:right="80" w:hanging="452"/>
        <w:spacing w:after="0" w:line="30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5"/>
          <w:szCs w:val="15"/>
          <w:color w:val="auto"/>
        </w:rPr>
      </w:pPr>
    </w:p>
    <w:p>
      <w:pPr>
        <w:ind w:left="460" w:right="2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9" w:lineRule="exact"/>
        <w:rPr>
          <w:sz w:val="20"/>
          <w:szCs w:val="20"/>
          <w:color w:val="auto"/>
        </w:rPr>
      </w:pPr>
    </w:p>
    <w:p>
      <w:pPr>
        <w:ind w:right="4640"/>
        <w:spacing w:after="0" w:line="347" w:lineRule="auto"/>
        <w:rPr>
          <w:sz w:val="20"/>
          <w:szCs w:val="20"/>
          <w:color w:val="auto"/>
        </w:rPr>
      </w:pPr>
      <w:r>
        <w:rPr>
          <w:rFonts w:ascii="Arial" w:cs="Arial" w:eastAsia="Arial" w:hAnsi="Arial"/>
          <w:sz w:val="18"/>
          <w:szCs w:val="18"/>
          <w:b w:val="1"/>
          <w:bCs w:val="1"/>
          <w:color w:val="auto"/>
        </w:rPr>
        <w:t xml:space="preserve">Thirteen Weeks Ended April 28, 2012, Compared to Thirteen Weeks Ended April 30, 2011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thirteen weeks ended April 28, 2012, net revenues increased $15.8 million, or 15.6%, to $117.2 million, from $101.4 million in the comparable prior-year period.</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April 28, 2012, net revenues in the Direct segment increased $15.1 million, or 34.2%, to $59.2 million, from $44.1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comparable prior-year period. This growth resulted from a $9.7 million increase in revenues related to the opening of new stores, a $4.5 million increase in e-commerce revenues due primarily to increased traffic and consistent conversion rates, and a comparable-store sales increase of $0.6 million, or 4.3%. The aggregate number of our full-price and outlet stores grew from 43 at April 30, 2011, to 62 at April 28, 2012.</w:t>
      </w:r>
    </w:p>
    <w:p>
      <w:pPr>
        <w:spacing w:after="0" w:line="11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April 28, 2012, net revenues in the Indirect segment increased $0.7 million, or 1.3%, to $58.0 million, from $57.2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comparable prior-year period, driven by the strength of our spring and summer product assortment offset in part by underperformance of certain carryover patterns affecting specialty retailers’ ability to reorder.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w:t>
      </w:r>
    </w:p>
    <w:p>
      <w:pPr>
        <w:spacing w:after="0" w:line="90"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For the thirteen weeks ended April 28, 2012, gross profit increased $8.9 million, or 15.7%, to $65.3 million, from $56.4 million in the comparable prior-year period. As a percentage of net revenues, gross profit was 55.7% for both the thirteen weeks ended April 28, 2012, and April 30, 2011. The gross profit for the thirteen weeks ended April 28, 2012, included the effect of higher cotton and labor costs, offset by a favorable channel mix driven by growth in our full-price stores and e-commerce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thirteen weeks ended April 28, 2012, SG&amp;A expenses increased $7.2 million, or 18.0%, to $47.2 million, from $40.0 million in the comparable prior-year period. As a percentage of net revenues, SG&amp;A expenses were 40.3% and 39.4% for the fiscal quarters ended April 28, 2012, and April 30, 2011, respectively. The increase as a percentage of net revenues in SG&amp;A expenses was due primarily to higher corporate personnel costs to support our growth and higher occupancy costs as a percentage of net revenues due to opening stores earlier in the current year compared to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thirteen weeks ended April 28, 2012, other income increased $0.1 million, or 3.6%, to $2.7 million, from $2.6 million in the comparable prior-year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reimbursement of our advertising expenses by our specialty retailers was in line with the comparable prior-year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thirteen weeks ended April 28, 2012, operating income increased $1.7 million, or 9.2%, to $20.8 million, from $19.1 million in the comparable prior-year period. As a percentage of net revenues, operating income was 17.8% and 18.8% for the thirteen weeks ended April 28, 2012, and April 30, 2011, respectively. This decrease as a percentage of net revenues was primarily due to higher corporate personnel costs to support our growth and higher occupancy costs as a percentage of net revenues due to opening stores earlier in the current year compared to the prior year. The following table presents operating income for our business segments ($ in thousands).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rPr>
              <w:t>April 28,</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3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 Change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7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Direct</w:t>
            </w:r>
          </w:p>
        </w:tc>
        <w:tc>
          <w:tcPr>
            <w:tcW w:w="3960" w:type="dxa"/>
            <w:vAlign w:val="bottom"/>
            <w:gridSpan w:val="3"/>
          </w:tcPr>
          <w:p>
            <w:pPr>
              <w:jc w:val="right"/>
              <w:ind w:right="540"/>
              <w:spacing w:after="0"/>
              <w:rPr>
                <w:sz w:val="20"/>
                <w:szCs w:val="20"/>
                <w:color w:val="auto"/>
              </w:rPr>
            </w:pPr>
            <w:r>
              <w:rPr>
                <w:rFonts w:ascii="Arial" w:cs="Arial" w:eastAsia="Arial" w:hAnsi="Arial"/>
                <w:sz w:val="18"/>
                <w:szCs w:val="18"/>
                <w:color w:val="auto"/>
              </w:rPr>
              <w:t>$ 15,379</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$ 12,360</w:t>
            </w:r>
          </w:p>
        </w:tc>
        <w:tc>
          <w:tcPr>
            <w:tcW w:w="300" w:type="dxa"/>
            <w:vAlign w:val="bottom"/>
          </w:tcPr>
          <w:p>
            <w:pPr>
              <w:spacing w:after="0"/>
              <w:rPr>
                <w:sz w:val="18"/>
                <w:szCs w:val="18"/>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$ 3,019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27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w:t>
            </w:r>
          </w:p>
        </w:tc>
        <w:tc>
          <w:tcPr>
            <w:tcW w:w="5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1"/>
        </w:trPr>
        <w:tc>
          <w:tcPr>
            <w:tcW w:w="3440" w:type="dxa"/>
            <w:vAlign w:val="bottom"/>
          </w:tcPr>
          <w:p>
            <w:pPr>
              <w:ind w:left="440"/>
              <w:spacing w:after="0"/>
              <w:rPr>
                <w:sz w:val="20"/>
                <w:szCs w:val="20"/>
                <w:color w:val="auto"/>
              </w:rPr>
            </w:pPr>
            <w:r>
              <w:rPr>
                <w:rFonts w:ascii="Arial" w:cs="Arial" w:eastAsia="Arial" w:hAnsi="Arial"/>
                <w:sz w:val="18"/>
                <w:szCs w:val="18"/>
                <w:color w:val="auto"/>
              </w:rPr>
              <w:t>Subtotal</w:t>
            </w:r>
          </w:p>
        </w:tc>
        <w:tc>
          <w:tcPr>
            <w:tcW w:w="3960" w:type="dxa"/>
            <w:vAlign w:val="bottom"/>
            <w:gridSpan w:val="3"/>
          </w:tcPr>
          <w:p>
            <w:pPr>
              <w:jc w:val="right"/>
              <w:ind w:right="540"/>
              <w:spacing w:after="0"/>
              <w:rPr>
                <w:sz w:val="20"/>
                <w:szCs w:val="20"/>
                <w:color w:val="auto"/>
              </w:rPr>
            </w:pPr>
            <w:r>
              <w:rPr>
                <w:rFonts w:ascii="Arial" w:cs="Arial" w:eastAsia="Arial" w:hAnsi="Arial"/>
                <w:sz w:val="18"/>
                <w:szCs w:val="18"/>
                <w:color w:val="auto"/>
              </w:rPr>
              <w:t>$ 37,817</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$ 34,099</w:t>
            </w:r>
          </w:p>
        </w:tc>
        <w:tc>
          <w:tcPr>
            <w:tcW w:w="300" w:type="dxa"/>
            <w:vAlign w:val="bottom"/>
          </w:tcPr>
          <w:p>
            <w:pPr>
              <w:spacing w:after="0"/>
              <w:rPr>
                <w:sz w:val="19"/>
                <w:szCs w:val="19"/>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$ 3,718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Corporate unallocated</w:t>
            </w:r>
          </w:p>
        </w:tc>
        <w:tc>
          <w:tcPr>
            <w:tcW w:w="27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(17,007)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(15,039)</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(1,968)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7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$ 20,810</w:t>
            </w:r>
          </w:p>
        </w:tc>
        <w:tc>
          <w:tcPr>
            <w:tcW w:w="5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$ 19,060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$ 1,750</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760" w:type="dxa"/>
            <w:vAlign w:val="bottom"/>
            <w:vMerge w:val="restart"/>
          </w:tcPr>
          <w:p>
            <w:pPr>
              <w:jc w:val="right"/>
              <w:ind w:right="777"/>
              <w:spacing w:after="0"/>
              <w:rPr>
                <w:sz w:val="20"/>
                <w:szCs w:val="20"/>
                <w:color w:val="auto"/>
              </w:rPr>
            </w:pPr>
            <w:r>
              <w:rPr>
                <w:rFonts w:ascii="Arial" w:cs="Arial" w:eastAsia="Arial" w:hAnsi="Arial"/>
                <w:sz w:val="18"/>
                <w:szCs w:val="18"/>
                <w:color w:val="auto"/>
              </w:rPr>
              <w:t>17</w:t>
            </w: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7" w:name="page18"/>
    <w:bookmarkEnd w:id="17"/>
    <w:p>
      <w:pPr>
        <w:ind w:right="40"/>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w:t>
      </w:r>
      <w:r>
        <w:rPr>
          <w:rFonts w:ascii="Arial" w:cs="Arial" w:eastAsia="Arial" w:hAnsi="Arial"/>
          <w:sz w:val="18"/>
          <w:szCs w:val="18"/>
          <w:color w:val="auto"/>
        </w:rPr>
        <w:t>. For the thirteen weeks ended April 28, 2012, operating income in the Direct segment increased $3.0 million, or 24.4%. As a percentage of Direct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revenues, operating income in the Direct segment was 26.0% and 28.0% for the thirteen weeks ended April 28, 2012, and April 30, 2011, respectively. This decrease as a percentage of net revenues in the Direct segment was due primarily to slightly lower margins in our outlet stores and outlet sale as well as opening stores earlier in the current year compared to the prior year without the associated revenues, increase in store operational expenses resulting from our increased store count.</w:t>
      </w:r>
    </w:p>
    <w:p>
      <w:pPr>
        <w:spacing w:after="0" w:line="143"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April 28, 2012, operating income in the Indirect segment increased $0.7 million, or 3.2%. As a percentage of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net revenues, operating income in the Indirect segment was 38.7% and 38.0% for the thirteen weeks ended April 28, 2012, and April 30, 2011, respectively. This increase as a percentage of net revenues in the Indirect segment resulted primarily from sales-driven leverage of SG&amp;A.</w:t>
      </w:r>
    </w:p>
    <w:p>
      <w:pPr>
        <w:spacing w:after="0" w:line="1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April 28, 2012, unallocated expenses increased $2.0 million, or 13.1%, primarily as a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personnel costs and professional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For the thirteen weeks ended April 28, 2012, net interest expense decreased $0.1 million, or 39.7%, to $0.2 million, from $0.3 million in the comparable prior-year period. The decrease of $0.1 million was due primarily to lower average borrowing levels in the thirteen weeks ended April 28,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effective tax rate for the thirteen weeks ended April 28, 2012, was 38.8%, compared to 40.1% for the thirteen weeks ended April 30, 2011. The decrease in the effective tax rate was primarily due to the non-deductibility of expenses related to a secondary offering of the Company’s common stock by certain shareholders in April 2011. The non-deductibility of the secondary offering expenses increased the effective tax rate by approximately 1.0%, which was recorded as a discrete event for the thirteen weeks ended April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source of liquidity is cash flow from operations. We also have access to additional liquidity, if needed, through borrowings under our $125.0 million amended and restated credit agreement. Historically, our primary cash needs have been for inventories, payroll, store rent, capital expenditures associated with opening new stores, debt repayments, operational equipment, and information technology. The most significant components of our working capital are cash and cash equivalents, inventories, accounts receivable, accounts payable, and other current liabilities. We do not believe that the expansion of our Direct business will materially alter the nature and levels of our accounts receivable and inventories, or require materially increased borrowings under our amended and restated credit agreement, in the near term.</w:t>
      </w:r>
    </w:p>
    <w:p>
      <w:pPr>
        <w:spacing w:after="0" w:line="144"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and debt payments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Thirteen Weeks Ended</w:t>
            </w:r>
          </w:p>
        </w:tc>
      </w:tr>
      <w:tr>
        <w:trPr>
          <w:trHeight w:val="129"/>
        </w:trPr>
        <w:tc>
          <w:tcPr>
            <w:tcW w:w="5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7"/>
              </w:rPr>
              <w:t>April 30,</w:t>
            </w: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April 30,</w:t>
            </w:r>
          </w:p>
        </w:tc>
        <w:tc>
          <w:tcPr>
            <w:tcW w:w="120" w:type="dxa"/>
            <w:vAlign w:val="bottom"/>
          </w:tcPr>
          <w:p>
            <w:pPr>
              <w:spacing w:after="0"/>
              <w:rPr>
                <w:sz w:val="11"/>
                <w:szCs w:val="11"/>
                <w:color w:val="auto"/>
              </w:rPr>
            </w:pPr>
          </w:p>
        </w:tc>
      </w:tr>
      <w:tr>
        <w:trPr>
          <w:trHeight w:val="161"/>
        </w:trPr>
        <w:tc>
          <w:tcPr>
            <w:tcW w:w="5160" w:type="dxa"/>
            <w:vAlign w:val="bottom"/>
          </w:tcPr>
          <w:p>
            <w:pPr>
              <w:spacing w:after="0"/>
              <w:rPr>
                <w:sz w:val="14"/>
                <w:szCs w:val="14"/>
                <w:color w:val="auto"/>
              </w:rPr>
            </w:pPr>
          </w:p>
        </w:tc>
        <w:tc>
          <w:tcPr>
            <w:tcW w:w="226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82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$ 30,683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(2,011)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80" w:type="dxa"/>
            <w:vAlign w:val="bottom"/>
            <w:gridSpan w:val="3"/>
          </w:tcPr>
          <w:p>
            <w:pPr>
              <w:jc w:val="right"/>
              <w:ind w:right="260"/>
              <w:spacing w:after="0"/>
              <w:rPr>
                <w:sz w:val="20"/>
                <w:szCs w:val="20"/>
                <w:color w:val="auto"/>
              </w:rPr>
            </w:pPr>
            <w:r>
              <w:rPr>
                <w:rFonts w:ascii="Arial" w:cs="Arial" w:eastAsia="Arial" w:hAnsi="Arial"/>
                <w:sz w:val="18"/>
                <w:szCs w:val="18"/>
                <w:color w:val="auto"/>
              </w:rPr>
              <w:t>(11,512)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(2,680)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(18,037)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(4,944)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Net cash provided by operating activities for the thirteen weeks ended April 28, 2012 was $30.7 million, compared to net cash used in operating activities of $2.0 million for the thirteen weeks ended April 30, 2011. The $32.7 million increase in cash provided by operating activities was due primarily to increased net cash inflows from operating assets and liabilities driven by a decrease in inventory levels related to the improvements in our supply chain processes and the timing of receipts and an increase in income taxes payable related to the timing of estimated payments.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Used in Investing Activities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distribution center expansion, operational equipment, and information technology investments.</w:t>
      </w:r>
    </w:p>
    <w:p>
      <w:pPr>
        <w:spacing w:after="0" w:line="132"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Net cash used in investing activities was $11.5 million and $2.7 million for the thirteen weeks ended April 28, 2012, and April 30, 2011, respectively. The $8.8 million increase in capital expenditures was due primarily to the expansion of the distribution facility and to increased investments in new stores, including the opening of six stores during the thirteen weeks ended April 28, 2012, compared to four stores during the thirteen weeks ended April 30, 2011.</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Capital expenditures for fiscal 2013 are expected to be approximately $36.0 million, which includes approximately $19.0 million related to the distribution center expansion.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consist primarily of borrowings and repayments under our credit agreement.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cash used in financing activities was $18.0 million for the thirteen weeks ended April 28, 2012, resulting primarily from $17.8 million of net payments under our amended and restated credit agreement.</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cash used in financing activities was $4.9 million for the thirteen weeks ended April 30, 2011, resulting primarily from $5.0 million of net payments under our amended and restated credit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October 4, 2010, Vera Bradley Designs, Inc. entered into an amended and restated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Vera Bradley, Inc. and its subsidiaries (other than Vera Bradley Designs, Inc.).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April 28, 2012.</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Borrowings under the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 April 28, 2012, the interest rate on outstanding borrowings under the credit agreement was 1.30%. The Company had borrowing availability of $117.7 million under the agreement as of April 28, 2012.</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June 1, 2012, Vera Bradley Designs Inc., entered into an amendment to the amended and restated credit agreement. The amendment extends the maturity date from October 3, 2015 to June 1, 2017. Certain permitted indebtedness covenants were also amended.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28, 2012.</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of the Company’s accounting policies and estimates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28, 2012. There was no significant change to any of the critical accounting policies and estimates described in the Annual Report.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Recently Issued Accounting Pronouncements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2011, FASB issued ASU 2011-05, C</w:t>
      </w:r>
      <w:r>
        <w:rPr>
          <w:rFonts w:ascii="Arial" w:cs="Arial" w:eastAsia="Arial" w:hAnsi="Arial"/>
          <w:sz w:val="18"/>
          <w:szCs w:val="18"/>
          <w:i w:val="1"/>
          <w:iCs w:val="1"/>
          <w:color w:val="auto"/>
        </w:rPr>
        <w:t>omprehensive Income – Presentation of Comprehensive Income</w:t>
      </w:r>
      <w:r>
        <w:rPr>
          <w:rFonts w:ascii="Arial" w:cs="Arial" w:eastAsia="Arial" w:hAnsi="Arial"/>
          <w:sz w:val="18"/>
          <w:szCs w:val="18"/>
          <w:color w:val="auto"/>
        </w:rPr>
        <w:t>. This guidance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In accordance with this guidance, we have presented two separate but consecutive statements which include the components of net income and other comprehensive income.</w:t>
      </w:r>
    </w:p>
    <w:p>
      <w:pPr>
        <w:spacing w:after="0" w:line="1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May 2011, FASB issued ASU 2011-04, </w:t>
      </w:r>
      <w:r>
        <w:rPr>
          <w:rFonts w:ascii="Arial" w:cs="Arial" w:eastAsia="Arial" w:hAnsi="Arial"/>
          <w:sz w:val="18"/>
          <w:szCs w:val="18"/>
          <w:i w:val="1"/>
          <w:iCs w:val="1"/>
          <w:color w:val="auto"/>
        </w:rPr>
        <w:t>Fair Value Measurement – Amendments to Achieve Common Fair Value Measurement and Disclosure Requirements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U.S. GAAP and IFRS</w:t>
      </w:r>
      <w:r>
        <w:rPr>
          <w:rFonts w:ascii="Arial" w:cs="Arial" w:eastAsia="Arial" w:hAnsi="Arial"/>
          <w:sz w:val="18"/>
          <w:szCs w:val="18"/>
          <w:color w:val="auto"/>
        </w:rPr>
        <w:t>. The guidance requires additional disclosures, including disclosures related to the measurement of level 3 assets. The guidance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interim and annual periods beginning after December 15, 2011 and is applied prospectively. The adoption of this pronouncement did not have a material impact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As of April 28, 2012, there was no material change in the market risks described in “Quantitative and Qualitative Disclosures About Market Risks” in the Company’s Annual Report on Form 10-K for the fiscal year ended January 28,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and Administrative Officer, of the effectiveness of the design and operation of the Company’s disclosure controls and procedures pursuant to Rule 13a-15 of the Securities Exchange Act of 1934. Based on that evaluation, the Chief Executive Officer and Chief Financial and Administrative Officer concluded that the Company’s disclosure controls and procedures were effective as of April 28, 2012.</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January 28,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8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40" w:type="dxa"/>
            <w:vAlign w:val="bottom"/>
          </w:tcPr>
          <w:p>
            <w:pPr>
              <w:spacing w:after="0"/>
              <w:rPr>
                <w:sz w:val="14"/>
                <w:szCs w:val="14"/>
                <w:color w:val="auto"/>
              </w:rPr>
            </w:pPr>
          </w:p>
        </w:tc>
        <w:tc>
          <w:tcPr>
            <w:tcW w:w="918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Fiscal 2013</w:t>
            </w:r>
          </w:p>
        </w:tc>
        <w:tc>
          <w:tcPr>
            <w:tcW w:w="9180" w:type="dxa"/>
            <w:vAlign w:val="bottom"/>
          </w:tcPr>
          <w:p>
            <w:pPr>
              <w:ind w:left="20"/>
              <w:spacing w:after="0"/>
              <w:rPr>
                <w:sz w:val="20"/>
                <w:szCs w:val="20"/>
                <w:color w:val="auto"/>
              </w:rPr>
            </w:pPr>
            <w:r>
              <w:rPr>
                <w:rFonts w:ascii="Arial" w:cs="Arial" w:eastAsia="Arial" w:hAnsi="Arial"/>
                <w:sz w:val="18"/>
                <w:szCs w:val="18"/>
                <w:color w:val="auto"/>
              </w:rPr>
              <w:t>Restricted Stock Unit/Performance Unit Terms and Conditions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Fiscal 2013</w:t>
            </w:r>
          </w:p>
        </w:tc>
        <w:tc>
          <w:tcPr>
            <w:tcW w:w="9180" w:type="dxa"/>
            <w:vAlign w:val="bottom"/>
          </w:tcPr>
          <w:p>
            <w:pPr>
              <w:ind w:left="20"/>
              <w:spacing w:after="0"/>
              <w:rPr>
                <w:sz w:val="20"/>
                <w:szCs w:val="20"/>
                <w:color w:val="auto"/>
              </w:rPr>
            </w:pPr>
            <w:r>
              <w:rPr>
                <w:rFonts w:ascii="Arial" w:cs="Arial" w:eastAsia="Arial" w:hAnsi="Arial"/>
                <w:sz w:val="18"/>
                <w:szCs w:val="18"/>
                <w:color w:val="auto"/>
              </w:rPr>
              <w:t>Outside Director Restricted Stock Unit Terms and Conditions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Fiscal 2013</w:t>
            </w:r>
          </w:p>
        </w:tc>
        <w:tc>
          <w:tcPr>
            <w:tcW w:w="9180" w:type="dxa"/>
            <w:vAlign w:val="bottom"/>
          </w:tcPr>
          <w:p>
            <w:pPr>
              <w:ind w:left="20"/>
              <w:spacing w:after="0"/>
              <w:rPr>
                <w:sz w:val="20"/>
                <w:szCs w:val="20"/>
                <w:color w:val="auto"/>
              </w:rPr>
            </w:pPr>
            <w:r>
              <w:rPr>
                <w:rFonts w:ascii="Arial" w:cs="Arial" w:eastAsia="Arial" w:hAnsi="Arial"/>
                <w:sz w:val="18"/>
                <w:szCs w:val="18"/>
                <w:color w:val="auto"/>
              </w:rPr>
              <w:t>Annual Incentive Compensation Plan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Form of Time-Based Award Agreement under the 2010 Equity and Incentive Plan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Form of Performance-Based Award Agreement under the 2010 Equity and Incentive Plan</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w w:val="87"/>
              </w:rPr>
              <w:t>Amendment No. 3 to Amended and Restated Credit Agreement, dated as of June 1, 2012, among Vera Bradley Designs, Inc., JPMorgan Chase</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Bank N.A. and the lenders party thereto</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jc w:val="both"/>
        <w:ind w:left="1020" w:hanging="1012"/>
        <w:spacing w:after="0" w:line="298"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April 28, 2012 formatted in Extensible Business Reporting Language (XBRL): (i) Consolidated Statements of Income and Comprehensive Income for the Thirteen Weeks ended April 28, 2012 and April 30, 2011; (ii) Consolidated Balance Sheets at April 28, 2012 and January 28, 2012; (iii) Consolidated Statements of Cash Flows for the Thirteen Weeks Ended April 28, 2012 and April 30, 2011, and (iv)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right="20" w:hanging="452"/>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Vera Bradley, Inc.</w:t>
            </w:r>
          </w:p>
        </w:tc>
      </w:tr>
      <w:tr>
        <w:trPr>
          <w:trHeight w:val="222"/>
        </w:trPr>
        <w:tc>
          <w:tcPr>
            <w:tcW w:w="3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3480" w:type="dxa"/>
            <w:vAlign w:val="bottom"/>
          </w:tcPr>
          <w:p>
            <w:pPr>
              <w:spacing w:after="0"/>
              <w:rPr>
                <w:sz w:val="20"/>
                <w:szCs w:val="20"/>
                <w:color w:val="auto"/>
              </w:rPr>
            </w:pPr>
            <w:r>
              <w:rPr>
                <w:rFonts w:ascii="Arial" w:cs="Arial" w:eastAsia="Arial" w:hAnsi="Arial"/>
                <w:sz w:val="18"/>
                <w:szCs w:val="18"/>
                <w:color w:val="auto"/>
              </w:rPr>
              <w:t>Date: June 6, 2012</w:t>
            </w:r>
          </w:p>
        </w:tc>
        <w:tc>
          <w:tcPr>
            <w:tcW w:w="2240" w:type="dxa"/>
            <w:vAlign w:val="bottom"/>
          </w:tcPr>
          <w:p>
            <w:pPr>
              <w:spacing w:after="0"/>
              <w:rPr>
                <w:sz w:val="24"/>
                <w:szCs w:val="24"/>
                <w:color w:val="auto"/>
              </w:rPr>
            </w:pP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A. Blade</w:t>
            </w:r>
          </w:p>
        </w:tc>
      </w:tr>
      <w:tr>
        <w:trPr>
          <w:trHeight w:val="202"/>
        </w:trPr>
        <w:tc>
          <w:tcPr>
            <w:tcW w:w="3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Jeffrey A. Blade</w:t>
            </w:r>
          </w:p>
        </w:tc>
      </w:tr>
      <w:tr>
        <w:trPr>
          <w:trHeight w:val="216"/>
        </w:trPr>
        <w:tc>
          <w:tcPr>
            <w:tcW w:w="3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Executive Vice President – Chief Financial and Administrative</w:t>
            </w:r>
          </w:p>
        </w:tc>
      </w:tr>
      <w:tr>
        <w:trPr>
          <w:trHeight w:val="222"/>
        </w:trPr>
        <w:tc>
          <w:tcPr>
            <w:tcW w:w="3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Officer (duly authorized officer and principal financial officer)</w:t>
            </w:r>
          </w:p>
        </w:tc>
      </w:tr>
      <w:tr>
        <w:trPr>
          <w:trHeight w:val="378"/>
        </w:trPr>
        <w:tc>
          <w:tcPr>
            <w:tcW w:w="3480" w:type="dxa"/>
            <w:vAlign w:val="bottom"/>
          </w:tcPr>
          <w:p>
            <w:pPr>
              <w:spacing w:after="0"/>
              <w:rPr>
                <w:sz w:val="24"/>
                <w:szCs w:val="24"/>
                <w:color w:val="auto"/>
              </w:rPr>
            </w:pPr>
          </w:p>
        </w:tc>
        <w:tc>
          <w:tcPr>
            <w:tcW w:w="7940" w:type="dxa"/>
            <w:vAlign w:val="bottom"/>
            <w:gridSpan w:val="2"/>
          </w:tcPr>
          <w:p>
            <w:pPr>
              <w:jc w:val="right"/>
              <w:ind w:right="5532"/>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274" w:right="2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56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9560" w:type="dxa"/>
            <w:vAlign w:val="bottom"/>
            <w:tcBorders>
              <w:bottom w:val="single" w:sz="8" w:color="auto"/>
            </w:tcBorders>
          </w:tcPr>
          <w:p>
            <w:pPr>
              <w:spacing w:after="0"/>
              <w:rPr>
                <w:sz w:val="14"/>
                <w:szCs w:val="14"/>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9"/>
              </w:rPr>
              <w:t>Fiscal 2013</w:t>
            </w:r>
          </w:p>
        </w:tc>
        <w:tc>
          <w:tcPr>
            <w:tcW w:w="9560" w:type="dxa"/>
            <w:vAlign w:val="bottom"/>
          </w:tcPr>
          <w:p>
            <w:pPr>
              <w:ind w:left="20"/>
              <w:spacing w:after="0"/>
              <w:rPr>
                <w:sz w:val="20"/>
                <w:szCs w:val="20"/>
                <w:color w:val="auto"/>
              </w:rPr>
            </w:pPr>
            <w:r>
              <w:rPr>
                <w:rFonts w:ascii="Arial" w:cs="Arial" w:eastAsia="Arial" w:hAnsi="Arial"/>
                <w:sz w:val="18"/>
                <w:szCs w:val="18"/>
                <w:color w:val="auto"/>
              </w:rPr>
              <w:t>Restricted Stock Unit/Performance Unit Terms and Conditions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9"/>
              </w:rPr>
              <w:t>Fiscal 2013</w:t>
            </w:r>
          </w:p>
        </w:tc>
        <w:tc>
          <w:tcPr>
            <w:tcW w:w="9560" w:type="dxa"/>
            <w:vAlign w:val="bottom"/>
          </w:tcPr>
          <w:p>
            <w:pPr>
              <w:ind w:left="20"/>
              <w:spacing w:after="0"/>
              <w:rPr>
                <w:sz w:val="20"/>
                <w:szCs w:val="20"/>
                <w:color w:val="auto"/>
              </w:rPr>
            </w:pPr>
            <w:r>
              <w:rPr>
                <w:rFonts w:ascii="Arial" w:cs="Arial" w:eastAsia="Arial" w:hAnsi="Arial"/>
                <w:sz w:val="18"/>
                <w:szCs w:val="18"/>
                <w:color w:val="auto"/>
              </w:rPr>
              <w:t>Outside Director Restricted Stock Unit Terms and Conditions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9"/>
              </w:rPr>
              <w:t>Fiscal 2013</w:t>
            </w:r>
          </w:p>
        </w:tc>
        <w:tc>
          <w:tcPr>
            <w:tcW w:w="9560" w:type="dxa"/>
            <w:vAlign w:val="bottom"/>
          </w:tcPr>
          <w:p>
            <w:pPr>
              <w:ind w:left="20"/>
              <w:spacing w:after="0"/>
              <w:rPr>
                <w:sz w:val="20"/>
                <w:szCs w:val="20"/>
                <w:color w:val="auto"/>
              </w:rPr>
            </w:pPr>
            <w:r>
              <w:rPr>
                <w:rFonts w:ascii="Arial" w:cs="Arial" w:eastAsia="Arial" w:hAnsi="Arial"/>
                <w:sz w:val="18"/>
                <w:szCs w:val="18"/>
                <w:color w:val="auto"/>
              </w:rPr>
              <w:t>Annual Incentive Compensation Plan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Form of Time-Based Award Agreement under the 2010 Equity and Incentive Plan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Form of Performance-Based Award Agreement under the 2010 Equity and Incentive Plan</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0"/>
              </w:rPr>
              <w:t>Amendment No. 3 to Amended and Restated Credit Agreement, dated as of June 1, 2012, among Vera Bradley Designs, Inc., JPMorgan Chase</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Bank N.A. and the lenders party thereto</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jc w:val="both"/>
        <w:ind w:left="1020" w:right="60" w:hanging="1012"/>
        <w:spacing w:after="0" w:line="298"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April 28, 2012 formatted in Extensible Business Reporting Language (XBRL): (i) Consolidated Statements of Income and Comprehensive Income for the Thirteen Weeks ended April 28, 2012 and April 30, 2011; (ii) Consolidated Balance Sheets at April 28, 2012 and January 28, 2012; (iii) Consolidated Statements of Cash Flows for the Thirteen Weeks Ended April 28, 2012 and April 30, 2011, and (iv)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right="80" w:hanging="452"/>
        <w:spacing w:after="0" w:line="30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FY13 RESTRICTED STOCK UNIT/PERFORMANCE UNIT TERMS AND CONDITIONS</w:t>
      </w:r>
    </w:p>
    <w:p>
      <w:pPr>
        <w:spacing w:after="0" w:line="177"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Any term capitalized herein but not defined will have the meaning set forth in the Vera Bradley, Inc. 2010 Equity and Incentive Plan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90" w:lineRule="exact"/>
        <w:rPr>
          <w:sz w:val="20"/>
          <w:szCs w:val="20"/>
          <w:color w:val="auto"/>
        </w:rPr>
      </w:pPr>
    </w:p>
    <w:p>
      <w:pPr>
        <w:jc w:val="both"/>
        <w:ind w:right="40" w:firstLine="464"/>
        <w:spacing w:after="0" w:line="335" w:lineRule="auto"/>
        <w:tabs>
          <w:tab w:leader="none" w:pos="695"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7" w:lineRule="exact"/>
        <w:rPr>
          <w:rFonts w:ascii="Arial" w:cs="Arial" w:eastAsia="Arial" w:hAnsi="Arial"/>
          <w:sz w:val="15"/>
          <w:szCs w:val="15"/>
          <w:color w:val="auto"/>
        </w:rPr>
      </w:pPr>
    </w:p>
    <w:p>
      <w:pPr>
        <w:ind w:right="180" w:firstLine="464"/>
        <w:spacing w:after="0" w:line="259"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Restricted Stock Units will vest on each of the first three anniversaries of the Grant Date.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140"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Grant and Vesting of Performance Units (“Performance RSUs”)</w:t>
      </w:r>
      <w:r>
        <w:rPr>
          <w:rFonts w:ascii="Arial" w:cs="Arial" w:eastAsia="Arial" w:hAnsi="Arial"/>
          <w:sz w:val="18"/>
          <w:szCs w:val="18"/>
          <w:color w:val="auto"/>
        </w:rPr>
        <w:t>.</w:t>
      </w:r>
    </w:p>
    <w:p>
      <w:pPr>
        <w:spacing w:after="0" w:line="90" w:lineRule="exact"/>
        <w:rPr>
          <w:sz w:val="20"/>
          <w:szCs w:val="20"/>
          <w:color w:val="auto"/>
        </w:rPr>
      </w:pPr>
    </w:p>
    <w:p>
      <w:pPr>
        <w:jc w:val="both"/>
        <w:ind w:right="40" w:firstLine="464"/>
        <w:spacing w:after="0" w:line="306" w:lineRule="auto"/>
        <w:tabs>
          <w:tab w:leader="none" w:pos="69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spacing w:after="0" w:line="25" w:lineRule="exact"/>
        <w:rPr>
          <w:rFonts w:ascii="Arial" w:cs="Arial" w:eastAsia="Arial" w:hAnsi="Arial"/>
          <w:sz w:val="16"/>
          <w:szCs w:val="16"/>
          <w:color w:val="auto"/>
        </w:rPr>
      </w:pPr>
    </w:p>
    <w:p>
      <w:pPr>
        <w:ind w:right="20" w:firstLine="464"/>
        <w:spacing w:after="0" w:line="254"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 RSUs granted under the Plan are intended to qualify as performance-based compensation under section 162(m) of the Internal Revenue Code of 1986, as amended (“Code”). Performance RSUs (or tranches of such Performance RSUs) will become earned only if the Company achieves a stated level of “Net Income”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63" w:lineRule="exact"/>
        <w:rPr>
          <w:rFonts w:ascii="Arial" w:cs="Arial" w:eastAsia="Arial" w:hAnsi="Arial"/>
          <w:sz w:val="18"/>
          <w:szCs w:val="18"/>
          <w:color w:val="auto"/>
        </w:rPr>
      </w:pPr>
    </w:p>
    <w:p>
      <w:pPr>
        <w:ind w:left="460" w:right="240" w:firstLine="443"/>
        <w:spacing w:after="0" w:line="306" w:lineRule="auto"/>
        <w:tabs>
          <w:tab w:leader="none" w:pos="1108"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Certification of Results. </w:t>
      </w:r>
      <w:r>
        <w:rPr>
          <w:rFonts w:ascii="Arial" w:cs="Arial" w:eastAsia="Arial" w:hAnsi="Arial"/>
          <w:sz w:val="16"/>
          <w:szCs w:val="16"/>
          <w:color w:val="auto"/>
        </w:rPr>
        <w:t>Before any award of Performance RSUs is deemed earned with respect to a Performance Period, the Committee shall</w:t>
      </w:r>
      <w:r>
        <w:rPr>
          <w:rFonts w:ascii="Arial" w:cs="Arial" w:eastAsia="Arial" w:hAnsi="Arial"/>
          <w:sz w:val="16"/>
          <w:szCs w:val="16"/>
          <w:i w:val="1"/>
          <w:iCs w:val="1"/>
          <w:color w:val="auto"/>
        </w:rPr>
        <w:t xml:space="preserve"> </w:t>
      </w:r>
      <w:r>
        <w:rPr>
          <w:rFonts w:ascii="Arial" w:cs="Arial" w:eastAsia="Arial" w:hAnsi="Arial"/>
          <w:sz w:val="16"/>
          <w:szCs w:val="16"/>
          <w:color w:val="auto"/>
        </w:rPr>
        <w:t>certify, in accordance with Section 9.5 of the Plan, in writing (i) that the performance goals described in the Award Agreement has been achieved for the Performance Period, and (ii) the calculation of “Net Income” (as defined below) for each Performance Year within the Performance Period.</w:t>
      </w:r>
    </w:p>
    <w:p>
      <w:pPr>
        <w:sectPr>
          <w:pgSz w:w="11900" w:h="16838" w:orient="portrait"/>
          <w:cols w:equalWidth="0" w:num="1">
            <w:col w:w="11420"/>
          </w:cols>
          <w:pgMar w:left="240" w:top="125" w:right="239" w:bottom="1440" w:gutter="0" w:footer="0" w:header="0"/>
        </w:sectPr>
      </w:pPr>
    </w:p>
    <w:bookmarkStart w:id="24" w:name="page25"/>
    <w:bookmarkEnd w:id="24"/>
    <w:p>
      <w:pPr>
        <w:ind w:left="440" w:right="160" w:firstLine="443"/>
        <w:spacing w:after="0" w:line="291" w:lineRule="auto"/>
        <w:tabs>
          <w:tab w:leader="none" w:pos="1136"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Definition of “Net Income.” </w:t>
      </w:r>
      <w:r>
        <w:rPr>
          <w:rFonts w:ascii="Arial" w:cs="Arial" w:eastAsia="Arial" w:hAnsi="Arial"/>
          <w:sz w:val="16"/>
          <w:szCs w:val="16"/>
          <w:color w:val="auto"/>
        </w:rPr>
        <w:t>For purposes of this Subsection 3(b), the term “Net Income” means, with respect to any Awards of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RSUs, the Company’s consolidated net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39" w:lineRule="exact"/>
        <w:rPr>
          <w:rFonts w:ascii="Arial" w:cs="Arial" w:eastAsia="Arial" w:hAnsi="Arial"/>
          <w:sz w:val="16"/>
          <w:szCs w:val="16"/>
          <w:color w:val="auto"/>
        </w:rPr>
      </w:pPr>
    </w:p>
    <w:p>
      <w:pPr>
        <w:ind w:left="440" w:right="360" w:firstLine="443"/>
        <w:spacing w:after="0" w:line="268" w:lineRule="auto"/>
        <w:tabs>
          <w:tab w:leader="none" w:pos="118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“Performance Year.” </w:t>
      </w:r>
      <w:r>
        <w:rPr>
          <w:rFonts w:ascii="Arial" w:cs="Arial" w:eastAsia="Arial" w:hAnsi="Arial"/>
          <w:sz w:val="18"/>
          <w:szCs w:val="18"/>
          <w:color w:val="auto"/>
        </w:rPr>
        <w:t>For purposes of this Subsection 3(b), the term “Performance Year” means, with respect to any Awards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RSUs, each fiscal year of the Company ending within the Performance Period.</w:t>
      </w:r>
    </w:p>
    <w:p>
      <w:pPr>
        <w:spacing w:after="0" w:line="50" w:lineRule="exact"/>
        <w:rPr>
          <w:rFonts w:ascii="Arial" w:cs="Arial" w:eastAsia="Arial" w:hAnsi="Arial"/>
          <w:sz w:val="18"/>
          <w:szCs w:val="18"/>
          <w:color w:val="auto"/>
        </w:rPr>
      </w:pPr>
    </w:p>
    <w:p>
      <w:pPr>
        <w:ind w:left="440" w:right="20" w:firstLine="443"/>
        <w:spacing w:after="0" w:line="253" w:lineRule="auto"/>
        <w:tabs>
          <w:tab w:leader="none" w:pos="117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Finality of Committee Determinations. </w:t>
      </w:r>
      <w:r>
        <w:rPr>
          <w:rFonts w:ascii="Arial" w:cs="Arial" w:eastAsia="Arial" w:hAnsi="Arial"/>
          <w:sz w:val="18"/>
          <w:szCs w:val="18"/>
          <w:color w:val="auto"/>
        </w:rPr>
        <w:t>Any determination by the Committee of Net Income and the level and entitlement to the Award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RSUs, and any interpretation, rule, or decision adopted by the Committee under the Plan or in carrying out or administering the Plan, is final and binding for all purposes and upon all interested persons, their heirs, and personal representatives. The Committee may rely conclusively on determinations made by the Company and its auditors to determine Net Income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 and Code Section 162(m).</w:t>
      </w:r>
    </w:p>
    <w:p>
      <w:pPr>
        <w:spacing w:after="0" w:line="147" w:lineRule="exact"/>
        <w:rPr>
          <w:sz w:val="20"/>
          <w:szCs w:val="20"/>
          <w:color w:val="auto"/>
        </w:rPr>
      </w:pPr>
    </w:p>
    <w:p>
      <w:pPr>
        <w:ind w:left="620" w:hanging="176"/>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90" w:lineRule="exact"/>
        <w:rPr>
          <w:sz w:val="20"/>
          <w:szCs w:val="20"/>
          <w:color w:val="auto"/>
        </w:rPr>
      </w:pPr>
    </w:p>
    <w:p>
      <w:pPr>
        <w:ind w:left="-20" w:firstLine="464"/>
        <w:spacing w:after="0" w:line="332" w:lineRule="auto"/>
        <w:tabs>
          <w:tab w:leader="none" w:pos="6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4" w:lineRule="exact"/>
        <w:rPr>
          <w:rFonts w:ascii="Arial" w:cs="Arial" w:eastAsia="Arial" w:hAnsi="Arial"/>
          <w:sz w:val="16"/>
          <w:szCs w:val="16"/>
          <w:color w:val="auto"/>
        </w:rPr>
      </w:pPr>
    </w:p>
    <w:p>
      <w:pPr>
        <w:ind w:left="-20" w:right="40" w:firstLine="464"/>
        <w:spacing w:after="0" w:line="287"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 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25" w:name="page26"/>
    <w:bookmarkEnd w:id="25"/>
    <w:p>
      <w:pPr>
        <w:ind w:right="20" w:firstLine="464"/>
        <w:spacing w:after="0" w:line="255"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Service; Change in Control</w:t>
      </w:r>
      <w:r>
        <w:rPr>
          <w:rFonts w:ascii="Arial" w:cs="Arial" w:eastAsia="Arial" w:hAnsi="Arial"/>
          <w:sz w:val="18"/>
          <w:szCs w:val="18"/>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 immediately prior to or upon the consummation of a Change in Control.</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Jill Nichols,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w:t>
      </w:r>
    </w:p>
    <w:p>
      <w:pPr>
        <w:ind w:right="140" w:firstLine="8"/>
        <w:spacing w:after="0" w:line="292" w:lineRule="auto"/>
        <w:tabs>
          <w:tab w:leader="none" w:pos="21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16" w:lineRule="exact"/>
        <w:rPr>
          <w:rFonts w:ascii="Arial" w:cs="Arial" w:eastAsia="Arial" w:hAnsi="Arial"/>
          <w:sz w:val="16"/>
          <w:szCs w:val="16"/>
          <w:color w:val="auto"/>
        </w:rPr>
      </w:pPr>
    </w:p>
    <w:p>
      <w:pPr>
        <w:ind w:right="40" w:firstLine="464"/>
        <w:spacing w:after="0" w:line="254" w:lineRule="auto"/>
        <w:tabs>
          <w:tab w:leader="none" w:pos="63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w:t>
      </w:r>
      <w:r>
        <w:rPr>
          <w:rFonts w:ascii="Arial" w:cs="Arial" w:eastAsia="Arial" w:hAnsi="Arial"/>
          <w:sz w:val="18"/>
          <w:szCs w:val="18"/>
          <w:color w:val="auto"/>
        </w:rPr>
        <w:t>. Except as provided in this Section or in clauses 2(b) or 3(b) or Section 5, above, once a Restricted Stock Unit vests or a Performance RSU is earned and vested, as applicable, the Participant will be entitled to receive a Share in its place. Delivery of the Share will be made, including delivery with respect to a Disabled Participant, or to the estate of a deceased Participant, after the end of the Restricted Period or Performance Period, as applicable, and not later than the 15</w:t>
      </w:r>
      <w:r>
        <w:rPr>
          <w:rFonts w:ascii="Arial" w:cs="Arial" w:eastAsia="Arial" w:hAnsi="Arial"/>
          <w:sz w:val="11"/>
          <w:szCs w:val="11"/>
          <w:color w:val="auto"/>
        </w:rPr>
        <w:t>th</w:t>
      </w:r>
      <w:r>
        <w:rPr>
          <w:rFonts w:ascii="Arial" w:cs="Arial" w:eastAsia="Arial" w:hAnsi="Arial"/>
          <w:sz w:val="18"/>
          <w:szCs w:val="18"/>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pacing w:after="0" w:line="144" w:lineRule="exact"/>
        <w:rPr>
          <w:rFonts w:ascii="Arial" w:cs="Arial" w:eastAsia="Arial" w:hAnsi="Arial"/>
          <w:sz w:val="18"/>
          <w:szCs w:val="18"/>
          <w:color w:val="auto"/>
        </w:rPr>
      </w:pPr>
    </w:p>
    <w:p>
      <w:pPr>
        <w:ind w:right="160" w:firstLine="464"/>
        <w:spacing w:after="0" w:line="268" w:lineRule="auto"/>
        <w:tabs>
          <w:tab w:leader="none" w:pos="63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6" w:name="page27"/>
    <w:bookmarkEnd w:id="26"/>
    <w:p>
      <w:pPr>
        <w:jc w:val="both"/>
        <w:ind w:right="20" w:firstLine="464"/>
        <w:spacing w:after="0" w:line="256"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Tax</w:t>
      </w:r>
      <w:r>
        <w:rPr>
          <w:rFonts w:ascii="Arial" w:cs="Arial" w:eastAsia="Arial" w:hAnsi="Arial"/>
          <w:sz w:val="18"/>
          <w:szCs w:val="18"/>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90" w:lineRule="exact"/>
        <w:rPr>
          <w:sz w:val="20"/>
          <w:szCs w:val="20"/>
          <w:color w:val="auto"/>
        </w:rPr>
      </w:pPr>
    </w:p>
    <w:p>
      <w:pPr>
        <w:ind w:right="60" w:firstLine="464"/>
        <w:spacing w:after="0" w:line="294"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34" w:lineRule="exact"/>
        <w:rPr>
          <w:rFonts w:ascii="Arial" w:cs="Arial" w:eastAsia="Arial" w:hAnsi="Arial"/>
          <w:sz w:val="16"/>
          <w:szCs w:val="16"/>
          <w:color w:val="auto"/>
        </w:rPr>
      </w:pPr>
    </w:p>
    <w:p>
      <w:pPr>
        <w:ind w:right="40" w:firstLine="464"/>
        <w:spacing w:after="0" w:line="290"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18" w:lineRule="exact"/>
        <w:rPr>
          <w:sz w:val="20"/>
          <w:szCs w:val="20"/>
          <w:color w:val="auto"/>
        </w:rPr>
      </w:pPr>
    </w:p>
    <w:p>
      <w:pPr>
        <w:ind w:firstLine="464"/>
        <w:spacing w:after="0" w:line="25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40" w:lineRule="exact"/>
        <w:rPr>
          <w:rFonts w:ascii="Arial" w:cs="Arial" w:eastAsia="Arial" w:hAnsi="Arial"/>
          <w:sz w:val="18"/>
          <w:szCs w:val="18"/>
          <w:color w:val="auto"/>
        </w:rPr>
      </w:pPr>
    </w:p>
    <w:p>
      <w:pPr>
        <w:ind w:right="40" w:firstLine="464"/>
        <w:spacing w:after="0" w:line="291" w:lineRule="auto"/>
        <w:tabs>
          <w:tab w:leader="none" w:pos="71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Plan, Restricted Stock Units, Performance RSUs and Award Not a Contract of Employment</w:t>
      </w:r>
      <w:r>
        <w:rPr>
          <w:rFonts w:ascii="Arial" w:cs="Arial" w:eastAsia="Arial" w:hAnsi="Arial"/>
          <w:sz w:val="16"/>
          <w:szCs w:val="16"/>
          <w:color w:val="auto"/>
        </w:rPr>
        <w:t>. Neither the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7" w:name="page28"/>
    <w:bookmarkEnd w:id="27"/>
    <w:p>
      <w:pPr>
        <w:ind w:left="-60" w:right="20" w:firstLine="464"/>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140" w:lineRule="exact"/>
        <w:rPr>
          <w:rFonts w:ascii="Arial" w:cs="Arial" w:eastAsia="Arial" w:hAnsi="Arial"/>
          <w:sz w:val="18"/>
          <w:szCs w:val="18"/>
          <w:color w:val="auto"/>
        </w:rPr>
      </w:pPr>
    </w:p>
    <w:p>
      <w:pPr>
        <w:ind w:left="-60" w:right="80" w:firstLine="464"/>
        <w:spacing w:after="0" w:line="298"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2208 Production Road, Fort Wayne, Indiana 46808, Attn: Corporate Secretary, and, in the case of the Participant, to the last known address of the Participant in the Company’s records.</w:t>
      </w:r>
    </w:p>
    <w:p>
      <w:pPr>
        <w:spacing w:after="0" w:line="112" w:lineRule="exact"/>
        <w:rPr>
          <w:rFonts w:ascii="Arial" w:cs="Arial" w:eastAsia="Arial" w:hAnsi="Arial"/>
          <w:sz w:val="16"/>
          <w:szCs w:val="16"/>
          <w:color w:val="auto"/>
        </w:rPr>
      </w:pPr>
    </w:p>
    <w:p>
      <w:pPr>
        <w:ind w:left="-60" w:right="200" w:firstLine="464"/>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31" w:lineRule="exact"/>
        <w:rPr>
          <w:rFonts w:ascii="Arial" w:cs="Arial" w:eastAsia="Arial" w:hAnsi="Arial"/>
          <w:sz w:val="18"/>
          <w:szCs w:val="18"/>
          <w:color w:val="auto"/>
        </w:rPr>
      </w:pPr>
    </w:p>
    <w:p>
      <w:pPr>
        <w:ind w:left="-60" w:right="60" w:firstLine="464"/>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43" w:lineRule="exact"/>
        <w:rPr>
          <w:rFonts w:ascii="Arial" w:cs="Arial" w:eastAsia="Arial" w:hAnsi="Arial"/>
          <w:sz w:val="18"/>
          <w:szCs w:val="18"/>
          <w:color w:val="auto"/>
        </w:rPr>
      </w:pPr>
    </w:p>
    <w:p>
      <w:pPr>
        <w:ind w:left="-60" w:firstLine="464"/>
        <w:spacing w:after="0" w:line="33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Plan Document Controls</w:t>
      </w:r>
      <w:r>
        <w:rPr>
          <w:rFonts w:ascii="Arial" w:cs="Arial" w:eastAsia="Arial" w:hAnsi="Arial"/>
          <w:sz w:val="16"/>
          <w:szCs w:val="16"/>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300" w:top="280" w:right="2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FISCAL 2013 OUTSIDE DIRECTOR RESTRICTED STOCK UNIT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TERMS AND CONDITIONS</w:t>
      </w:r>
    </w:p>
    <w:p>
      <w:pPr>
        <w:spacing w:after="0" w:line="165" w:lineRule="exact"/>
        <w:rPr>
          <w:sz w:val="20"/>
          <w:szCs w:val="20"/>
          <w:color w:val="auto"/>
        </w:rPr>
      </w:pPr>
    </w:p>
    <w:p>
      <w:pPr>
        <w:ind w:left="780" w:hanging="31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Any term capitalized herein but not defined will have the meaning set forth in the Vera Bradley, Inc. 2010 Equity and Incentive Plan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left="780" w:hanging="31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43"/>
        <w:spacing w:after="0" w:line="256" w:lineRule="auto"/>
        <w:tabs>
          <w:tab w:leader="none" w:pos="125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of the grant date specified in the letter that accompanies this document (the “Grant Date”), the Participant will be credited with the number of Restricted Stock Units set forth in the letter that accompanies this document.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62" w:lineRule="exact"/>
        <w:rPr>
          <w:rFonts w:ascii="Arial" w:cs="Arial" w:eastAsia="Arial" w:hAnsi="Arial"/>
          <w:sz w:val="18"/>
          <w:szCs w:val="18"/>
          <w:color w:val="auto"/>
        </w:rPr>
      </w:pPr>
    </w:p>
    <w:p>
      <w:pPr>
        <w:ind w:left="460" w:right="100" w:firstLine="443"/>
        <w:spacing w:after="0" w:line="259" w:lineRule="auto"/>
        <w:tabs>
          <w:tab w:leader="none" w:pos="12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Restricted Stock Units will vest on each of the first three anniversaries of the Grant Date. If the Participant’s Service with the Company and all of its Affiliates terminates before the date that all of the Restricted Stock Units vest, his or her right to receive the Shares underlying such unvested Restricted Stock Units will be only as provided in Section 4.</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90" w:lineRule="exact"/>
        <w:rPr>
          <w:sz w:val="20"/>
          <w:szCs w:val="20"/>
          <w:color w:val="auto"/>
        </w:rPr>
      </w:pPr>
    </w:p>
    <w:p>
      <w:pPr>
        <w:ind w:right="460" w:firstLine="464"/>
        <w:spacing w:after="0" w:line="268" w:lineRule="auto"/>
        <w:tabs>
          <w:tab w:leader="none" w:pos="8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and until a Restricted Stock Unit has vested and the Share underlying it has been distributed to the Participant, the Participant will not be entitled to vote in respect of that Restricted Stock Unit or that Share.</w:t>
      </w:r>
    </w:p>
    <w:p>
      <w:pPr>
        <w:spacing w:after="0" w:line="131" w:lineRule="exact"/>
        <w:rPr>
          <w:rFonts w:ascii="Arial" w:cs="Arial" w:eastAsia="Arial" w:hAnsi="Arial"/>
          <w:sz w:val="18"/>
          <w:szCs w:val="18"/>
          <w:color w:val="auto"/>
        </w:rPr>
      </w:pPr>
    </w:p>
    <w:p>
      <w:pPr>
        <w:ind w:right="20" w:firstLine="464"/>
        <w:spacing w:after="0" w:line="288" w:lineRule="auto"/>
        <w:tabs>
          <w:tab w:leader="none" w:pos="837"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awarded under the applicable Award Agreement, and will be paid in cash in a single sum at the time that the Shares associated with the Participant’s Restricted Stock Units are delivered (or forfeited at the time that the Participant’s Restricted Stock Units are forfeited).</w:t>
      </w:r>
    </w:p>
    <w:p>
      <w:pPr>
        <w:sectPr>
          <w:pgSz w:w="11900" w:h="16838" w:orient="portrait"/>
          <w:cols w:equalWidth="0" w:num="1">
            <w:col w:w="11420"/>
          </w:cols>
          <w:pgMar w:left="240" w:top="125" w:right="239" w:bottom="1440" w:gutter="0" w:footer="0" w:header="0"/>
        </w:sectPr>
      </w:pPr>
    </w:p>
    <w:bookmarkStart w:id="29" w:name="page30"/>
    <w:bookmarkEnd w:id="29"/>
    <w:p>
      <w:pPr>
        <w:ind w:firstLine="464"/>
        <w:spacing w:after="0" w:line="254" w:lineRule="auto"/>
        <w:tabs>
          <w:tab w:leader="none" w:pos="76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Service; Change in Control</w:t>
      </w:r>
      <w:r>
        <w:rPr>
          <w:rFonts w:ascii="Arial" w:cs="Arial" w:eastAsia="Arial" w:hAnsi="Arial"/>
          <w:sz w:val="18"/>
          <w:szCs w:val="18"/>
          <w:color w:val="auto"/>
        </w:rPr>
        <w:t>. A Participant’s right to receive the Shares underlying his or her Restricted Stock Units after termination of his or her Service will be only as provided in this Section. If a Participant’s Service is terminated due to the Participant’s death or Disability, the Participant (or his or her estate) will be immediately entitled to receive the Shares underlying all of the Restricted Stock Units that have not yet vested under Section 2 above. If a Participant’s Service is terminated for any other reason, the Participant will forfeit the right to receive Shares underlying under Restricted Stock Units that have not yet vested. Notwithstanding anything to the contrary herein, all previously unvested Restricted Stock Units then outstanding will vest immediately upon the occurrence of a Change in Control.</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Jill Nichols,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where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24" w:lineRule="exact"/>
        <w:rPr>
          <w:sz w:val="20"/>
          <w:szCs w:val="20"/>
          <w:color w:val="auto"/>
        </w:rPr>
      </w:pPr>
    </w:p>
    <w:p>
      <w:pPr>
        <w:ind w:firstLine="464"/>
        <w:spacing w:after="0" w:line="255" w:lineRule="auto"/>
        <w:tabs>
          <w:tab w:leader="none" w:pos="76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w:t>
      </w:r>
      <w:r>
        <w:rPr>
          <w:rFonts w:ascii="Arial" w:cs="Arial" w:eastAsia="Arial" w:hAnsi="Arial"/>
          <w:sz w:val="18"/>
          <w:szCs w:val="18"/>
          <w:color w:val="auto"/>
        </w:rPr>
        <w:t>. Except as provided in this Section or in clauses 2(b) or Section 4, once a Restricted Stock Unit vests, the Participant will be entitled to receive a Share in its place. Delivery of the Share will be made, including delivery with respect to a Disabled Participant, or to the estate of a deceased Participant, as soon as administratively feasible after its associated Restricted Stock Unit vests. Shares will be credited to an account established for the benefit of the Participant with the Company’s administrative agent. The Participant will have full legal and beneficial ownership with respect to the Shares at that time.</w:t>
      </w:r>
    </w:p>
    <w:p>
      <w:pPr>
        <w:spacing w:after="0" w:line="142" w:lineRule="exact"/>
        <w:rPr>
          <w:rFonts w:ascii="Arial" w:cs="Arial" w:eastAsia="Arial" w:hAnsi="Arial"/>
          <w:sz w:val="18"/>
          <w:szCs w:val="18"/>
          <w:color w:val="auto"/>
        </w:rPr>
      </w:pPr>
    </w:p>
    <w:p>
      <w:pPr>
        <w:ind w:right="20" w:firstLine="464"/>
        <w:spacing w:after="0" w:line="268" w:lineRule="auto"/>
        <w:tabs>
          <w:tab w:leader="none" w:pos="76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31" w:lineRule="exact"/>
        <w:rPr>
          <w:rFonts w:ascii="Arial" w:cs="Arial" w:eastAsia="Arial" w:hAnsi="Arial"/>
          <w:sz w:val="18"/>
          <w:szCs w:val="18"/>
          <w:color w:val="auto"/>
        </w:rPr>
      </w:pPr>
    </w:p>
    <w:p>
      <w:pPr>
        <w:jc w:val="both"/>
        <w:ind w:right="180" w:firstLine="464"/>
        <w:spacing w:after="0" w:line="259" w:lineRule="auto"/>
        <w:tabs>
          <w:tab w:leader="none" w:pos="76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and any Affiliate will have the right to retain Shares or cash that are distributable to the Participant hereunder to the extent necessary to satisfy any withholding taxes, whether federal or state, triggered by the distribution of Shares or cash pursuant to the Award reflected in this document.</w:t>
      </w:r>
    </w:p>
    <w:p>
      <w:pPr>
        <w:sectPr>
          <w:pgSz w:w="11900" w:h="16838" w:orient="portrait"/>
          <w:cols w:equalWidth="0" w:num="1">
            <w:col w:w="11400"/>
          </w:cols>
          <w:pgMar w:left="240" w:top="280" w:right="259" w:bottom="1440" w:gutter="0" w:footer="0" w:header="0"/>
        </w:sectPr>
      </w:pPr>
    </w:p>
    <w:bookmarkStart w:id="30" w:name="page31"/>
    <w:bookmarkEnd w:id="30"/>
    <w:p>
      <w:pPr>
        <w:ind w:left="772" w:hanging="316"/>
        <w:spacing w:after="0"/>
        <w:tabs>
          <w:tab w:leader="none" w:pos="77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Law Requirements</w:t>
      </w:r>
      <w:r>
        <w:rPr>
          <w:rFonts w:ascii="Arial" w:cs="Arial" w:eastAsia="Arial" w:hAnsi="Arial"/>
          <w:sz w:val="18"/>
          <w:szCs w:val="18"/>
          <w:color w:val="auto"/>
        </w:rPr>
        <w:t>.</w:t>
      </w:r>
    </w:p>
    <w:p>
      <w:pPr>
        <w:spacing w:after="0" w:line="171" w:lineRule="exact"/>
        <w:rPr>
          <w:sz w:val="20"/>
          <w:szCs w:val="20"/>
          <w:color w:val="auto"/>
        </w:rPr>
      </w:pPr>
    </w:p>
    <w:p>
      <w:pPr>
        <w:ind w:left="-8" w:right="20" w:firstLine="464"/>
        <w:spacing w:after="0" w:line="255" w:lineRule="auto"/>
        <w:tabs>
          <w:tab w:leader="none" w:pos="8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Restricted Stock Units are subject to the further requirement that, if at any time the Committee determines in its sole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142" w:lineRule="exact"/>
        <w:rPr>
          <w:rFonts w:ascii="Arial" w:cs="Arial" w:eastAsia="Arial" w:hAnsi="Arial"/>
          <w:sz w:val="18"/>
          <w:szCs w:val="18"/>
          <w:color w:val="auto"/>
        </w:rPr>
      </w:pPr>
    </w:p>
    <w:p>
      <w:pPr>
        <w:ind w:left="-8" w:right="60" w:firstLine="464"/>
        <w:spacing w:after="0" w:line="303" w:lineRule="auto"/>
        <w:tabs>
          <w:tab w:leader="none" w:pos="829" w:val="left"/>
        </w:tabs>
        <w:numPr>
          <w:ilvl w:val="1"/>
          <w:numId w:val="38"/>
        </w:numPr>
        <w:rPr>
          <w:rFonts w:ascii="Arial" w:cs="Arial" w:eastAsia="Arial" w:hAnsi="Arial"/>
          <w:sz w:val="15"/>
          <w:szCs w:val="15"/>
          <w:color w:val="auto"/>
        </w:rPr>
      </w:pPr>
      <w:r>
        <w:rPr>
          <w:rFonts w:ascii="Arial" w:cs="Arial" w:eastAsia="Arial" w:hAnsi="Arial"/>
          <w:sz w:val="15"/>
          <w:szCs w:val="15"/>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w:t>
      </w:r>
    </w:p>
    <w:p>
      <w:pPr>
        <w:spacing w:after="0" w:line="1" w:lineRule="exact"/>
        <w:rPr>
          <w:rFonts w:ascii="Arial" w:cs="Arial" w:eastAsia="Arial" w:hAnsi="Arial"/>
          <w:sz w:val="15"/>
          <w:szCs w:val="15"/>
          <w:color w:val="auto"/>
        </w:rPr>
      </w:pPr>
    </w:p>
    <w:p>
      <w:pPr>
        <w:ind w:left="-8" w:right="20" w:firstLine="8"/>
        <w:spacing w:after="0" w:line="254" w:lineRule="auto"/>
        <w:tabs>
          <w:tab w:leader="none" w:pos="2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44" w:lineRule="exact"/>
        <w:rPr>
          <w:sz w:val="20"/>
          <w:szCs w:val="20"/>
          <w:color w:val="auto"/>
        </w:rPr>
      </w:pPr>
    </w:p>
    <w:p>
      <w:pPr>
        <w:jc w:val="both"/>
        <w:ind w:left="-8" w:firstLine="464"/>
        <w:spacing w:after="0" w:line="259"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40" w:lineRule="exact"/>
        <w:rPr>
          <w:rFonts w:ascii="Arial" w:cs="Arial" w:eastAsia="Arial" w:hAnsi="Arial"/>
          <w:sz w:val="18"/>
          <w:szCs w:val="18"/>
          <w:color w:val="auto"/>
        </w:rPr>
      </w:pPr>
    </w:p>
    <w:p>
      <w:pPr>
        <w:ind w:left="-8" w:right="80" w:firstLine="464"/>
        <w:spacing w:after="0" w:line="254" w:lineRule="auto"/>
        <w:tabs>
          <w:tab w:leader="none" w:pos="8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Plan, Restricted Stock Units, and Award Not a Contract of Employment</w:t>
      </w:r>
      <w:r>
        <w:rPr>
          <w:rFonts w:ascii="Arial" w:cs="Arial" w:eastAsia="Arial" w:hAnsi="Arial"/>
          <w:sz w:val="18"/>
          <w:szCs w:val="18"/>
          <w:color w:val="auto"/>
        </w:rPr>
        <w:t>. Neither the Plan, the Restricted Stock Units, nor any other right or interest that is part of the Award granted under the Plan or this document is a contract of employment, and no terms of employment or Service of the Participant will be affected in any way by the Plan, the Restricted Stock Units,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44" w:lineRule="exact"/>
        <w:rPr>
          <w:rFonts w:ascii="Arial" w:cs="Arial" w:eastAsia="Arial" w:hAnsi="Arial"/>
          <w:sz w:val="18"/>
          <w:szCs w:val="18"/>
          <w:color w:val="auto"/>
        </w:rPr>
      </w:pPr>
    </w:p>
    <w:p>
      <w:pPr>
        <w:jc w:val="both"/>
        <w:ind w:left="-8" w:right="420" w:firstLine="464"/>
        <w:spacing w:after="0" w:line="259" w:lineRule="auto"/>
        <w:tabs>
          <w:tab w:leader="none" w:pos="83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prior to the date on which he or she is recorded as the holder of those Shares on the records of the Company.</w:t>
      </w:r>
    </w:p>
    <w:p>
      <w:pPr>
        <w:sectPr>
          <w:pgSz w:w="11900" w:h="16838" w:orient="portrait"/>
          <w:cols w:equalWidth="0" w:num="1">
            <w:col w:w="11412"/>
          </w:cols>
          <w:pgMar w:left="248" w:top="280" w:right="239" w:bottom="1440" w:gutter="0" w:footer="0" w:header="0"/>
        </w:sectPr>
      </w:pPr>
    </w:p>
    <w:bookmarkStart w:id="31" w:name="page32"/>
    <w:bookmarkEnd w:id="31"/>
    <w:p>
      <w:pPr>
        <w:jc w:val="both"/>
        <w:ind w:left="-464" w:firstLine="464"/>
        <w:spacing w:after="0" w:line="256" w:lineRule="auto"/>
        <w:tabs>
          <w:tab w:leader="none" w:pos="38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w:t>
      </w:r>
      <w:r>
        <w:rPr>
          <w:rFonts w:ascii="Arial" w:cs="Arial" w:eastAsia="Arial" w:hAnsi="Arial"/>
          <w:sz w:val="18"/>
          <w:szCs w:val="18"/>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2208 Production Road, Fort Wayne, Indiana 46808, Attn: Corporate Secretary, and, in the case of the Participant, to the last known address of the Participant in the Company’s records.</w:t>
      </w:r>
    </w:p>
    <w:p>
      <w:pPr>
        <w:spacing w:after="0" w:line="143" w:lineRule="exact"/>
        <w:rPr>
          <w:rFonts w:ascii="Arial" w:cs="Arial" w:eastAsia="Arial" w:hAnsi="Arial"/>
          <w:sz w:val="18"/>
          <w:szCs w:val="18"/>
          <w:color w:val="auto"/>
        </w:rPr>
      </w:pPr>
    </w:p>
    <w:p>
      <w:pPr>
        <w:ind w:left="-464" w:right="40" w:firstLine="464"/>
        <w:spacing w:after="0" w:line="268" w:lineRule="auto"/>
        <w:tabs>
          <w:tab w:leader="none" w:pos="38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31" w:lineRule="exact"/>
        <w:rPr>
          <w:rFonts w:ascii="Arial" w:cs="Arial" w:eastAsia="Arial" w:hAnsi="Arial"/>
          <w:sz w:val="18"/>
          <w:szCs w:val="18"/>
          <w:color w:val="auto"/>
        </w:rPr>
      </w:pPr>
    </w:p>
    <w:p>
      <w:pPr>
        <w:ind w:left="-464" w:right="20" w:firstLine="464"/>
        <w:spacing w:after="0" w:line="256" w:lineRule="auto"/>
        <w:tabs>
          <w:tab w:leader="none" w:pos="38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43" w:lineRule="exact"/>
        <w:rPr>
          <w:rFonts w:ascii="Arial" w:cs="Arial" w:eastAsia="Arial" w:hAnsi="Arial"/>
          <w:sz w:val="18"/>
          <w:szCs w:val="18"/>
          <w:color w:val="auto"/>
        </w:rPr>
      </w:pPr>
    </w:p>
    <w:p>
      <w:pPr>
        <w:ind w:left="-464" w:right="100" w:firstLine="464"/>
        <w:spacing w:after="0" w:line="332" w:lineRule="auto"/>
        <w:tabs>
          <w:tab w:leader="none" w:pos="38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Plan Document Controls</w:t>
      </w:r>
      <w:r>
        <w:rPr>
          <w:rFonts w:ascii="Arial" w:cs="Arial" w:eastAsia="Arial" w:hAnsi="Arial"/>
          <w:sz w:val="16"/>
          <w:szCs w:val="16"/>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ectPr>
          <w:pgSz w:w="11900" w:h="16838" w:orient="portrait"/>
          <w:cols w:equalWidth="0" w:num="1">
            <w:col w:w="10876"/>
          </w:cols>
          <w:pgMar w:left="704" w:top="280" w:right="3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FY13 Annual Incentive Compensation Plan (Executives)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Plan Overview</w:t>
      </w:r>
    </w:p>
    <w:p>
      <w:pPr>
        <w:spacing w:after="0" w:line="96"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Grants under this FY13 Annual Incentive Compensation Plan (Executives) (“Annual Executive Plan”) are granted under and governed by the terms and conditions of the Vera Bradley, Inc. 2010 Equity and Incentive Plan (the “2010 Plan”), as amended. Any term capitalized herein but not defined will have the meaning set forth in the 2010 Plan.</w:t>
      </w:r>
    </w:p>
    <w:p>
      <w:pPr>
        <w:spacing w:after="0" w:line="59" w:lineRule="exact"/>
        <w:rPr>
          <w:sz w:val="20"/>
          <w:szCs w:val="20"/>
          <w:color w:val="auto"/>
        </w:rPr>
      </w:pPr>
    </w:p>
    <w:p>
      <w:pPr>
        <w:jc w:val="both"/>
        <w:ind w:left="460" w:right="100"/>
        <w:spacing w:after="0" w:line="255" w:lineRule="auto"/>
        <w:rPr>
          <w:sz w:val="20"/>
          <w:szCs w:val="20"/>
          <w:color w:val="auto"/>
        </w:rPr>
      </w:pPr>
      <w:r>
        <w:rPr>
          <w:rFonts w:ascii="Arial" w:cs="Arial" w:eastAsia="Arial" w:hAnsi="Arial"/>
          <w:sz w:val="18"/>
          <w:szCs w:val="18"/>
          <w:color w:val="auto"/>
        </w:rPr>
        <w:t xml:space="preserve">The Annual Executive Plan is designed to give the Company’s Chief Executive Officer (CEO) and each executive-level employee who reports directly to the CEO (and is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 opportunity to share in the Company’s success for the fiscal year ending February 2, 2013 (the “Performance Period”). The target incentive opportunity for the Performance Period is based on a percentage of each Participant’s Base Salary (as defined herein). Each Participant’s incentive opportunity is based on two independent performance measures: net revenue and net income (each making up 50% of corporate performance).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Performance</w:t>
      </w:r>
    </w:p>
    <w:p>
      <w:pPr>
        <w:spacing w:after="0" w:line="9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Payouts under the Annual Executive Plan are based on the achievement level of the two equally weighted, independent financial metrics, currently defined as net revenue and net income. Assuming at least threshold performance levels are met for the Performance Period, the actual payout levels range from 50%-200% of target.</w:t>
      </w:r>
    </w:p>
    <w:p>
      <w:pPr>
        <w:spacing w:after="0" w:line="176"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Net Revenue</w:t>
      </w:r>
    </w:p>
    <w:tbl>
      <w:tblPr>
        <w:tblLayout w:type="fixed"/>
        <w:tblInd w:w="1380" w:type="dxa"/>
        <w:tblCellMar>
          <w:top w:w="0" w:type="dxa"/>
          <w:left w:w="0" w:type="dxa"/>
          <w:bottom w:w="0" w:type="dxa"/>
          <w:right w:w="0" w:type="dxa"/>
        </w:tblCellMar>
      </w:tblPr>
      <w:tr>
        <w:trPr>
          <w:trHeight w:val="142"/>
        </w:trPr>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Performance</w:t>
            </w:r>
          </w:p>
        </w:tc>
        <w:tc>
          <w:tcPr>
            <w:tcW w:w="6620" w:type="dxa"/>
            <w:vAlign w:val="bottom"/>
            <w:tcBorders>
              <w:top w:val="single" w:sz="8" w:color="auto"/>
            </w:tcBorders>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Performance Level*</w:t>
            </w:r>
          </w:p>
        </w:tc>
        <w:tc>
          <w:tcPr>
            <w:tcW w:w="128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Threshold</w:t>
            </w:r>
          </w:p>
        </w:tc>
        <w:tc>
          <w:tcPr>
            <w:tcW w:w="48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840" w:type="dxa"/>
            <w:vAlign w:val="bottom"/>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90%</w:t>
            </w:r>
          </w:p>
        </w:tc>
        <w:tc>
          <w:tcPr>
            <w:tcW w:w="50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Target</w:t>
            </w:r>
          </w:p>
        </w:tc>
        <w:tc>
          <w:tcPr>
            <w:tcW w:w="662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84"/>
              </w:rPr>
              <w:t>Excellence</w:t>
            </w:r>
          </w:p>
        </w:tc>
        <w:tc>
          <w:tcPr>
            <w:tcW w:w="6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3"/>
          </w:tcPr>
          <w:p>
            <w:pPr>
              <w:jc w:val="right"/>
              <w:ind w:right="2840"/>
              <w:spacing w:after="0"/>
              <w:rPr>
                <w:sz w:val="20"/>
                <w:szCs w:val="20"/>
                <w:color w:val="auto"/>
              </w:rPr>
            </w:pPr>
            <w:r>
              <w:rPr>
                <w:rFonts w:ascii="Arial" w:cs="Arial" w:eastAsia="Arial" w:hAnsi="Arial"/>
                <w:sz w:val="14"/>
                <w:szCs w:val="14"/>
                <w:b w:val="1"/>
                <w:bCs w:val="1"/>
                <w:color w:val="auto"/>
              </w:rPr>
              <w:t>Net Income</w:t>
            </w: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86"/>
              </w:rPr>
              <w:t>Performance</w:t>
            </w:r>
          </w:p>
        </w:tc>
        <w:tc>
          <w:tcPr>
            <w:tcW w:w="6620" w:type="dxa"/>
            <w:vAlign w:val="bottom"/>
            <w:gridSpan w:val="3"/>
          </w:tcPr>
          <w:p>
            <w:pPr>
              <w:jc w:val="right"/>
              <w:ind w:right="620"/>
              <w:spacing w:after="0" w:line="143" w:lineRule="exact"/>
              <w:rPr>
                <w:sz w:val="20"/>
                <w:szCs w:val="20"/>
                <w:color w:val="auto"/>
              </w:rPr>
            </w:pPr>
            <w:r>
              <w:rPr>
                <w:rFonts w:ascii="Arial" w:cs="Arial" w:eastAsia="Arial" w:hAnsi="Arial"/>
                <w:sz w:val="14"/>
                <w:szCs w:val="14"/>
                <w:b w:val="1"/>
                <w:bCs w:val="1"/>
                <w:color w:val="auto"/>
              </w:rPr>
              <w:t>Performance Level*</w:t>
            </w:r>
          </w:p>
        </w:tc>
        <w:tc>
          <w:tcPr>
            <w:tcW w:w="1280" w:type="dxa"/>
            <w:vAlign w:val="bottom"/>
            <w:gridSpan w:val="3"/>
          </w:tcPr>
          <w:p>
            <w:pPr>
              <w:jc w:val="right"/>
              <w:ind w:right="220"/>
              <w:spacing w:after="0" w:line="143" w:lineRule="exact"/>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2"/>
              </w:rPr>
              <w:t>Threshold</w:t>
            </w:r>
          </w:p>
        </w:tc>
        <w:tc>
          <w:tcPr>
            <w:tcW w:w="48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840" w:type="dxa"/>
            <w:vAlign w:val="bottom"/>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90%</w:t>
            </w:r>
          </w:p>
        </w:tc>
        <w:tc>
          <w:tcPr>
            <w:tcW w:w="50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Target</w:t>
            </w:r>
          </w:p>
        </w:tc>
        <w:tc>
          <w:tcPr>
            <w:tcW w:w="662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84"/>
              </w:rPr>
              <w:t>Excellence</w:t>
            </w:r>
          </w:p>
        </w:tc>
        <w:tc>
          <w:tcPr>
            <w:tcW w:w="6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Payout levels are determined using linear interpolation for results falling between the three performance levels.</w:t>
      </w:r>
    </w:p>
    <w:p>
      <w:pPr>
        <w:sectPr>
          <w:pgSz w:w="11900" w:h="16838" w:orient="portrait"/>
          <w:cols w:equalWidth="0" w:num="1">
            <w:col w:w="11420"/>
          </w:cols>
          <w:pgMar w:left="240" w:top="125" w:right="239" w:bottom="1440" w:gutter="0" w:footer="0" w:header="0"/>
        </w:sectPr>
      </w:pPr>
    </w:p>
    <w:bookmarkStart w:id="33" w:name="page34"/>
    <w:bookmarkEnd w:id="33"/>
    <w:p>
      <w:pPr>
        <w:ind w:left="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Opportunity</w:t>
      </w:r>
    </w:p>
    <w:p>
      <w:pPr>
        <w:spacing w:after="0" w:line="96" w:lineRule="exact"/>
        <w:rPr>
          <w:sz w:val="20"/>
          <w:szCs w:val="20"/>
          <w:color w:val="auto"/>
        </w:rPr>
      </w:pPr>
    </w:p>
    <w:p>
      <w:pPr>
        <w:ind w:left="6"/>
        <w:spacing w:after="0"/>
        <w:rPr>
          <w:sz w:val="20"/>
          <w:szCs w:val="20"/>
          <w:color w:val="auto"/>
        </w:rPr>
      </w:pPr>
      <w:r>
        <w:rPr>
          <w:rFonts w:ascii="Arial" w:cs="Arial" w:eastAsia="Arial" w:hAnsi="Arial"/>
          <w:sz w:val="16"/>
          <w:szCs w:val="16"/>
          <w:color w:val="auto"/>
        </w:rPr>
        <w:t>As outlined in the Plan Overview (above), the target incentive opportunity is based on a percentage of each Participant’s Base Salary (as defined below).</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actual payout levels range from 50%-200% of target, assuming threshold levels are met.</w:t>
      </w:r>
    </w:p>
    <w:p>
      <w:pPr>
        <w:spacing w:after="0" w:line="201" w:lineRule="exact"/>
        <w:rPr>
          <w:sz w:val="20"/>
          <w:szCs w:val="20"/>
          <w:color w:val="auto"/>
        </w:rPr>
      </w:pPr>
    </w:p>
    <w:tbl>
      <w:tblPr>
        <w:tblLayout w:type="fixed"/>
        <w:tblInd w:w="466"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4"/>
              </w:rPr>
              <w:t>Participant Level</w:t>
            </w:r>
          </w:p>
        </w:tc>
        <w:tc>
          <w:tcPr>
            <w:tcW w:w="4400" w:type="dxa"/>
            <w:vAlign w:val="bottom"/>
            <w:vMerge w:val="restart"/>
          </w:tcPr>
          <w:p>
            <w:pPr>
              <w:spacing w:after="0"/>
              <w:rPr>
                <w:sz w:val="14"/>
                <w:szCs w:val="14"/>
                <w:color w:val="auto"/>
              </w:rPr>
            </w:pPr>
          </w:p>
        </w:tc>
        <w:tc>
          <w:tcPr>
            <w:tcW w:w="41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Incentive Opportunity* (% of Base Salary**)</w:t>
            </w:r>
          </w:p>
        </w:tc>
        <w:tc>
          <w:tcPr>
            <w:tcW w:w="0" w:type="dxa"/>
            <w:vAlign w:val="bottom"/>
          </w:tcPr>
          <w:p>
            <w:pPr>
              <w:spacing w:after="0"/>
              <w:rPr>
                <w:sz w:val="1"/>
                <w:szCs w:val="1"/>
                <w:color w:val="auto"/>
              </w:rPr>
            </w:pPr>
          </w:p>
        </w:tc>
      </w:tr>
      <w:tr>
        <w:trPr>
          <w:trHeight w:val="134"/>
        </w:trPr>
        <w:tc>
          <w:tcPr>
            <w:tcW w:w="1080" w:type="dxa"/>
            <w:vAlign w:val="bottom"/>
            <w:tcBorders>
              <w:bottom w:val="single" w:sz="8" w:color="auto"/>
            </w:tcBorders>
            <w:vMerge w:val="continue"/>
          </w:tcPr>
          <w:p>
            <w:pPr>
              <w:spacing w:after="0"/>
              <w:rPr>
                <w:sz w:val="11"/>
                <w:szCs w:val="11"/>
                <w:color w:val="auto"/>
              </w:rPr>
            </w:pPr>
          </w:p>
        </w:tc>
        <w:tc>
          <w:tcPr>
            <w:tcW w:w="4400" w:type="dxa"/>
            <w:vAlign w:val="bottom"/>
            <w:vMerge w:val="continue"/>
          </w:tcPr>
          <w:p>
            <w:pPr>
              <w:spacing w:after="0"/>
              <w:rPr>
                <w:sz w:val="11"/>
                <w:szCs w:val="11"/>
                <w:color w:val="auto"/>
              </w:rPr>
            </w:pPr>
          </w:p>
        </w:tc>
        <w:tc>
          <w:tcPr>
            <w:tcW w:w="1680" w:type="dxa"/>
            <w:vAlign w:val="bottom"/>
            <w:tcBorders>
              <w:top w:val="single" w:sz="8" w:color="auto"/>
            </w:tcBorders>
            <w:gridSpan w:val="2"/>
          </w:tcPr>
          <w:p>
            <w:pPr>
              <w:jc w:val="right"/>
              <w:ind w:right="1000"/>
              <w:spacing w:after="0" w:line="129" w:lineRule="exact"/>
              <w:rPr>
                <w:sz w:val="20"/>
                <w:szCs w:val="20"/>
                <w:color w:val="auto"/>
              </w:rPr>
            </w:pPr>
            <w:r>
              <w:rPr>
                <w:rFonts w:ascii="Arial" w:cs="Arial" w:eastAsia="Arial" w:hAnsi="Arial"/>
                <w:sz w:val="14"/>
                <w:szCs w:val="14"/>
                <w:b w:val="1"/>
                <w:bCs w:val="1"/>
                <w:color w:val="auto"/>
                <w:w w:val="97"/>
              </w:rPr>
              <w:t>Threshold</w:t>
            </w:r>
          </w:p>
        </w:tc>
        <w:tc>
          <w:tcPr>
            <w:tcW w:w="1400" w:type="dxa"/>
            <w:vAlign w:val="bottom"/>
            <w:tcBorders>
              <w:top w:val="single" w:sz="8" w:color="auto"/>
            </w:tcBorders>
            <w:gridSpan w:val="2"/>
          </w:tcPr>
          <w:p>
            <w:pPr>
              <w:jc w:val="right"/>
              <w:ind w:right="980"/>
              <w:spacing w:after="0" w:line="129" w:lineRule="exact"/>
              <w:rPr>
                <w:sz w:val="20"/>
                <w:szCs w:val="20"/>
                <w:color w:val="auto"/>
              </w:rPr>
            </w:pPr>
            <w:r>
              <w:rPr>
                <w:rFonts w:ascii="Arial" w:cs="Arial" w:eastAsia="Arial" w:hAnsi="Arial"/>
                <w:sz w:val="14"/>
                <w:szCs w:val="14"/>
                <w:b w:val="1"/>
                <w:bCs w:val="1"/>
                <w:color w:val="auto"/>
                <w:w w:val="93"/>
              </w:rPr>
              <w:t>Target</w:t>
            </w:r>
          </w:p>
        </w:tc>
        <w:tc>
          <w:tcPr>
            <w:tcW w:w="82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96"/>
              </w:rPr>
              <w:t>Excellence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CEO</w:t>
            </w:r>
          </w:p>
        </w:tc>
        <w:tc>
          <w:tcPr>
            <w:tcW w:w="76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gridSpan w:val="2"/>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30%</w:t>
            </w:r>
          </w:p>
        </w:tc>
        <w:tc>
          <w:tcPr>
            <w:tcW w:w="140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60%</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Functional Mgmt. 6 (EVPs)</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446" w:hanging="446"/>
        <w:spacing w:after="0" w:line="259"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actual annual incentive that can be earned under this Annual Executive Plan is based on the level of performance achieved (as summarized in the table above) and can range from 0% of the “Target” (for performance levels below the “Threshold” level) to a maximum of 200% of the “Target” (for performance levels at or above the “Excellence” level).</w:t>
      </w:r>
    </w:p>
    <w:p>
      <w:pPr>
        <w:spacing w:after="0" w:line="59" w:lineRule="exact"/>
        <w:rPr>
          <w:sz w:val="20"/>
          <w:szCs w:val="20"/>
          <w:color w:val="auto"/>
        </w:rPr>
      </w:pPr>
    </w:p>
    <w:p>
      <w:pPr>
        <w:ind w:left="446" w:right="540" w:hanging="446"/>
        <w:spacing w:after="0" w:line="268"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Putting It All Together — An Example</w:t>
      </w:r>
    </w:p>
    <w:p>
      <w:pPr>
        <w:spacing w:after="0" w:line="96" w:lineRule="exact"/>
        <w:rPr>
          <w:sz w:val="20"/>
          <w:szCs w:val="20"/>
          <w:color w:val="auto"/>
        </w:rPr>
      </w:pPr>
    </w:p>
    <w:p>
      <w:pPr>
        <w:ind w:left="6"/>
        <w:spacing w:after="0"/>
        <w:rPr>
          <w:sz w:val="20"/>
          <w:szCs w:val="20"/>
          <w:color w:val="auto"/>
        </w:rPr>
      </w:pPr>
      <w:r>
        <w:rPr>
          <w:rFonts w:ascii="Arial" w:cs="Arial" w:eastAsia="Arial" w:hAnsi="Arial"/>
          <w:sz w:val="16"/>
          <w:szCs w:val="16"/>
          <w:color w:val="auto"/>
        </w:rPr>
        <w:t>Assume Lynn has a Functional Management Level 6 job with a Base Salary of $100,000. Her target incentive is 50% of Base Salary ($50,000).</w:t>
      </w:r>
    </w:p>
    <w:p>
      <w:pPr>
        <w:spacing w:after="0" w:line="26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Target — </w:t>
      </w:r>
      <w:r>
        <w:rPr>
          <w:rFonts w:ascii="Arial" w:cs="Arial" w:eastAsia="Arial" w:hAnsi="Arial"/>
          <w:sz w:val="18"/>
          <w:szCs w:val="18"/>
          <w:color w:val="auto"/>
        </w:rPr>
        <w:t>The performance weightings for Lynn's grade along with dollar target amounts are:</w:t>
      </w:r>
    </w:p>
    <w:p>
      <w:pPr>
        <w:spacing w:after="0" w:line="96" w:lineRule="exact"/>
        <w:rPr>
          <w:sz w:val="20"/>
          <w:szCs w:val="20"/>
          <w:color w:val="auto"/>
        </w:rPr>
      </w:pPr>
    </w:p>
    <w:p>
      <w:pPr>
        <w:ind w:left="446" w:hanging="325"/>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Revenue: 50% ($25,000)</w:t>
      </w:r>
    </w:p>
    <w:p>
      <w:pPr>
        <w:spacing w:after="0" w:line="90" w:lineRule="exact"/>
        <w:rPr>
          <w:rFonts w:ascii="Arial" w:cs="Arial" w:eastAsia="Arial" w:hAnsi="Arial"/>
          <w:sz w:val="18"/>
          <w:szCs w:val="18"/>
          <w:color w:val="auto"/>
        </w:rPr>
      </w:pPr>
    </w:p>
    <w:p>
      <w:pPr>
        <w:ind w:left="446" w:hanging="325"/>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Income: 50% ($25,000)</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Actual — </w:t>
      </w:r>
      <w:r>
        <w:rPr>
          <w:rFonts w:ascii="Arial" w:cs="Arial" w:eastAsia="Arial" w:hAnsi="Arial"/>
          <w:sz w:val="18"/>
          <w:szCs w:val="18"/>
          <w:color w:val="auto"/>
        </w:rPr>
        <w:t>The actual performance levels were:</w:t>
      </w:r>
    </w:p>
    <w:p>
      <w:pPr>
        <w:spacing w:after="0" w:line="96" w:lineRule="exact"/>
        <w:rPr>
          <w:sz w:val="20"/>
          <w:szCs w:val="20"/>
          <w:color w:val="auto"/>
        </w:rPr>
      </w:pPr>
    </w:p>
    <w:p>
      <w:pPr>
        <w:ind w:left="126"/>
        <w:spacing w:after="0"/>
        <w:tabs>
          <w:tab w:leader="none" w:pos="426" w:val="left"/>
        </w:tabs>
        <w:rPr>
          <w:sz w:val="20"/>
          <w:szCs w:val="20"/>
          <w:color w:val="auto"/>
        </w:rPr>
      </w:pPr>
      <w:r>
        <w:rPr>
          <w:rFonts w:ascii="Arial" w:cs="Arial" w:eastAsia="Arial" w:hAnsi="Arial"/>
          <w:sz w:val="18"/>
          <w:szCs w:val="18"/>
          <w:color w:val="auto"/>
        </w:rPr>
        <w:t>•</w:t>
        <w:tab/>
        <w:t>Net Revenue: at “Excellence” or 200% ($50,000)</w:t>
      </w:r>
    </w:p>
    <w:p>
      <w:pPr>
        <w:spacing w:after="0" w:line="90" w:lineRule="exact"/>
        <w:rPr>
          <w:sz w:val="20"/>
          <w:szCs w:val="20"/>
          <w:color w:val="auto"/>
        </w:rPr>
      </w:pPr>
    </w:p>
    <w:p>
      <w:pPr>
        <w:ind w:left="126"/>
        <w:spacing w:after="0"/>
        <w:tabs>
          <w:tab w:leader="none" w:pos="426" w:val="left"/>
        </w:tabs>
        <w:rPr>
          <w:sz w:val="20"/>
          <w:szCs w:val="20"/>
          <w:color w:val="auto"/>
        </w:rPr>
      </w:pPr>
      <w:r>
        <w:rPr>
          <w:rFonts w:ascii="Arial" w:cs="Arial" w:eastAsia="Arial" w:hAnsi="Arial"/>
          <w:sz w:val="18"/>
          <w:szCs w:val="18"/>
          <w:color w:val="auto"/>
        </w:rPr>
        <w:t>•</w:t>
        <w:tab/>
        <w:t>Net Income: at “Target” or 100% ($25,000)</w:t>
      </w:r>
    </w:p>
    <w:p>
      <w:pPr>
        <w:spacing w:after="0" w:line="207"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Performance Measure</w:t>
            </w:r>
          </w:p>
        </w:tc>
        <w:tc>
          <w:tcPr>
            <w:tcW w:w="49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Opportunity</w:t>
            </w: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2"/>
              </w:rPr>
              <w:t>Weighting</w:t>
            </w: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Result</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Award</w:t>
            </w:r>
          </w:p>
        </w:tc>
        <w:tc>
          <w:tcPr>
            <w:tcW w:w="0" w:type="dxa"/>
            <w:vAlign w:val="bottom"/>
          </w:tcPr>
          <w:p>
            <w:pPr>
              <w:spacing w:after="0"/>
              <w:rPr>
                <w:sz w:val="1"/>
                <w:szCs w:val="1"/>
                <w:color w:val="auto"/>
              </w:rPr>
            </w:pPr>
          </w:p>
        </w:tc>
      </w:tr>
      <w:tr>
        <w:trPr>
          <w:trHeight w:val="20"/>
        </w:trPr>
        <w:tc>
          <w:tcPr>
            <w:tcW w:w="1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Revenue</w:t>
            </w:r>
          </w:p>
        </w:tc>
        <w:tc>
          <w:tcPr>
            <w:tcW w:w="49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vMerge w:val="continue"/>
            <w:shd w:val="clear" w:color="auto" w:fill="CCEEFF"/>
          </w:tcPr>
          <w:p>
            <w:pPr>
              <w:spacing w:after="0"/>
              <w:rPr>
                <w:sz w:val="17"/>
                <w:szCs w:val="17"/>
                <w:color w:val="auto"/>
              </w:rPr>
            </w:pPr>
          </w:p>
        </w:tc>
        <w:tc>
          <w:tcPr>
            <w:tcW w:w="49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50,000</w:t>
            </w:r>
          </w:p>
        </w:tc>
        <w:tc>
          <w:tcPr>
            <w:tcW w:w="5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50%</w:t>
            </w:r>
          </w:p>
        </w:tc>
        <w:tc>
          <w:tcPr>
            <w:tcW w:w="10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200%</w:t>
            </w: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Net Income</w:t>
            </w:r>
          </w:p>
        </w:tc>
        <w:tc>
          <w:tcPr>
            <w:tcW w:w="5140" w:type="dxa"/>
            <w:vAlign w:val="bottom"/>
            <w:gridSpan w:val="2"/>
          </w:tcPr>
          <w:p>
            <w:pPr>
              <w:ind w:left="49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50,000</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380" w:type="dxa"/>
            <w:vAlign w:val="bottom"/>
          </w:tcPr>
          <w:p>
            <w:pPr>
              <w:spacing w:after="0"/>
              <w:rPr>
                <w:sz w:val="24"/>
                <w:szCs w:val="24"/>
                <w:color w:val="auto"/>
              </w:rPr>
            </w:pPr>
          </w:p>
        </w:tc>
        <w:tc>
          <w:tcPr>
            <w:tcW w:w="4980" w:type="dxa"/>
            <w:vAlign w:val="bottom"/>
          </w:tcPr>
          <w:p>
            <w:pPr>
              <w:jc w:val="right"/>
              <w:ind w:right="9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6"/>
          </w:cols>
          <w:pgMar w:left="694" w:top="274"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Guidelines — Provide additional information regarding how the Annual Executive Plan will be administered.</w:t>
      </w:r>
    </w:p>
    <w:p>
      <w:pPr>
        <w:spacing w:after="0" w:line="96" w:lineRule="exact"/>
        <w:rPr>
          <w:sz w:val="20"/>
          <w:szCs w:val="20"/>
          <w:color w:val="auto"/>
        </w:rPr>
      </w:pPr>
    </w:p>
    <w:p>
      <w:pPr>
        <w:ind w:right="140" w:firstLine="8"/>
        <w:spacing w:after="0" w:line="306" w:lineRule="auto"/>
        <w:tabs>
          <w:tab w:leader="none" w:pos="176" w:val="left"/>
        </w:tabs>
        <w:numPr>
          <w:ilvl w:val="0"/>
          <w:numId w:val="46"/>
        </w:numPr>
        <w:rPr>
          <w:rFonts w:ascii="Arial" w:cs="Arial" w:eastAsia="Arial" w:hAnsi="Arial"/>
          <w:sz w:val="16"/>
          <w:szCs w:val="16"/>
          <w:color w:val="auto"/>
        </w:rPr>
      </w:pPr>
      <w:r>
        <w:rPr>
          <w:rFonts w:ascii="Arial" w:cs="Arial" w:eastAsia="Arial" w:hAnsi="Arial"/>
          <w:sz w:val="16"/>
          <w:szCs w:val="16"/>
          <w:color w:val="auto"/>
        </w:rPr>
        <w:t>Awards granted under the Annual Executive Plan are intended to qualify as performance-based compensation under section 162(m) of the Internal Revenue Code of 1986, as amended (“Code”). Annual incentive payments will become earned (i.e., vested) only if the Company achieves stated levels of “Net Revenue” and “Net Income” (as defined below) over the Performance Period as set forth in the Annual Executive Plan.</w:t>
      </w:r>
    </w:p>
    <w:p>
      <w:pPr>
        <w:spacing w:after="0" w:line="25" w:lineRule="exact"/>
        <w:rPr>
          <w:rFonts w:ascii="Arial" w:cs="Arial" w:eastAsia="Arial" w:hAnsi="Arial"/>
          <w:sz w:val="16"/>
          <w:szCs w:val="16"/>
          <w:color w:val="auto"/>
        </w:rPr>
      </w:pPr>
    </w:p>
    <w:p>
      <w:pPr>
        <w:jc w:val="both"/>
        <w:ind w:left="460" w:right="200" w:firstLine="4"/>
        <w:spacing w:after="0" w:line="306" w:lineRule="auto"/>
        <w:tabs>
          <w:tab w:leader="none" w:pos="626"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Certification of Results</w:t>
      </w:r>
      <w:r>
        <w:rPr>
          <w:rFonts w:ascii="Arial" w:cs="Arial" w:eastAsia="Arial" w:hAnsi="Arial"/>
          <w:sz w:val="16"/>
          <w:szCs w:val="16"/>
          <w:color w:val="auto"/>
        </w:rPr>
        <w:t>. Before any Awards under the Annual Executive Plan are deemed earned with respect to a Performance Period,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shall certify, in accordance with Section 9.5 of the 2010 Plan, in writing (i) that the performance goals described in the Annual Executive Plan have been met for the Performance Period, and (ii) the calculation of “Net Income” and “Net Revenue” for the Performance Period.</w:t>
      </w:r>
    </w:p>
    <w:p>
      <w:pPr>
        <w:spacing w:after="0" w:line="25" w:lineRule="exact"/>
        <w:rPr>
          <w:rFonts w:ascii="Arial" w:cs="Arial" w:eastAsia="Arial" w:hAnsi="Arial"/>
          <w:sz w:val="16"/>
          <w:szCs w:val="16"/>
          <w:color w:val="auto"/>
        </w:rPr>
      </w:pPr>
    </w:p>
    <w:p>
      <w:pPr>
        <w:ind w:left="460" w:right="20" w:firstLine="4"/>
        <w:spacing w:after="0" w:line="291" w:lineRule="auto"/>
        <w:tabs>
          <w:tab w:leader="none" w:pos="636"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Definition of “Net Income</w:t>
      </w:r>
      <w:r>
        <w:rPr>
          <w:rFonts w:ascii="Arial" w:cs="Arial" w:eastAsia="Arial" w:hAnsi="Arial"/>
          <w:sz w:val="16"/>
          <w:szCs w:val="16"/>
          <w:color w:val="auto"/>
        </w:rPr>
        <w:t>“ For purposes of this Annual Executive Plan, the term “Net Income” means, with respect to the Performance Period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Awards, the Company’s consolidated net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39" w:lineRule="exact"/>
        <w:rPr>
          <w:rFonts w:ascii="Arial" w:cs="Arial" w:eastAsia="Arial" w:hAnsi="Arial"/>
          <w:sz w:val="16"/>
          <w:szCs w:val="16"/>
          <w:color w:val="auto"/>
        </w:rPr>
      </w:pPr>
    </w:p>
    <w:p>
      <w:pPr>
        <w:ind w:left="460" w:right="60" w:firstLine="4"/>
        <w:spacing w:after="0" w:line="332" w:lineRule="auto"/>
        <w:tabs>
          <w:tab w:leader="none" w:pos="626"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Definition of “Net Revenue</w:t>
      </w:r>
      <w:r>
        <w:rPr>
          <w:rFonts w:ascii="Arial" w:cs="Arial" w:eastAsia="Arial" w:hAnsi="Arial"/>
          <w:sz w:val="16"/>
          <w:szCs w:val="16"/>
          <w:color w:val="auto"/>
        </w:rPr>
        <w:t>” For purposes of this Annual Executive Plan, the term “Net Revenue” means, with respect to the Performance Period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any Awards, the Company’s positive consolidated net revenue, as determined in accordance with U.S. GAAP.</w:t>
      </w:r>
    </w:p>
    <w:p>
      <w:pPr>
        <w:spacing w:after="0" w:line="4" w:lineRule="exact"/>
        <w:rPr>
          <w:rFonts w:ascii="Arial" w:cs="Arial" w:eastAsia="Arial" w:hAnsi="Arial"/>
          <w:sz w:val="16"/>
          <w:szCs w:val="16"/>
          <w:color w:val="auto"/>
        </w:rPr>
      </w:pPr>
    </w:p>
    <w:p>
      <w:pPr>
        <w:ind w:left="460" w:firstLine="4"/>
        <w:spacing w:after="0" w:line="290" w:lineRule="auto"/>
        <w:tabs>
          <w:tab w:leader="none" w:pos="636"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Finality of Committee Determinations</w:t>
      </w:r>
      <w:r>
        <w:rPr>
          <w:rFonts w:ascii="Arial" w:cs="Arial" w:eastAsia="Arial" w:hAnsi="Arial"/>
          <w:sz w:val="16"/>
          <w:szCs w:val="16"/>
          <w:color w:val="auto"/>
        </w:rPr>
        <w:t>. Any determination by the Committee of Net Income, Net Revenue and the level and entitlement to an Award,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interpretation, rule, or decision adopted by the Committee under the Annual Executive Plan or in carrying out or administering the Annual Executive Plan, is final and binding for all purposes and upon all interested persons, their heirs, and personal representatives. The Committee may rely conclusively on determinations made by the Company and its auditors to determine Net Income, Net Revenue and related information for purposes of administration of the Annual Executive Plan, whether such information is determined by the Company, its auditors, or a third-party vendor engaged to provide such information to the Company. This provision is not intended to limit the Committee’s power, to the extent it deems proper in its sole discretion, to take any action permitted under the Plan and Code Section 162(m)</w:t>
      </w:r>
    </w:p>
    <w:p>
      <w:pPr>
        <w:spacing w:after="0" w:line="37" w:lineRule="exact"/>
        <w:rPr>
          <w:rFonts w:ascii="Arial" w:cs="Arial" w:eastAsia="Arial" w:hAnsi="Arial"/>
          <w:sz w:val="16"/>
          <w:szCs w:val="16"/>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those regular, full-time and part-time corporate employees selected by the Compensation Committee and set forth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eligible to participate in this Annual Executive Plan.</w:t>
      </w:r>
    </w:p>
    <w:p>
      <w:pPr>
        <w:spacing w:after="0" w:line="165" w:lineRule="exact"/>
        <w:rPr>
          <w:sz w:val="20"/>
          <w:szCs w:val="20"/>
          <w:color w:val="auto"/>
        </w:rPr>
      </w:pPr>
    </w:p>
    <w:p>
      <w:pPr>
        <w:ind w:right="200" w:firstLine="8"/>
        <w:spacing w:after="0" w:line="26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Participation in the Annual Executive Plan neither gives any employee the right to be retained as an employee nor limits the Company’s right to discharge or discipline any employee.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5" w:name="page36"/>
    <w:bookmarkEnd w:id="35"/>
    <w:p>
      <w:pPr>
        <w:ind w:firstLine="8"/>
        <w:spacing w:after="0" w:line="294" w:lineRule="auto"/>
        <w:tabs>
          <w:tab w:leader="none" w:pos="176"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provided herein, (a) no Participant will be entitled to an incentive payment under the Annual Executive Plan unless the Participant is employed by the Company or an Affiliate in an eligible position on the day the incentive payment is made, and (b) a Participant who separates from the Service for any reason prior to the date of payment of such incentive will not be entitled to a prorated award, unless otherwise required by applicable state law.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34" w:lineRule="exact"/>
        <w:rPr>
          <w:rFonts w:ascii="Arial" w:cs="Arial" w:eastAsia="Arial" w:hAnsi="Arial"/>
          <w:sz w:val="16"/>
          <w:szCs w:val="16"/>
          <w:color w:val="auto"/>
        </w:rPr>
      </w:pPr>
    </w:p>
    <w:p>
      <w:pPr>
        <w:ind w:left="460" w:firstLine="4"/>
        <w:spacing w:after="0" w:line="255" w:lineRule="auto"/>
        <w:tabs>
          <w:tab w:leader="none" w:pos="67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In the event a Participant’s Service terminates as a result of death or Disability prior to the date on which the incentive payment is made, the outstanding Award shall be treated as earned at the target level (if such Service terminated prior to the end of the Performance Period), or at the actual level (if such Service terminated after the Performance Period and prior to the payment date), but prorated based on the number of full fiscal months (in which the Participant provided Service throughout such month) during the Performance Period, with any such earned Awards becoming fully vested and paid out as provided in section 8, below.</w:t>
      </w:r>
    </w:p>
    <w:p>
      <w:pPr>
        <w:spacing w:after="0" w:line="61" w:lineRule="exact"/>
        <w:rPr>
          <w:rFonts w:ascii="Arial" w:cs="Arial" w:eastAsia="Arial" w:hAnsi="Arial"/>
          <w:sz w:val="18"/>
          <w:szCs w:val="18"/>
          <w:color w:val="auto"/>
        </w:rPr>
      </w:pPr>
    </w:p>
    <w:p>
      <w:pPr>
        <w:ind w:left="460" w:right="40" w:firstLine="4"/>
        <w:spacing w:after="0" w:line="256" w:lineRule="auto"/>
        <w:tabs>
          <w:tab w:leader="none" w:pos="71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In the event a Participant’s Service with the Company terminates as a result of Retirement during the Performance Period, the outstanding Award shall be earned based on the actual performance level obtained (determined at the end of the Performance Period), but prorated based on the number of full fiscal months (in which the Participant provided Service throughout such month) during the Performance Period, with any such earned Awards becoming fully vested and paid out as provided in section 8, below.</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the event a Participant’s Service terminates prior to the date of payment as a result of any reason other than death, Disability, or Retirement, all unearned incentive compensation granted hereunder shall be forfeited to the Company.</w:t>
      </w:r>
    </w:p>
    <w:p>
      <w:pPr>
        <w:spacing w:after="0" w:line="132" w:lineRule="exact"/>
        <w:rPr>
          <w:sz w:val="20"/>
          <w:szCs w:val="20"/>
          <w:color w:val="auto"/>
        </w:rPr>
      </w:pPr>
    </w:p>
    <w:p>
      <w:pPr>
        <w:ind w:right="40" w:firstLine="8"/>
        <w:spacing w:after="0" w:line="287" w:lineRule="auto"/>
        <w:tabs>
          <w:tab w:leader="none" w:pos="1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Annual Executive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 Awards becoming fully vested and paid out on a as soon as practicable (but not later that 30 calendar days) following the Change in Control. For purposes of this Annual Executive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Jill Nichols,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6" w:name="page37"/>
    <w:bookmarkEnd w:id="36"/>
    <w:p>
      <w:pPr>
        <w:ind w:right="2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47" w:lineRule="exact"/>
        <w:rPr>
          <w:sz w:val="20"/>
          <w:szCs w:val="20"/>
          <w:color w:val="auto"/>
        </w:rPr>
      </w:pPr>
    </w:p>
    <w:p>
      <w:pPr>
        <w:ind w:right="62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the discretion of the Compensation Committee of the Board, Participants will be ineligible to participate in the Annual Executive Plan while employed in any new-hire probationary period.</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90.1% to 90.49% = 90%; 90.5% to 90.9% = 91%).</w:t>
      </w:r>
    </w:p>
    <w:p>
      <w:pPr>
        <w:spacing w:after="0" w:line="171" w:lineRule="exact"/>
        <w:rPr>
          <w:rFonts w:ascii="Arial" w:cs="Arial" w:eastAsia="Arial" w:hAnsi="Arial"/>
          <w:sz w:val="18"/>
          <w:szCs w:val="18"/>
          <w:color w:val="auto"/>
        </w:rPr>
      </w:pPr>
    </w:p>
    <w:p>
      <w:pPr>
        <w:ind w:right="60" w:firstLine="8"/>
        <w:spacing w:after="0" w:line="259"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the certification requirements of the Compensation Committee (above), payments under the Annual Executive Plan will be paid in cash after the end of the Company’s fiscal tax year but no later than the 15th day of the third month following the Company’s fiscal tax year on which the annual incentives under this Annual Executive Plan are based.</w:t>
      </w:r>
    </w:p>
    <w:p>
      <w:pPr>
        <w:spacing w:after="0" w:line="140" w:lineRule="exact"/>
        <w:rPr>
          <w:rFonts w:ascii="Arial" w:cs="Arial" w:eastAsia="Arial" w:hAnsi="Arial"/>
          <w:sz w:val="18"/>
          <w:szCs w:val="18"/>
          <w:color w:val="auto"/>
        </w:rPr>
      </w:pPr>
    </w:p>
    <w:p>
      <w:pPr>
        <w:ind w:right="82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131" w:lineRule="exact"/>
        <w:rPr>
          <w:rFonts w:ascii="Arial" w:cs="Arial" w:eastAsia="Arial" w:hAnsi="Arial"/>
          <w:sz w:val="18"/>
          <w:szCs w:val="18"/>
          <w:color w:val="auto"/>
        </w:rPr>
      </w:pPr>
    </w:p>
    <w:p>
      <w:pPr>
        <w:ind w:right="740" w:firstLine="8"/>
        <w:spacing w:after="0" w:line="268"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Record keeping and computation required by this Annual Executive Plan will be subject to review by third-party auditors, and by the Compensation Committee.</w:t>
      </w:r>
    </w:p>
    <w:p>
      <w:pPr>
        <w:spacing w:after="0" w:line="131" w:lineRule="exact"/>
        <w:rPr>
          <w:rFonts w:ascii="Arial" w:cs="Arial" w:eastAsia="Arial" w:hAnsi="Arial"/>
          <w:sz w:val="18"/>
          <w:szCs w:val="18"/>
          <w:color w:val="auto"/>
        </w:rPr>
      </w:pPr>
    </w:p>
    <w:p>
      <w:pPr>
        <w:ind w:firstLine="8"/>
        <w:spacing w:after="0" w:line="294" w:lineRule="auto"/>
        <w:tabs>
          <w:tab w:leader="none" w:pos="257"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Interpretations, determinations, and actions regarding plan administration shall be made by the Compensation Committee. Any such determinations and any interpretation, rule, or decision under the Annual Executive Plan or in carrying out or administering the Annual Executive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Executive Plan, whether such information is determined by the Company, its auditors, or a third-party vendor engaged to provide such information to the Company.</w:t>
      </w:r>
    </w:p>
    <w:p>
      <w:pPr>
        <w:spacing w:after="0" w:line="115" w:lineRule="exact"/>
        <w:rPr>
          <w:rFonts w:ascii="Arial" w:cs="Arial" w:eastAsia="Arial" w:hAnsi="Arial"/>
          <w:sz w:val="16"/>
          <w:szCs w:val="16"/>
          <w:color w:val="auto"/>
        </w:rPr>
      </w:pPr>
    </w:p>
    <w:p>
      <w:pPr>
        <w:ind w:firstLine="8"/>
        <w:spacing w:after="0" w:line="268"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Executive Plan as stated herein, the Company reserves the right to amend or discontinue the plan at any time in its sole discretion.</w:t>
      </w:r>
    </w:p>
    <w:p>
      <w:pPr>
        <w:spacing w:after="0" w:line="131" w:lineRule="exact"/>
        <w:rPr>
          <w:rFonts w:ascii="Arial" w:cs="Arial" w:eastAsia="Arial" w:hAnsi="Arial"/>
          <w:sz w:val="18"/>
          <w:szCs w:val="18"/>
          <w:color w:val="auto"/>
        </w:rPr>
      </w:pPr>
    </w:p>
    <w:p>
      <w:pPr>
        <w:ind w:right="20" w:firstLine="8"/>
        <w:spacing w:after="0" w:line="268"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7" w:name="page38"/>
    <w:bookmarkEnd w:id="37"/>
    <w:p>
      <w:pPr>
        <w:ind w:left="-8" w:firstLine="8"/>
        <w:spacing w:after="0" w:line="332"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rights granted under this document are in all respects subject to the provisions of the 2010 Plan to the same extent and with the same effect as if they were set forth fully therein. If the terms of this document or the Award conflict with the terms of the 2010 Plan, the 2010 Plan will control.</w:t>
      </w: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Employees Eligible for FY13 Annual Executive Plan</w:t>
      </w:r>
    </w:p>
    <w:p>
      <w:pPr>
        <w:spacing w:after="0" w:line="96" w:lineRule="exact"/>
        <w:rPr>
          <w:sz w:val="20"/>
          <w:szCs w:val="20"/>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Mike Ray</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Barbara Baekgaard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Patricia Miller</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Charles Mann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Kimberly Colby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Jill Nichols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Matthew Wojewuczki</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Jeffrey Blade</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TIME-BASED AWARD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XX]</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 Award Agreement—Grant of </w:t>
      </w:r>
      <w:r>
        <w:rPr>
          <w:rFonts w:ascii="Arial" w:cs="Arial" w:eastAsia="Arial" w:hAnsi="Arial"/>
          <w:sz w:val="18"/>
          <w:szCs w:val="18"/>
          <w:b w:val="1"/>
          <w:bCs w:val="1"/>
          <w:i w:val="1"/>
          <w:iCs w:val="1"/>
          <w:u w:val="single" w:color="auto"/>
          <w:color w:val="auto"/>
        </w:rPr>
        <w:t>Time-Based</w:t>
      </w:r>
      <w:r>
        <w:rPr>
          <w:rFonts w:ascii="Arial" w:cs="Arial" w:eastAsia="Arial" w:hAnsi="Arial"/>
          <w:sz w:val="18"/>
          <w:szCs w:val="18"/>
          <w:b w:val="1"/>
          <w:bCs w:val="1"/>
          <w:i w:val="1"/>
          <w:iCs w:val="1"/>
          <w:color w:val="auto"/>
        </w:rPr>
        <w:t xml:space="preserve"> Restricted Stock Units</w:t>
      </w:r>
    </w:p>
    <w:p>
      <w:pPr>
        <w:spacing w:after="0" w:line="17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Dear</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240"/>
        <w:spacing w:after="0" w:line="303" w:lineRule="auto"/>
        <w:rPr>
          <w:sz w:val="20"/>
          <w:szCs w:val="20"/>
          <w:color w:val="auto"/>
        </w:rPr>
      </w:pPr>
      <w:r>
        <w:rPr>
          <w:rFonts w:ascii="Arial" w:cs="Arial" w:eastAsia="Arial" w:hAnsi="Arial"/>
          <w:sz w:val="15"/>
          <w:szCs w:val="15"/>
          <w:color w:val="auto"/>
        </w:rPr>
        <w:t xml:space="preserve">Congratulations! In recognition of your continued dedication to Vera Bradley, we are pleased to award you with a discretionary grant of time-based Restricted Stock Units (“Award”). This letter constitutes an Award Agreement between you and Vera Bradley regarding the terms and conditions of the grant. In order for the Award referenced in this Award Agreement to become effective, </w:t>
      </w:r>
      <w:r>
        <w:rPr>
          <w:rFonts w:ascii="Arial" w:cs="Arial" w:eastAsia="Arial" w:hAnsi="Arial"/>
          <w:sz w:val="15"/>
          <w:szCs w:val="15"/>
          <w:b w:val="1"/>
          <w:bCs w:val="1"/>
          <w:color w:val="auto"/>
        </w:rPr>
        <w:t>you must sign and date this form and return a signed copy to Julie North by no later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20"/>
                <w:szCs w:val="20"/>
                <w:color w:val="auto"/>
              </w:rPr>
            </w:pPr>
            <w:r>
              <w:rPr>
                <w:rFonts w:ascii="Arial" w:cs="Arial" w:eastAsia="Arial" w:hAnsi="Arial"/>
                <w:sz w:val="18"/>
                <w:szCs w:val="18"/>
                <w:b w:val="1"/>
                <w:bCs w:val="1"/>
                <w:color w:val="auto"/>
              </w:rPr>
              <w:t>than</w:t>
            </w:r>
          </w:p>
        </w:tc>
        <w:tc>
          <w:tcPr>
            <w:tcW w:w="1440" w:type="dxa"/>
            <w:vAlign w:val="bottom"/>
          </w:tcPr>
          <w:p>
            <w:pPr>
              <w:ind w:left="120"/>
              <w:spacing w:after="0"/>
              <w:rPr>
                <w:sz w:val="20"/>
                <w:szCs w:val="20"/>
                <w:color w:val="auto"/>
              </w:rPr>
            </w:pPr>
            <w:r>
              <w:rPr>
                <w:rFonts w:ascii="Arial" w:cs="Arial" w:eastAsia="Arial" w:hAnsi="Arial"/>
                <w:sz w:val="18"/>
                <w:szCs w:val="18"/>
                <w:b w:val="1"/>
                <w:bCs w:val="1"/>
                <w:color w:val="auto"/>
              </w:rPr>
              <w:t>. [Insert]</w:t>
            </w:r>
          </w:p>
        </w:tc>
        <w:tc>
          <w:tcPr>
            <w:tcW w:w="2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66"/>
        </w:trPr>
        <w:tc>
          <w:tcPr>
            <w:tcW w:w="11020" w:type="dxa"/>
            <w:vAlign w:val="bottom"/>
            <w:gridSpan w:val="5"/>
          </w:tcPr>
          <w:p>
            <w:pPr>
              <w:spacing w:after="0"/>
              <w:rPr>
                <w:sz w:val="20"/>
                <w:szCs w:val="20"/>
                <w:color w:val="auto"/>
              </w:rPr>
            </w:pPr>
            <w:r>
              <w:rPr>
                <w:rFonts w:ascii="Arial" w:cs="Arial" w:eastAsia="Arial" w:hAnsi="Arial"/>
                <w:sz w:val="18"/>
                <w:szCs w:val="18"/>
                <w:color w:val="auto"/>
              </w:rPr>
              <w:t>While complete details of this grant are defined in the enclosed documents, a high-level summary of this Award is as follows:</w:t>
            </w:r>
          </w:p>
        </w:tc>
      </w:tr>
      <w:tr>
        <w:trPr>
          <w:trHeight w:val="520"/>
        </w:trPr>
        <w:tc>
          <w:tcPr>
            <w:tcW w:w="1160" w:type="dxa"/>
            <w:vAlign w:val="bottom"/>
          </w:tcPr>
          <w:p>
            <w:pPr>
              <w:spacing w:after="0"/>
              <w:rPr>
                <w:sz w:val="20"/>
                <w:szCs w:val="20"/>
                <w:color w:val="auto"/>
              </w:rPr>
            </w:pPr>
            <w:r>
              <w:rPr>
                <w:rFonts w:ascii="Arial" w:cs="Arial" w:eastAsia="Arial" w:hAnsi="Arial"/>
                <w:sz w:val="18"/>
                <w:szCs w:val="18"/>
                <w:b w:val="1"/>
                <w:bCs w:val="1"/>
                <w:color w:val="auto"/>
                <w:w w:val="97"/>
              </w:rPr>
              <w:t>Type of Grant</w:t>
            </w:r>
          </w:p>
        </w:tc>
        <w:tc>
          <w:tcPr>
            <w:tcW w:w="1440" w:type="dxa"/>
            <w:vAlign w:val="bottom"/>
          </w:tcPr>
          <w:p>
            <w:pPr>
              <w:spacing w:after="0"/>
              <w:rPr>
                <w:sz w:val="24"/>
                <w:szCs w:val="24"/>
                <w:color w:val="auto"/>
              </w:rPr>
            </w:pPr>
          </w:p>
        </w:tc>
        <w:tc>
          <w:tcPr>
            <w:tcW w:w="8420" w:type="dxa"/>
            <w:vAlign w:val="bottom"/>
            <w:gridSpan w:val="3"/>
          </w:tcPr>
          <w:p>
            <w:pPr>
              <w:ind w:left="380"/>
              <w:spacing w:after="0"/>
              <w:rPr>
                <w:sz w:val="20"/>
                <w:szCs w:val="20"/>
                <w:color w:val="auto"/>
              </w:rPr>
            </w:pPr>
            <w:r>
              <w:rPr>
                <w:rFonts w:ascii="Arial" w:cs="Arial" w:eastAsia="Arial" w:hAnsi="Arial"/>
                <w:sz w:val="18"/>
                <w:szCs w:val="18"/>
                <w:color w:val="auto"/>
                <w:w w:val="91"/>
              </w:rPr>
              <w:t>Discretionary, time-based Restricted Stock Units. This is a one-time, discretionary grant to reward you for your</w:t>
            </w:r>
          </w:p>
        </w:tc>
      </w:tr>
      <w:tr>
        <w:trPr>
          <w:trHeight w:val="222"/>
        </w:trPr>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20" w:type="dxa"/>
            <w:vAlign w:val="bottom"/>
            <w:gridSpan w:val="3"/>
          </w:tcPr>
          <w:p>
            <w:pPr>
              <w:ind w:left="380"/>
              <w:spacing w:after="0"/>
              <w:rPr>
                <w:sz w:val="20"/>
                <w:szCs w:val="20"/>
                <w:color w:val="auto"/>
              </w:rPr>
            </w:pPr>
            <w:r>
              <w:rPr>
                <w:rFonts w:ascii="Arial" w:cs="Arial" w:eastAsia="Arial" w:hAnsi="Arial"/>
                <w:sz w:val="18"/>
                <w:szCs w:val="18"/>
                <w:color w:val="auto"/>
              </w:rPr>
              <w:t>continued contribution to the success of Vera Bradley.</w:t>
            </w:r>
          </w:p>
        </w:tc>
      </w:tr>
      <w:tr>
        <w:trPr>
          <w:trHeight w:val="286"/>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Number of Time-Based RSUs</w:t>
            </w:r>
          </w:p>
        </w:tc>
        <w:tc>
          <w:tcPr>
            <w:tcW w:w="8420" w:type="dxa"/>
            <w:vAlign w:val="bottom"/>
            <w:gridSpan w:val="3"/>
          </w:tcPr>
          <w:p>
            <w:pPr>
              <w:ind w:left="380"/>
              <w:spacing w:after="0"/>
              <w:rPr>
                <w:sz w:val="20"/>
                <w:szCs w:val="20"/>
                <w:color w:val="auto"/>
              </w:rPr>
            </w:pPr>
            <w:r>
              <w:rPr>
                <w:rFonts w:ascii="Arial" w:cs="Arial" w:eastAsia="Arial" w:hAnsi="Arial"/>
                <w:sz w:val="18"/>
                <w:szCs w:val="18"/>
                <w:b w:val="1"/>
                <w:bCs w:val="1"/>
                <w:color w:val="auto"/>
                <w:w w:val="89"/>
              </w:rPr>
              <w:t xml:space="preserve">[Insert XX] </w:t>
            </w:r>
            <w:r>
              <w:rPr>
                <w:rFonts w:ascii="Arial" w:cs="Arial" w:eastAsia="Arial" w:hAnsi="Arial"/>
                <w:sz w:val="18"/>
                <w:szCs w:val="18"/>
                <w:color w:val="auto"/>
                <w:w w:val="89"/>
              </w:rPr>
              <w:t>(See the attached Exhibit A for an explanation regarding the determination of the number of the time-</w:t>
            </w:r>
          </w:p>
        </w:tc>
      </w:tr>
      <w:tr>
        <w:trPr>
          <w:trHeight w:val="20"/>
        </w:trPr>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35"/>
        </w:trPr>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20" w:type="dxa"/>
            <w:vAlign w:val="bottom"/>
            <w:gridSpan w:val="3"/>
          </w:tcPr>
          <w:p>
            <w:pPr>
              <w:ind w:left="380"/>
              <w:spacing w:after="0"/>
              <w:rPr>
                <w:sz w:val="20"/>
                <w:szCs w:val="20"/>
                <w:color w:val="auto"/>
              </w:rPr>
            </w:pPr>
            <w:r>
              <w:rPr>
                <w:rFonts w:ascii="Arial" w:cs="Arial" w:eastAsia="Arial" w:hAnsi="Arial"/>
                <w:sz w:val="18"/>
                <w:szCs w:val="18"/>
                <w:color w:val="auto"/>
              </w:rPr>
              <w:t>based Restricted Stock Units granted under this Award Agreement).</w:t>
            </w:r>
          </w:p>
        </w:tc>
      </w:tr>
      <w:tr>
        <w:trPr>
          <w:trHeight w:val="324"/>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Date of Grant of Award</w:t>
            </w:r>
          </w:p>
        </w:tc>
        <w:tc>
          <w:tcPr>
            <w:tcW w:w="8420" w:type="dxa"/>
            <w:vAlign w:val="bottom"/>
            <w:gridSpan w:val="3"/>
          </w:tcPr>
          <w:p>
            <w:pPr>
              <w:ind w:left="380"/>
              <w:spacing w:after="0"/>
              <w:rPr>
                <w:sz w:val="20"/>
                <w:szCs w:val="20"/>
                <w:color w:val="auto"/>
              </w:rPr>
            </w:pPr>
            <w:r>
              <w:rPr>
                <w:rFonts w:ascii="Arial" w:cs="Arial" w:eastAsia="Arial" w:hAnsi="Arial"/>
                <w:sz w:val="18"/>
                <w:szCs w:val="18"/>
                <w:b w:val="1"/>
                <w:bCs w:val="1"/>
                <w:color w:val="auto"/>
              </w:rPr>
              <w:t>[Insert XX]</w:t>
            </w:r>
          </w:p>
        </w:tc>
      </w:tr>
      <w:tr>
        <w:trPr>
          <w:trHeight w:val="324"/>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Vesting Schedule of RSUs</w:t>
            </w:r>
          </w:p>
        </w:tc>
        <w:tc>
          <w:tcPr>
            <w:tcW w:w="8420" w:type="dxa"/>
            <w:vAlign w:val="bottom"/>
            <w:gridSpan w:val="3"/>
          </w:tcPr>
          <w:p>
            <w:pPr>
              <w:ind w:left="380"/>
              <w:spacing w:after="0"/>
              <w:rPr>
                <w:sz w:val="20"/>
                <w:szCs w:val="20"/>
                <w:color w:val="auto"/>
              </w:rPr>
            </w:pPr>
            <w:r>
              <w:rPr>
                <w:rFonts w:ascii="Arial" w:cs="Arial" w:eastAsia="Arial" w:hAnsi="Arial"/>
                <w:sz w:val="18"/>
                <w:szCs w:val="18"/>
                <w:color w:val="auto"/>
              </w:rPr>
              <w:t>The Restricted Stock Units are subject to a 3-year graded vesting schedule, as follows:</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 Stock Units</w:t>
            </w:r>
          </w:p>
        </w:tc>
      </w:tr>
      <w:tr>
        <w:trPr>
          <w:trHeight w:val="174"/>
        </w:trPr>
        <w:tc>
          <w:tcPr>
            <w:tcW w:w="5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Vesting Date*</w:t>
            </w: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4"/>
              </w:rPr>
              <w:t>Vested on Such Date</w:t>
            </w:r>
          </w:p>
        </w:tc>
      </w:tr>
      <w:tr>
        <w:trPr>
          <w:trHeight w:val="196"/>
        </w:trPr>
        <w:tc>
          <w:tcPr>
            <w:tcW w:w="5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5"/>
              </w:rPr>
              <w:t>[Insert XX]</w:t>
            </w:r>
          </w:p>
        </w:tc>
        <w:tc>
          <w:tcPr>
            <w:tcW w:w="240" w:type="dxa"/>
            <w:vAlign w:val="bottom"/>
          </w:tcPr>
          <w:p>
            <w:pPr>
              <w:spacing w:after="0"/>
              <w:rPr>
                <w:sz w:val="17"/>
                <w:szCs w:val="17"/>
                <w:color w:val="auto"/>
              </w:rPr>
            </w:pPr>
          </w:p>
        </w:tc>
        <w:tc>
          <w:tcPr>
            <w:tcW w:w="5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4"/>
              </w:rPr>
              <w:t>[Insert 1/3 XX]</w:t>
            </w:r>
          </w:p>
        </w:tc>
      </w:tr>
      <w:tr>
        <w:trPr>
          <w:trHeight w:val="216"/>
        </w:trPr>
        <w:tc>
          <w:tcPr>
            <w:tcW w:w="5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4"/>
              </w:rPr>
              <w:t>[Insert 1/3 XX]</w:t>
            </w:r>
          </w:p>
        </w:tc>
      </w:tr>
      <w:tr>
        <w:trPr>
          <w:trHeight w:val="228"/>
        </w:trPr>
        <w:tc>
          <w:tcPr>
            <w:tcW w:w="5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4"/>
              </w:rPr>
              <w:t>[Insert 1/3 XX]</w:t>
            </w:r>
          </w:p>
        </w:tc>
      </w:tr>
    </w:tbl>
    <w:p>
      <w:pPr>
        <w:spacing w:after="0" w:line="196" w:lineRule="exact"/>
        <w:rPr>
          <w:sz w:val="20"/>
          <w:szCs w:val="20"/>
          <w:color w:val="auto"/>
        </w:rPr>
      </w:pPr>
    </w:p>
    <w:p>
      <w:pPr>
        <w:ind w:left="460" w:right="8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period of time from the date of grant until each separate vesting date is considered the “Restricted Period” with respect to the corresponding portion of the Restricted Stock Units.</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Service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general, should you separate Service from Vera Bradley prior to vesting, all unvested Restricted Stock Units will be forfeited to the Company. However, the following provisions will apply if, prior to the forfeiture of the Award, you cease providing Services due to death, Disability or Retirement (and provided that you have not otherwise engaged in an act that would constitute Cause):</w:t>
      </w:r>
    </w:p>
    <w:p>
      <w:pPr>
        <w:sectPr>
          <w:pgSz w:w="11900" w:h="16838" w:orient="portrait"/>
          <w:cols w:equalWidth="0" w:num="2">
            <w:col w:w="2260" w:space="720"/>
            <w:col w:w="8440"/>
          </w:cols>
          <w:pgMar w:left="240" w:top="125" w:right="239" w:bottom="1440" w:gutter="0" w:footer="0" w:header="0"/>
          <w:type w:val="continuous"/>
        </w:sectPr>
      </w:pPr>
    </w:p>
    <w:bookmarkStart w:id="39" w:name="page40"/>
    <w:bookmarkEnd w:id="39"/>
    <w:p>
      <w:pPr>
        <w:ind w:left="3840" w:hanging="319"/>
        <w:spacing w:after="0" w:line="318" w:lineRule="auto"/>
        <w:tabs>
          <w:tab w:leader="none" w:pos="382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sz w:val="20"/>
          <w:szCs w:val="20"/>
          <w:color w:val="auto"/>
        </w:rPr>
        <w:tab/>
      </w:r>
      <w:r>
        <w:rPr>
          <w:rFonts w:ascii="Arial" w:cs="Arial" w:eastAsia="Arial" w:hAnsi="Arial"/>
          <w:sz w:val="15"/>
          <w:szCs w:val="15"/>
          <w:u w:val="single" w:color="auto"/>
          <w:color w:val="auto"/>
        </w:rPr>
        <w:t>Death or Disability</w:t>
      </w:r>
      <w:r>
        <w:rPr>
          <w:rFonts w:ascii="Arial" w:cs="Arial" w:eastAsia="Arial" w:hAnsi="Arial"/>
          <w:sz w:val="15"/>
          <w:szCs w:val="15"/>
          <w:color w:val="auto"/>
        </w:rPr>
        <w:t>: If, prior to full vesting of the Award, you die while employed with the Company or separate from Service due to a Disability, then the number of Restricted Stock Units associated with portion of the Award not yet vested as of the date of death or Disability shall become immediately and fully vested and paid out in Shares of Company stock pursuant to the settlement provisions below. For purposes of this Award Agreement, “Disability” shall have the meaning assigned to such term in the 2010 Plan.</w:t>
      </w:r>
    </w:p>
    <w:p>
      <w:pPr>
        <w:spacing w:after="0" w:line="140" w:lineRule="exact"/>
        <w:rPr>
          <w:sz w:val="20"/>
          <w:szCs w:val="20"/>
          <w:color w:val="auto"/>
        </w:rPr>
      </w:pPr>
    </w:p>
    <w:p>
      <w:pPr>
        <w:ind w:left="3840" w:right="100" w:hanging="319"/>
        <w:spacing w:after="0" w:line="291" w:lineRule="auto"/>
        <w:tabs>
          <w:tab w:leader="none" w:pos="3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u w:val="single" w:color="auto"/>
          <w:color w:val="auto"/>
        </w:rPr>
        <w:t>Retirement</w:t>
      </w:r>
      <w:r>
        <w:rPr>
          <w:rFonts w:ascii="Arial" w:cs="Arial" w:eastAsia="Arial" w:hAnsi="Arial"/>
          <w:sz w:val="16"/>
          <w:szCs w:val="16"/>
          <w:color w:val="auto"/>
        </w:rPr>
        <w:t>: If, prior to full vesting of the Award, you separate from Service with the Company as a result of your Retirement during a Restricted Period, then the portion of the Award that shall be vested as of the date of Retirement, but prorated based on the number of full fiscal months (in which you provided Service throughout such month) during the Restricted Period, with any such Awards becoming fully vested and paid out in Shares of Company stock pursuant to the settlement provisions below. For purposes of this Award Agreement, “Retirement” shall have the meaning assigned to such term in the 2010 Plan.</w:t>
      </w:r>
    </w:p>
    <w:p>
      <w:pPr>
        <w:spacing w:after="0" w:line="161" w:lineRule="exact"/>
        <w:rPr>
          <w:sz w:val="20"/>
          <w:szCs w:val="20"/>
          <w:color w:val="auto"/>
        </w:rPr>
      </w:pPr>
    </w:p>
    <w:p>
      <w:pPr>
        <w:ind w:left="2980" w:right="740"/>
        <w:spacing w:after="0" w:line="332" w:lineRule="auto"/>
        <w:rPr>
          <w:sz w:val="20"/>
          <w:szCs w:val="20"/>
          <w:color w:val="auto"/>
        </w:rPr>
      </w:pPr>
      <w:r>
        <w:rPr>
          <w:rFonts w:ascii="Arial" w:cs="Arial" w:eastAsia="Arial" w:hAnsi="Arial"/>
          <w:sz w:val="16"/>
          <w:szCs w:val="16"/>
          <w:color w:val="auto"/>
        </w:rPr>
        <w:t>If your Service with the Company shall terminate during a Restricted Periods for any reason other than death, Disability, or Retirement, all unvested Restricted Stock Units shall be forfeited to the Company.</w:t>
      </w:r>
    </w:p>
    <w:p>
      <w:pPr>
        <w:spacing w:after="0" w:line="12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See the documents listed below for more information.</w:t>
      </w:r>
    </w:p>
    <w:p>
      <w:pPr>
        <w:sectPr>
          <w:pgSz w:w="11900" w:h="16838" w:orient="portrait"/>
          <w:cols w:equalWidth="0" w:num="1">
            <w:col w:w="11420"/>
          </w:cols>
          <w:pgMar w:left="240" w:top="280"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Control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Notwithstanding anything to the contrary in this Award Agreement, in the event of a consummation of a Change in Control of the Company during a Restricted Period (and provided that you remain continuously employed with the Company until such Change in Control), then the portion of any outstanding Award that is not yet vested as of the date of the Change in Control shall become immediately and fully vested and paid immediately prior to the Change in Control in the form of one Share of Company stock for each vested Restricted Stock Unit (with fractional Shares forfeited). Any accumulated dividends will be paid in cash at the same time the Shares are delivered.</w:t>
      </w:r>
    </w:p>
    <w:p>
      <w:pPr>
        <w:spacing w:after="0" w:line="107" w:lineRule="exact"/>
        <w:rPr>
          <w:sz w:val="20"/>
          <w:szCs w:val="20"/>
          <w:color w:val="auto"/>
        </w:rPr>
      </w:pPr>
    </w:p>
    <w:p>
      <w:pPr>
        <w:sectPr>
          <w:pgSz w:w="11900" w:h="16838" w:orient="portrait"/>
          <w:cols w:equalWidth="0" w:num="2">
            <w:col w:w="2260" w:space="720"/>
            <w:col w:w="844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11420"/>
          </w:cols>
          <w:pgMar w:left="240" w:top="280"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Settlement</w:t>
      </w:r>
    </w:p>
    <w:p>
      <w:pPr>
        <w:spacing w:after="0" w:line="20" w:lineRule="exact"/>
        <w:rPr>
          <w:sz w:val="20"/>
          <w:szCs w:val="20"/>
          <w:color w:val="auto"/>
        </w:rPr>
      </w:pPr>
      <w:r>
        <w:rPr>
          <w:sz w:val="20"/>
          <w:szCs w:val="20"/>
          <w:color w:val="auto"/>
        </w:rPr>
        <w:br w:type="column"/>
      </w:r>
    </w:p>
    <w:p>
      <w:pPr>
        <w:ind w:right="60"/>
        <w:spacing w:after="0" w:line="287" w:lineRule="auto"/>
        <w:rPr>
          <w:sz w:val="20"/>
          <w:szCs w:val="20"/>
          <w:color w:val="auto"/>
        </w:rPr>
      </w:pPr>
      <w:r>
        <w:rPr>
          <w:rFonts w:ascii="Arial" w:cs="Arial" w:eastAsia="Arial" w:hAnsi="Arial"/>
          <w:sz w:val="16"/>
          <w:szCs w:val="16"/>
          <w:color w:val="auto"/>
        </w:rPr>
        <w:t>Vested Restricted Stock Units will be paid in the form of one Share of Company stock for each vested Restricted Stock Unit. Delivery of the Share will be made after the end of each applicable Restricted Period and not later than the 15</w:t>
      </w:r>
      <w:r>
        <w:rPr>
          <w:rFonts w:ascii="Arial" w:cs="Arial" w:eastAsia="Arial" w:hAnsi="Arial"/>
          <w:sz w:val="10"/>
          <w:szCs w:val="10"/>
          <w:color w:val="auto"/>
        </w:rPr>
        <w:t>th</w:t>
      </w:r>
      <w:r>
        <w:rPr>
          <w:rFonts w:ascii="Arial" w:cs="Arial" w:eastAsia="Arial" w:hAnsi="Arial"/>
          <w:sz w:val="16"/>
          <w:szCs w:val="16"/>
          <w:color w:val="auto"/>
        </w:rPr>
        <w:t xml:space="preserve"> day of the third month following the end of the applicable Restricted Period. Notwithstanding the preceding provisions, in the event of a separation from Service due to death or Disability, delivery of the Shares will be made, including delivery with respect to a Disabled Participant, or to the estate of a deceased Participant, within thirty (30) days after such separation from Service. Shares will be credited to an account established for the benefit of the Participant with the Company’s administrative agent. The Participant will have full legal and beneficial ownership with respect to the Shares at that time. Any accumulated dividends will be paid in cash at the same time the Shares are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-1485265</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3280" w:space="720"/>
            <w:col w:w="7400"/>
          </w:cols>
          <w:pgMar w:left="240" w:top="274" w:right="259" w:bottom="1440" w:gutter="0" w:footer="0" w:header="0"/>
        </w:sectPr>
      </w:pPr>
    </w:p>
    <w:p>
      <w:pPr>
        <w:spacing w:after="0"/>
        <w:rPr>
          <w:sz w:val="20"/>
          <w:szCs w:val="20"/>
          <w:color w:val="auto"/>
        </w:rPr>
      </w:pPr>
      <w:r>
        <w:rPr>
          <w:rFonts w:ascii="Arial" w:cs="Arial" w:eastAsia="Arial" w:hAnsi="Arial"/>
          <w:sz w:val="15"/>
          <w:szCs w:val="15"/>
          <w:b w:val="1"/>
          <w:bCs w:val="1"/>
          <w:color w:val="auto"/>
        </w:rPr>
        <w:t>Withholding Taxes</w:t>
      </w:r>
    </w:p>
    <w:p>
      <w:pPr>
        <w:spacing w:after="0" w:line="20" w:lineRule="exact"/>
        <w:rPr>
          <w:sz w:val="20"/>
          <w:szCs w:val="20"/>
          <w:color w:val="auto"/>
        </w:rPr>
      </w:pPr>
      <w:r>
        <w:rPr>
          <w:sz w:val="20"/>
          <w:szCs w:val="20"/>
          <w:color w:val="auto"/>
        </w:rPr>
        <w:br w:type="column"/>
      </w:r>
    </w:p>
    <w:p>
      <w:pPr>
        <w:jc w:val="both"/>
        <w:ind w:right="80"/>
        <w:spacing w:after="0" w:line="306" w:lineRule="auto"/>
        <w:rPr>
          <w:sz w:val="20"/>
          <w:szCs w:val="20"/>
          <w:color w:val="auto"/>
        </w:rPr>
      </w:pPr>
      <w:r>
        <w:rPr>
          <w:rFonts w:ascii="Arial" w:cs="Arial" w:eastAsia="Arial" w:hAnsi="Arial"/>
          <w:sz w:val="16"/>
          <w:szCs w:val="16"/>
          <w:color w:val="auto"/>
        </w:rPr>
        <w:t>You acknowledge and agree that the Company shall have the power and the right to deduct or withhold an amount sufficient to satisfy federal, state, and local taxes (including your FICA obligation), domestic or foreign, required by law to be withheld with respect to this Award.</w:t>
      </w:r>
    </w:p>
    <w:p>
      <w:pPr>
        <w:spacing w:after="0" w:line="107" w:lineRule="exact"/>
        <w:rPr>
          <w:sz w:val="20"/>
          <w:szCs w:val="20"/>
          <w:color w:val="auto"/>
        </w:rPr>
      </w:pPr>
    </w:p>
    <w:p>
      <w:pPr>
        <w:sectPr>
          <w:pgSz w:w="11900" w:h="16838" w:orient="portrait"/>
          <w:cols w:equalWidth="0" w:num="2">
            <w:col w:w="3280" w:space="720"/>
            <w:col w:w="7400"/>
          </w:cols>
          <w:pgMar w:left="240" w:top="274" w:right="259" w:bottom="1440" w:gutter="0" w:footer="0" w:header="0"/>
          <w:type w:val="continuous"/>
        </w:sectPr>
      </w:pPr>
    </w:p>
    <w:p>
      <w:pPr>
        <w:ind w:right="20"/>
        <w:spacing w:after="0" w:line="298" w:lineRule="auto"/>
        <w:rPr>
          <w:sz w:val="20"/>
          <w:szCs w:val="20"/>
          <w:color w:val="auto"/>
        </w:rPr>
      </w:pPr>
      <w:r>
        <w:rPr>
          <w:rFonts w:ascii="Arial" w:cs="Arial" w:eastAsia="Arial" w:hAnsi="Arial"/>
          <w:sz w:val="16"/>
          <w:szCs w:val="16"/>
          <w:color w:val="auto"/>
        </w:rPr>
        <w:t>These Restricted Stock Units have been granted under and are governed by the terms and conditions of the Vera Bradley, Inc. 2010 Equity and Incentive Plan (the “2010 Plan”), as amended. The enclosed Statement of General Information and Availability of Information for the 2010 Plan forms part of a Section 10(a) prospectus covering securities that have been registered under the Securities Act of 1933, as amended. This document is also enclosed to provide further information and background. Any term capitalized herein but not defined will have the meaning set forth in the 2010 Plan.</w:t>
      </w:r>
    </w:p>
    <w:p>
      <w:pPr>
        <w:spacing w:after="0" w:line="1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Please see the enclosed </w:t>
      </w:r>
      <w:r>
        <w:rPr>
          <w:rFonts w:ascii="Arial" w:cs="Arial" w:eastAsia="Arial" w:hAnsi="Arial"/>
          <w:sz w:val="18"/>
          <w:szCs w:val="18"/>
          <w:b w:val="1"/>
          <w:bCs w:val="1"/>
          <w:color w:val="auto"/>
        </w:rPr>
        <w:t>[Insert XX]</w:t>
      </w:r>
      <w:r>
        <w:rPr>
          <w:rFonts w:ascii="Arial" w:cs="Arial" w:eastAsia="Arial" w:hAnsi="Arial"/>
          <w:sz w:val="18"/>
          <w:szCs w:val="18"/>
          <w:color w:val="auto"/>
        </w:rPr>
        <w:t xml:space="preserve"> Restricted Stock Unit/Performance Unit Terms and Conditions for further information regarding your Award. It is very important that you keep these documents in a safe place because they describe your rights and responsibilities under the Restricted Stock Units and 2010 Plan and explain where and how to obtain other documents and information to which you are entitled.</w:t>
      </w:r>
    </w:p>
    <w:p>
      <w:pPr>
        <w:spacing w:after="0" w:line="13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Again, thank you for your continued contribution to the success of our organization! Your efforts are applauded and truly appreciated. If you have any questions regarding this discretionary grant, please contact Kevin Sierks in Finance or Julie North in Human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Jeff Blade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type w:val="continuous"/>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Acknowledgement &amp; Acceptance of Award Agreement and Related Terms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By your signature and the signature of the Company’s representative (above) on this Award Agreement, you and the Company agree that this Award of a time-based Restricted Stock Unit is granted under and governed by the terms and conditions of the 2010 Plan, the </w:t>
      </w:r>
      <w:r>
        <w:rPr>
          <w:rFonts w:ascii="Arial" w:cs="Arial" w:eastAsia="Arial" w:hAnsi="Arial"/>
          <w:sz w:val="16"/>
          <w:szCs w:val="16"/>
          <w:b w:val="1"/>
          <w:bCs w:val="1"/>
          <w:color w:val="auto"/>
        </w:rPr>
        <w:t>[Insert XX]</w:t>
      </w:r>
      <w:r>
        <w:rPr>
          <w:rFonts w:ascii="Arial" w:cs="Arial" w:eastAsia="Arial" w:hAnsi="Arial"/>
          <w:sz w:val="16"/>
          <w:szCs w:val="16"/>
          <w:color w:val="auto"/>
        </w:rPr>
        <w:t xml:space="preserve"> Restricted Stock Unit/Performance Unit Terms and Conditions and this Award Agreement. You acknowledge that you have reviewed the 2010 Plan, the </w:t>
      </w:r>
      <w:r>
        <w:rPr>
          <w:rFonts w:ascii="Arial" w:cs="Arial" w:eastAsia="Arial" w:hAnsi="Arial"/>
          <w:sz w:val="16"/>
          <w:szCs w:val="16"/>
          <w:b w:val="1"/>
          <w:bCs w:val="1"/>
          <w:color w:val="auto"/>
        </w:rPr>
        <w:t>[Insert XX]</w:t>
      </w:r>
      <w:r>
        <w:rPr>
          <w:rFonts w:ascii="Arial" w:cs="Arial" w:eastAsia="Arial" w:hAnsi="Arial"/>
          <w:sz w:val="16"/>
          <w:szCs w:val="16"/>
          <w:color w:val="auto"/>
        </w:rPr>
        <w:t xml:space="preserve"> Restricted Stock Unit/Performance Unit Terms and Conditions, and this Award Agreement in their entirety, have had an opportunity to obtain the advice of counsel prior to executing this Award Agreement, and fully understand all provisions of the 2010 Plan, the </w:t>
      </w:r>
      <w:r>
        <w:rPr>
          <w:rFonts w:ascii="Arial" w:cs="Arial" w:eastAsia="Arial" w:hAnsi="Arial"/>
          <w:sz w:val="16"/>
          <w:szCs w:val="16"/>
          <w:b w:val="1"/>
          <w:bCs w:val="1"/>
          <w:color w:val="auto"/>
        </w:rPr>
        <w:t>[Insert XX]</w:t>
      </w:r>
      <w:r>
        <w:rPr>
          <w:rFonts w:ascii="Arial" w:cs="Arial" w:eastAsia="Arial" w:hAnsi="Arial"/>
          <w:sz w:val="16"/>
          <w:szCs w:val="16"/>
          <w:color w:val="auto"/>
        </w:rPr>
        <w:t xml:space="preserve"> Restricted Stock Unit/Performance Unit Terms and Conditions and this Award Agreement. Further, by signing below, you hereby agree to (i) accept as binding, conclusive and final all decisions or interpretations of the Committee upon any questions relating to the 2010 Plan, the </w:t>
      </w:r>
      <w:r>
        <w:rPr>
          <w:rFonts w:ascii="Arial" w:cs="Arial" w:eastAsia="Arial" w:hAnsi="Arial"/>
          <w:sz w:val="16"/>
          <w:szCs w:val="16"/>
          <w:b w:val="1"/>
          <w:bCs w:val="1"/>
          <w:color w:val="auto"/>
        </w:rPr>
        <w:t>[Insert XX]</w:t>
      </w:r>
      <w:r>
        <w:rPr>
          <w:rFonts w:ascii="Arial" w:cs="Arial" w:eastAsia="Arial" w:hAnsi="Arial"/>
          <w:sz w:val="16"/>
          <w:szCs w:val="16"/>
          <w:color w:val="auto"/>
        </w:rPr>
        <w:t xml:space="preserve"> Restricted Stock Unit/Performance Unit Terms and Conditions and this Award Agreement, and (ii) notify the Company upon any change in your residence address.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4" w:right="279" w:bottom="1440" w:gutter="0" w:footer="0" w:header="0"/>
        </w:sectPr>
      </w:pPr>
    </w:p>
    <w:bookmarkStart w:id="42" w:name="page43"/>
    <w:bookmarkEnd w:id="42"/>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Explanation of How Awards of Time-Based RSUs Were Determined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Award levels of grants of Time-Based RSUs were determined according to the following charts: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Participant Level</w:t>
            </w:r>
          </w:p>
        </w:tc>
        <w:tc>
          <w:tcPr>
            <w:tcW w:w="214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Time-Based RSU Opportunity</w:t>
            </w:r>
          </w:p>
        </w:tc>
      </w:tr>
      <w:tr>
        <w:trPr>
          <w:trHeight w:val="210"/>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CEO</w:t>
            </w:r>
          </w:p>
        </w:tc>
        <w:tc>
          <w:tcPr>
            <w:tcW w:w="23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[Insert XX]</w:t>
            </w: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M6 (EVP)</w:t>
            </w:r>
          </w:p>
        </w:tc>
        <w:tc>
          <w:tcPr>
            <w:tcW w:w="2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5"/>
              </w:rPr>
              <w:t>[Insert XX]</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M5 and P7 (VP)</w:t>
            </w:r>
          </w:p>
        </w:tc>
        <w:tc>
          <w:tcPr>
            <w:tcW w:w="2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[Insert XX]</w:t>
            </w: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w w:val="92"/>
              </w:rPr>
              <w:t>M4 and P6</w:t>
            </w:r>
          </w:p>
        </w:tc>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(Sr. Director)</w:t>
            </w: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5"/>
              </w:rPr>
              <w:t>[Insert XX]</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M3 and P5</w:t>
            </w: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 &amp; Key Talent))</w:t>
            </w:r>
          </w:p>
        </w:tc>
        <w:tc>
          <w:tcPr>
            <w:tcW w:w="2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[Insert XX]</w:t>
            </w:r>
          </w:p>
        </w:tc>
      </w:tr>
      <w:tr>
        <w:trPr>
          <w:trHeight w:val="363"/>
        </w:trPr>
        <w:tc>
          <w:tcPr>
            <w:tcW w:w="8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40" w:type="dxa"/>
            <w:vAlign w:val="bottom"/>
          </w:tcPr>
          <w:p>
            <w:pPr>
              <w:jc w:val="right"/>
              <w:ind w:right="1252"/>
              <w:spacing w:after="0"/>
              <w:rPr>
                <w:sz w:val="20"/>
                <w:szCs w:val="20"/>
                <w:color w:val="auto"/>
              </w:rPr>
            </w:pPr>
            <w:r>
              <w:rPr>
                <w:rFonts w:ascii="Arial" w:cs="Arial" w:eastAsia="Arial" w:hAnsi="Arial"/>
                <w:sz w:val="18"/>
                <w:szCs w:val="18"/>
                <w:color w:val="auto"/>
              </w:rPr>
              <w:t>- 5 -</w:t>
            </w: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10.5</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PERFORMANCE-BASED AWARD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XX]</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i w:val="1"/>
          <w:iCs w:val="1"/>
          <w:color w:val="auto"/>
        </w:rPr>
        <w:t>Re:</w:t>
        <w:tab/>
        <w:t xml:space="preserve">Award Agreement—Grant of </w:t>
      </w:r>
      <w:r>
        <w:rPr>
          <w:rFonts w:ascii="Arial" w:cs="Arial" w:eastAsia="Arial" w:hAnsi="Arial"/>
          <w:sz w:val="18"/>
          <w:szCs w:val="18"/>
          <w:b w:val="1"/>
          <w:bCs w:val="1"/>
          <w:i w:val="1"/>
          <w:iCs w:val="1"/>
          <w:u w:val="single" w:color="auto"/>
          <w:color w:val="auto"/>
        </w:rPr>
        <w:t>Performance</w:t>
      </w:r>
      <w:r>
        <w:rPr>
          <w:rFonts w:ascii="Arial" w:cs="Arial" w:eastAsia="Arial" w:hAnsi="Arial"/>
          <w:sz w:val="18"/>
          <w:szCs w:val="18"/>
          <w:b w:val="1"/>
          <w:bCs w:val="1"/>
          <w:i w:val="1"/>
          <w:iCs w:val="1"/>
          <w:color w:val="auto"/>
        </w:rPr>
        <w:t xml:space="preserve"> Units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Dear</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 xml:space="preserve">Congratulations! In recognition of your continued dedication to Vera Bradley, we are pleased to award you with a discretionary grant of Performance Units (“Award”). This letter constitutes an Award Agreement between you and Vera Bradley regarding the terms and conditions of the grant. In order for the Award referenced in this Award Agreement to become effective, </w:t>
      </w:r>
      <w:r>
        <w:rPr>
          <w:rFonts w:ascii="Arial" w:cs="Arial" w:eastAsia="Arial" w:hAnsi="Arial"/>
          <w:sz w:val="16"/>
          <w:szCs w:val="16"/>
          <w:b w:val="1"/>
          <w:bCs w:val="1"/>
          <w:color w:val="auto"/>
        </w:rPr>
        <w:t>you must sign and date this form and return a signed copy to Julie North by no later than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[Insert]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While complete details of this grant are defined in the enclosed documents, a high-level summary of this Award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8520" w:type="dxa"/>
            <w:vAlign w:val="bottom"/>
            <w:gridSpan w:val="12"/>
          </w:tcPr>
          <w:p>
            <w:pPr>
              <w:spacing w:after="0"/>
              <w:rPr>
                <w:sz w:val="20"/>
                <w:szCs w:val="20"/>
                <w:color w:val="auto"/>
              </w:rPr>
            </w:pPr>
            <w:r>
              <w:rPr>
                <w:rFonts w:ascii="Arial" w:cs="Arial" w:eastAsia="Arial" w:hAnsi="Arial"/>
                <w:sz w:val="18"/>
                <w:szCs w:val="18"/>
                <w:color w:val="auto"/>
                <w:w w:val="91"/>
              </w:rPr>
              <w:t>Discretionary grant of Performance Units (“Performance RSUs”). This is a one-time, discretionary grant to reward you</w:t>
            </w:r>
          </w:p>
        </w:tc>
      </w:tr>
      <w:tr>
        <w:trPr>
          <w:trHeight w:val="222"/>
        </w:trPr>
        <w:tc>
          <w:tcPr>
            <w:tcW w:w="2880" w:type="dxa"/>
            <w:vAlign w:val="bottom"/>
          </w:tcPr>
          <w:p>
            <w:pPr>
              <w:spacing w:after="0"/>
              <w:rPr>
                <w:sz w:val="19"/>
                <w:szCs w:val="19"/>
                <w:color w:val="auto"/>
              </w:rPr>
            </w:pPr>
          </w:p>
        </w:tc>
        <w:tc>
          <w:tcPr>
            <w:tcW w:w="8520" w:type="dxa"/>
            <w:vAlign w:val="bottom"/>
            <w:gridSpan w:val="12"/>
          </w:tcPr>
          <w:p>
            <w:pPr>
              <w:spacing w:after="0"/>
              <w:rPr>
                <w:sz w:val="20"/>
                <w:szCs w:val="20"/>
                <w:color w:val="auto"/>
              </w:rPr>
            </w:pPr>
            <w:r>
              <w:rPr>
                <w:rFonts w:ascii="Arial" w:cs="Arial" w:eastAsia="Arial" w:hAnsi="Arial"/>
                <w:sz w:val="18"/>
                <w:szCs w:val="18"/>
                <w:color w:val="auto"/>
              </w:rPr>
              <w:t>for your continued contribution to the success of Vera Bradley.</w:t>
            </w:r>
          </w:p>
        </w:tc>
      </w:tr>
      <w:tr>
        <w:trPr>
          <w:trHeight w:val="286"/>
        </w:trPr>
        <w:tc>
          <w:tcPr>
            <w:tcW w:w="2880" w:type="dxa"/>
            <w:vAlign w:val="bottom"/>
          </w:tcPr>
          <w:p>
            <w:pPr>
              <w:spacing w:after="0"/>
              <w:rPr>
                <w:sz w:val="20"/>
                <w:szCs w:val="20"/>
                <w:color w:val="auto"/>
              </w:rPr>
            </w:pPr>
            <w:r>
              <w:rPr>
                <w:rFonts w:ascii="Arial" w:cs="Arial" w:eastAsia="Arial" w:hAnsi="Arial"/>
                <w:sz w:val="18"/>
                <w:szCs w:val="18"/>
                <w:b w:val="1"/>
                <w:bCs w:val="1"/>
                <w:color w:val="auto"/>
              </w:rPr>
              <w:t>Number of Performance RSUs</w:t>
            </w:r>
          </w:p>
        </w:tc>
        <w:tc>
          <w:tcPr>
            <w:tcW w:w="8520" w:type="dxa"/>
            <w:vAlign w:val="bottom"/>
            <w:gridSpan w:val="12"/>
          </w:tcPr>
          <w:p>
            <w:pPr>
              <w:spacing w:after="0"/>
              <w:rPr>
                <w:sz w:val="20"/>
                <w:szCs w:val="20"/>
                <w:color w:val="auto"/>
              </w:rPr>
            </w:pPr>
            <w:r>
              <w:rPr>
                <w:rFonts w:ascii="Arial" w:cs="Arial" w:eastAsia="Arial" w:hAnsi="Arial"/>
                <w:sz w:val="18"/>
                <w:szCs w:val="18"/>
                <w:b w:val="1"/>
                <w:bCs w:val="1"/>
                <w:color w:val="auto"/>
                <w:w w:val="99"/>
              </w:rPr>
              <w:t xml:space="preserve">[Insert XX] </w:t>
            </w:r>
            <w:r>
              <w:rPr>
                <w:rFonts w:ascii="Arial" w:cs="Arial" w:eastAsia="Arial" w:hAnsi="Arial"/>
                <w:sz w:val="18"/>
                <w:szCs w:val="18"/>
                <w:color w:val="auto"/>
                <w:w w:val="99"/>
              </w:rPr>
              <w:t>(See the attached Exhibit A for an explanation regarding the determination of the number of the</w:t>
            </w:r>
          </w:p>
        </w:tc>
      </w:tr>
      <w:tr>
        <w:trPr>
          <w:trHeight w:val="20"/>
        </w:trPr>
        <w:tc>
          <w:tcPr>
            <w:tcW w:w="2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5"/>
        </w:trPr>
        <w:tc>
          <w:tcPr>
            <w:tcW w:w="2880" w:type="dxa"/>
            <w:vAlign w:val="bottom"/>
          </w:tcPr>
          <w:p>
            <w:pPr>
              <w:spacing w:after="0"/>
              <w:rPr>
                <w:sz w:val="20"/>
                <w:szCs w:val="20"/>
                <w:color w:val="auto"/>
              </w:rPr>
            </w:pPr>
          </w:p>
        </w:tc>
        <w:tc>
          <w:tcPr>
            <w:tcW w:w="8520" w:type="dxa"/>
            <w:vAlign w:val="bottom"/>
            <w:gridSpan w:val="12"/>
          </w:tcPr>
          <w:p>
            <w:pPr>
              <w:spacing w:after="0"/>
              <w:rPr>
                <w:sz w:val="20"/>
                <w:szCs w:val="20"/>
                <w:color w:val="auto"/>
              </w:rPr>
            </w:pPr>
            <w:r>
              <w:rPr>
                <w:rFonts w:ascii="Arial" w:cs="Arial" w:eastAsia="Arial" w:hAnsi="Arial"/>
                <w:sz w:val="18"/>
                <w:szCs w:val="18"/>
                <w:color w:val="auto"/>
              </w:rPr>
              <w:t>Performance RSUs granted under this Award Agreement).</w:t>
            </w:r>
          </w:p>
        </w:tc>
      </w:tr>
      <w:tr>
        <w:trPr>
          <w:trHeight w:val="324"/>
        </w:trPr>
        <w:tc>
          <w:tcPr>
            <w:tcW w:w="2880" w:type="dxa"/>
            <w:vAlign w:val="bottom"/>
          </w:tcPr>
          <w:p>
            <w:pPr>
              <w:spacing w:after="0"/>
              <w:rPr>
                <w:sz w:val="20"/>
                <w:szCs w:val="20"/>
                <w:color w:val="auto"/>
              </w:rPr>
            </w:pPr>
            <w:r>
              <w:rPr>
                <w:rFonts w:ascii="Arial" w:cs="Arial" w:eastAsia="Arial" w:hAnsi="Arial"/>
                <w:sz w:val="18"/>
                <w:szCs w:val="18"/>
                <w:b w:val="1"/>
                <w:bCs w:val="1"/>
                <w:color w:val="auto"/>
              </w:rPr>
              <w:t>Date of Grant of Award</w:t>
            </w:r>
          </w:p>
        </w:tc>
        <w:tc>
          <w:tcPr>
            <w:tcW w:w="8520" w:type="dxa"/>
            <w:vAlign w:val="bottom"/>
            <w:gridSpan w:val="12"/>
          </w:tcPr>
          <w:p>
            <w:pPr>
              <w:spacing w:after="0"/>
              <w:rPr>
                <w:sz w:val="20"/>
                <w:szCs w:val="20"/>
                <w:color w:val="auto"/>
              </w:rPr>
            </w:pPr>
            <w:r>
              <w:rPr>
                <w:rFonts w:ascii="Arial" w:cs="Arial" w:eastAsia="Arial" w:hAnsi="Arial"/>
                <w:sz w:val="18"/>
                <w:szCs w:val="18"/>
                <w:b w:val="1"/>
                <w:bCs w:val="1"/>
                <w:color w:val="auto"/>
              </w:rPr>
              <w:t>[Insert XX]</w:t>
            </w:r>
          </w:p>
        </w:tc>
      </w:tr>
      <w:tr>
        <w:trPr>
          <w:trHeight w:val="324"/>
        </w:trPr>
        <w:tc>
          <w:tcPr>
            <w:tcW w:w="2880" w:type="dxa"/>
            <w:vAlign w:val="bottom"/>
          </w:tcPr>
          <w:p>
            <w:pPr>
              <w:spacing w:after="0"/>
              <w:rPr>
                <w:sz w:val="20"/>
                <w:szCs w:val="20"/>
                <w:color w:val="auto"/>
              </w:rPr>
            </w:pPr>
            <w:r>
              <w:rPr>
                <w:rFonts w:ascii="Arial" w:cs="Arial" w:eastAsia="Arial" w:hAnsi="Arial"/>
                <w:sz w:val="18"/>
                <w:szCs w:val="18"/>
                <w:b w:val="1"/>
                <w:bCs w:val="1"/>
                <w:color w:val="auto"/>
              </w:rPr>
              <w:t>Performance Period</w:t>
            </w:r>
          </w:p>
        </w:tc>
        <w:tc>
          <w:tcPr>
            <w:tcW w:w="8520" w:type="dxa"/>
            <w:vAlign w:val="bottom"/>
            <w:gridSpan w:val="12"/>
          </w:tcPr>
          <w:p>
            <w:pPr>
              <w:spacing w:after="0"/>
              <w:rPr>
                <w:sz w:val="20"/>
                <w:szCs w:val="20"/>
                <w:color w:val="auto"/>
              </w:rPr>
            </w:pPr>
            <w:r>
              <w:rPr>
                <w:rFonts w:ascii="Arial" w:cs="Arial" w:eastAsia="Arial" w:hAnsi="Arial"/>
                <w:sz w:val="18"/>
                <w:szCs w:val="18"/>
                <w:color w:val="auto"/>
              </w:rPr>
              <w:t xml:space="preserve">Fiscal Years </w:t>
            </w:r>
            <w:r>
              <w:rPr>
                <w:rFonts w:ascii="Arial" w:cs="Arial" w:eastAsia="Arial" w:hAnsi="Arial"/>
                <w:sz w:val="18"/>
                <w:szCs w:val="18"/>
                <w:b w:val="1"/>
                <w:bCs w:val="1"/>
                <w:color w:val="auto"/>
              </w:rPr>
              <w:t>[Insert XX]</w:t>
            </w:r>
          </w:p>
        </w:tc>
      </w:tr>
      <w:tr>
        <w:trPr>
          <w:trHeight w:val="318"/>
        </w:trPr>
        <w:tc>
          <w:tcPr>
            <w:tcW w:w="2880" w:type="dxa"/>
            <w:vAlign w:val="bottom"/>
          </w:tcPr>
          <w:p>
            <w:pPr>
              <w:spacing w:after="0"/>
              <w:rPr>
                <w:sz w:val="20"/>
                <w:szCs w:val="20"/>
                <w:color w:val="auto"/>
              </w:rPr>
            </w:pPr>
            <w:r>
              <w:rPr>
                <w:rFonts w:ascii="Arial" w:cs="Arial" w:eastAsia="Arial" w:hAnsi="Arial"/>
                <w:sz w:val="18"/>
                <w:szCs w:val="18"/>
                <w:b w:val="1"/>
                <w:bCs w:val="1"/>
                <w:color w:val="auto"/>
              </w:rPr>
              <w:t>Earning of Performance RSUs</w:t>
            </w:r>
          </w:p>
        </w:tc>
        <w:tc>
          <w:tcPr>
            <w:tcW w:w="8520" w:type="dxa"/>
            <w:vAlign w:val="bottom"/>
            <w:gridSpan w:val="12"/>
          </w:tcPr>
          <w:p>
            <w:pPr>
              <w:spacing w:after="0"/>
              <w:rPr>
                <w:sz w:val="20"/>
                <w:szCs w:val="20"/>
                <w:color w:val="auto"/>
              </w:rPr>
            </w:pPr>
            <w:r>
              <w:rPr>
                <w:rFonts w:ascii="Arial" w:cs="Arial" w:eastAsia="Arial" w:hAnsi="Arial"/>
                <w:sz w:val="18"/>
                <w:szCs w:val="18"/>
                <w:color w:val="auto"/>
                <w:w w:val="92"/>
              </w:rPr>
              <w:t>The Performance RSUs will be divided into three equal tranches of 1/3 each (each a separate “Tranche”) of the total</w:t>
            </w:r>
          </w:p>
        </w:tc>
      </w:tr>
      <w:tr>
        <w:trPr>
          <w:trHeight w:val="216"/>
        </w:trPr>
        <w:tc>
          <w:tcPr>
            <w:tcW w:w="2880" w:type="dxa"/>
            <w:vAlign w:val="bottom"/>
          </w:tcPr>
          <w:p>
            <w:pPr>
              <w:spacing w:after="0"/>
              <w:rPr>
                <w:sz w:val="18"/>
                <w:szCs w:val="18"/>
                <w:color w:val="auto"/>
              </w:rPr>
            </w:pPr>
          </w:p>
        </w:tc>
        <w:tc>
          <w:tcPr>
            <w:tcW w:w="8520" w:type="dxa"/>
            <w:vAlign w:val="bottom"/>
            <w:gridSpan w:val="12"/>
          </w:tcPr>
          <w:p>
            <w:pPr>
              <w:spacing w:after="0"/>
              <w:rPr>
                <w:sz w:val="20"/>
                <w:szCs w:val="20"/>
                <w:color w:val="auto"/>
              </w:rPr>
            </w:pPr>
            <w:r>
              <w:rPr>
                <w:rFonts w:ascii="Arial" w:cs="Arial" w:eastAsia="Arial" w:hAnsi="Arial"/>
                <w:sz w:val="18"/>
                <w:szCs w:val="18"/>
                <w:color w:val="auto"/>
                <w:w w:val="89"/>
              </w:rPr>
              <w:t>Award and allocated to each of the three fiscal years of the Company ending during the Performance Period, with each</w:t>
            </w:r>
          </w:p>
        </w:tc>
      </w:tr>
      <w:tr>
        <w:trPr>
          <w:trHeight w:val="210"/>
        </w:trPr>
        <w:tc>
          <w:tcPr>
            <w:tcW w:w="2880" w:type="dxa"/>
            <w:vAlign w:val="bottom"/>
          </w:tcPr>
          <w:p>
            <w:pPr>
              <w:spacing w:after="0"/>
              <w:rPr>
                <w:sz w:val="18"/>
                <w:szCs w:val="18"/>
                <w:color w:val="auto"/>
              </w:rPr>
            </w:pPr>
          </w:p>
        </w:tc>
        <w:tc>
          <w:tcPr>
            <w:tcW w:w="8520" w:type="dxa"/>
            <w:vAlign w:val="bottom"/>
            <w:gridSpan w:val="12"/>
          </w:tcPr>
          <w:p>
            <w:pPr>
              <w:spacing w:after="0"/>
              <w:rPr>
                <w:sz w:val="20"/>
                <w:szCs w:val="20"/>
                <w:color w:val="auto"/>
              </w:rPr>
            </w:pPr>
            <w:r>
              <w:rPr>
                <w:rFonts w:ascii="Arial" w:cs="Arial" w:eastAsia="Arial" w:hAnsi="Arial"/>
                <w:sz w:val="18"/>
                <w:szCs w:val="18"/>
                <w:color w:val="auto"/>
                <w:w w:val="89"/>
              </w:rPr>
              <w:t>such fiscal year being considered a performance year (“Performance Year”). Importantly, each Tranche of Performance</w:t>
            </w:r>
          </w:p>
        </w:tc>
      </w:tr>
      <w:tr>
        <w:trPr>
          <w:trHeight w:val="190"/>
        </w:trPr>
        <w:tc>
          <w:tcPr>
            <w:tcW w:w="2880" w:type="dxa"/>
            <w:vAlign w:val="bottom"/>
          </w:tcPr>
          <w:p>
            <w:pPr>
              <w:spacing w:after="0"/>
              <w:rPr>
                <w:sz w:val="16"/>
                <w:szCs w:val="16"/>
                <w:color w:val="auto"/>
              </w:rPr>
            </w:pPr>
          </w:p>
        </w:tc>
        <w:tc>
          <w:tcPr>
            <w:tcW w:w="8520" w:type="dxa"/>
            <w:vAlign w:val="bottom"/>
            <w:gridSpan w:val="12"/>
          </w:tcPr>
          <w:p>
            <w:pPr>
              <w:spacing w:after="0" w:line="190" w:lineRule="exact"/>
              <w:rPr>
                <w:sz w:val="20"/>
                <w:szCs w:val="20"/>
                <w:color w:val="auto"/>
              </w:rPr>
            </w:pPr>
            <w:r>
              <w:rPr>
                <w:rFonts w:ascii="Arial" w:cs="Arial" w:eastAsia="Arial" w:hAnsi="Arial"/>
                <w:sz w:val="18"/>
                <w:szCs w:val="18"/>
                <w:color w:val="auto"/>
                <w:w w:val="88"/>
              </w:rPr>
              <w:t>RSUs must be “</w:t>
            </w:r>
            <w:r>
              <w:rPr>
                <w:rFonts w:ascii="Arial" w:cs="Arial" w:eastAsia="Arial" w:hAnsi="Arial"/>
                <w:sz w:val="18"/>
                <w:szCs w:val="18"/>
                <w:b w:val="1"/>
                <w:bCs w:val="1"/>
                <w:color w:val="auto"/>
                <w:w w:val="88"/>
              </w:rPr>
              <w:t>earned</w:t>
            </w:r>
            <w:r>
              <w:rPr>
                <w:rFonts w:ascii="Arial" w:cs="Arial" w:eastAsia="Arial" w:hAnsi="Arial"/>
                <w:sz w:val="18"/>
                <w:szCs w:val="18"/>
                <w:color w:val="auto"/>
                <w:w w:val="88"/>
              </w:rPr>
              <w:t>” and “</w:t>
            </w:r>
            <w:r>
              <w:rPr>
                <w:rFonts w:ascii="Arial" w:cs="Arial" w:eastAsia="Arial" w:hAnsi="Arial"/>
                <w:sz w:val="18"/>
                <w:szCs w:val="18"/>
                <w:b w:val="1"/>
                <w:bCs w:val="1"/>
                <w:color w:val="auto"/>
                <w:w w:val="88"/>
              </w:rPr>
              <w:t>vested</w:t>
            </w:r>
            <w:r>
              <w:rPr>
                <w:rFonts w:ascii="Arial" w:cs="Arial" w:eastAsia="Arial" w:hAnsi="Arial"/>
                <w:sz w:val="18"/>
                <w:szCs w:val="18"/>
                <w:color w:val="auto"/>
                <w:w w:val="88"/>
              </w:rPr>
              <w:t>” before it will be settled in the form of Shares of the Company. Except as otherwise</w:t>
            </w:r>
          </w:p>
        </w:tc>
      </w:tr>
      <w:tr>
        <w:trPr>
          <w:trHeight w:val="20"/>
        </w:trPr>
        <w:tc>
          <w:tcPr>
            <w:tcW w:w="2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880" w:type="dxa"/>
            <w:vAlign w:val="bottom"/>
          </w:tcPr>
          <w:p>
            <w:pPr>
              <w:spacing w:after="0"/>
              <w:rPr>
                <w:sz w:val="17"/>
                <w:szCs w:val="17"/>
                <w:color w:val="auto"/>
              </w:rPr>
            </w:pPr>
          </w:p>
        </w:tc>
        <w:tc>
          <w:tcPr>
            <w:tcW w:w="8520" w:type="dxa"/>
            <w:vAlign w:val="bottom"/>
            <w:gridSpan w:val="12"/>
          </w:tcPr>
          <w:p>
            <w:pPr>
              <w:spacing w:after="0" w:line="196" w:lineRule="exact"/>
              <w:rPr>
                <w:sz w:val="20"/>
                <w:szCs w:val="20"/>
                <w:color w:val="auto"/>
              </w:rPr>
            </w:pPr>
            <w:r>
              <w:rPr>
                <w:rFonts w:ascii="Arial" w:cs="Arial" w:eastAsia="Arial" w:hAnsi="Arial"/>
                <w:sz w:val="18"/>
                <w:szCs w:val="18"/>
                <w:color w:val="auto"/>
                <w:w w:val="88"/>
              </w:rPr>
              <w:t xml:space="preserve">provided herein, (i) each Tranche of Performance RSUs will be deemed </w:t>
            </w:r>
            <w:r>
              <w:rPr>
                <w:rFonts w:ascii="Arial" w:cs="Arial" w:eastAsia="Arial" w:hAnsi="Arial"/>
                <w:sz w:val="18"/>
                <w:szCs w:val="18"/>
                <w:b w:val="1"/>
                <w:bCs w:val="1"/>
                <w:color w:val="auto"/>
                <w:w w:val="88"/>
              </w:rPr>
              <w:t>earned</w:t>
            </w:r>
            <w:r>
              <w:rPr>
                <w:rFonts w:ascii="Arial" w:cs="Arial" w:eastAsia="Arial" w:hAnsi="Arial"/>
                <w:sz w:val="18"/>
                <w:szCs w:val="18"/>
                <w:color w:val="auto"/>
                <w:w w:val="88"/>
              </w:rPr>
              <w:t xml:space="preserve"> only if the Net Income (as defined in the</w:t>
            </w:r>
          </w:p>
        </w:tc>
      </w:tr>
      <w:tr>
        <w:trPr>
          <w:trHeight w:val="20"/>
        </w:trPr>
        <w:tc>
          <w:tcPr>
            <w:tcW w:w="28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28"/>
        </w:trPr>
        <w:tc>
          <w:tcPr>
            <w:tcW w:w="2880" w:type="dxa"/>
            <w:vAlign w:val="bottom"/>
          </w:tcPr>
          <w:p>
            <w:pPr>
              <w:spacing w:after="0"/>
              <w:rPr>
                <w:sz w:val="19"/>
                <w:szCs w:val="19"/>
                <w:color w:val="auto"/>
              </w:rPr>
            </w:pPr>
          </w:p>
        </w:tc>
        <w:tc>
          <w:tcPr>
            <w:tcW w:w="8520" w:type="dxa"/>
            <w:vAlign w:val="bottom"/>
            <w:gridSpan w:val="12"/>
          </w:tcPr>
          <w:p>
            <w:pPr>
              <w:spacing w:after="0"/>
              <w:rPr>
                <w:sz w:val="20"/>
                <w:szCs w:val="20"/>
                <w:color w:val="auto"/>
              </w:rPr>
            </w:pPr>
            <w:r>
              <w:rPr>
                <w:rFonts w:ascii="Arial" w:cs="Arial" w:eastAsia="Arial" w:hAnsi="Arial"/>
                <w:sz w:val="18"/>
                <w:szCs w:val="18"/>
                <w:b w:val="1"/>
                <w:bCs w:val="1"/>
                <w:color w:val="auto"/>
                <w:w w:val="97"/>
              </w:rPr>
              <w:t xml:space="preserve">[Insert XX] </w:t>
            </w:r>
            <w:r>
              <w:rPr>
                <w:rFonts w:ascii="Arial" w:cs="Arial" w:eastAsia="Arial" w:hAnsi="Arial"/>
                <w:sz w:val="18"/>
                <w:szCs w:val="18"/>
                <w:color w:val="auto"/>
                <w:w w:val="97"/>
              </w:rPr>
              <w:t>Restricted Stock Unit/Performance Unit Terms and Conditions) of the Company for the applicable</w:t>
            </w:r>
          </w:p>
        </w:tc>
      </w:tr>
      <w:tr>
        <w:trPr>
          <w:trHeight w:val="184"/>
        </w:trPr>
        <w:tc>
          <w:tcPr>
            <w:tcW w:w="2880" w:type="dxa"/>
            <w:vAlign w:val="bottom"/>
          </w:tcPr>
          <w:p>
            <w:pPr>
              <w:spacing w:after="0"/>
              <w:rPr>
                <w:sz w:val="15"/>
                <w:szCs w:val="15"/>
                <w:color w:val="auto"/>
              </w:rPr>
            </w:pPr>
          </w:p>
        </w:tc>
        <w:tc>
          <w:tcPr>
            <w:tcW w:w="8520" w:type="dxa"/>
            <w:vAlign w:val="bottom"/>
            <w:gridSpan w:val="12"/>
          </w:tcPr>
          <w:p>
            <w:pPr>
              <w:spacing w:after="0" w:line="184" w:lineRule="exact"/>
              <w:rPr>
                <w:sz w:val="20"/>
                <w:szCs w:val="20"/>
                <w:color w:val="auto"/>
              </w:rPr>
            </w:pPr>
            <w:r>
              <w:rPr>
                <w:rFonts w:ascii="Arial" w:cs="Arial" w:eastAsia="Arial" w:hAnsi="Arial"/>
                <w:sz w:val="18"/>
                <w:szCs w:val="18"/>
                <w:color w:val="auto"/>
                <w:w w:val="96"/>
              </w:rPr>
              <w:t>Performance Year meets or exceeds the threshold level established by the Compensation Committee for such</w:t>
            </w:r>
          </w:p>
        </w:tc>
      </w:tr>
      <w:tr>
        <w:trPr>
          <w:trHeight w:val="20"/>
        </w:trPr>
        <w:tc>
          <w:tcPr>
            <w:tcW w:w="288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880" w:type="dxa"/>
            <w:vAlign w:val="bottom"/>
          </w:tcPr>
          <w:p>
            <w:pPr>
              <w:spacing w:after="0"/>
              <w:rPr>
                <w:sz w:val="17"/>
                <w:szCs w:val="17"/>
                <w:color w:val="auto"/>
              </w:rPr>
            </w:pPr>
          </w:p>
        </w:tc>
        <w:tc>
          <w:tcPr>
            <w:tcW w:w="8520" w:type="dxa"/>
            <w:vAlign w:val="bottom"/>
            <w:gridSpan w:val="12"/>
          </w:tcPr>
          <w:p>
            <w:pPr>
              <w:spacing w:after="0" w:line="196" w:lineRule="exact"/>
              <w:rPr>
                <w:sz w:val="20"/>
                <w:szCs w:val="20"/>
                <w:color w:val="auto"/>
              </w:rPr>
            </w:pPr>
            <w:r>
              <w:rPr>
                <w:rFonts w:ascii="Arial" w:cs="Arial" w:eastAsia="Arial" w:hAnsi="Arial"/>
                <w:sz w:val="18"/>
                <w:szCs w:val="18"/>
                <w:color w:val="auto"/>
                <w:w w:val="92"/>
              </w:rPr>
              <w:t xml:space="preserve">Performance Year, and (ii) each Tranche of Performance RSUs will be deemed </w:t>
            </w:r>
            <w:r>
              <w:rPr>
                <w:rFonts w:ascii="Arial" w:cs="Arial" w:eastAsia="Arial" w:hAnsi="Arial"/>
                <w:sz w:val="18"/>
                <w:szCs w:val="18"/>
                <w:b w:val="1"/>
                <w:bCs w:val="1"/>
                <w:color w:val="auto"/>
                <w:w w:val="92"/>
              </w:rPr>
              <w:t>vested</w:t>
            </w:r>
            <w:r>
              <w:rPr>
                <w:rFonts w:ascii="Arial" w:cs="Arial" w:eastAsia="Arial" w:hAnsi="Arial"/>
                <w:sz w:val="18"/>
                <w:szCs w:val="18"/>
                <w:color w:val="auto"/>
                <w:w w:val="92"/>
              </w:rPr>
              <w:t xml:space="preserve"> only if you are continuously</w:t>
            </w:r>
          </w:p>
        </w:tc>
      </w:tr>
      <w:tr>
        <w:trPr>
          <w:trHeight w:val="196"/>
        </w:trPr>
        <w:tc>
          <w:tcPr>
            <w:tcW w:w="2880" w:type="dxa"/>
            <w:vAlign w:val="bottom"/>
          </w:tcPr>
          <w:p>
            <w:pPr>
              <w:spacing w:after="0"/>
              <w:rPr>
                <w:sz w:val="17"/>
                <w:szCs w:val="17"/>
                <w:color w:val="auto"/>
              </w:rPr>
            </w:pPr>
          </w:p>
        </w:tc>
        <w:tc>
          <w:tcPr>
            <w:tcW w:w="5600" w:type="dxa"/>
            <w:vAlign w:val="bottom"/>
            <w:gridSpan w:val="10"/>
          </w:tcPr>
          <w:p>
            <w:pPr>
              <w:spacing w:after="0" w:line="196" w:lineRule="exact"/>
              <w:rPr>
                <w:sz w:val="20"/>
                <w:szCs w:val="20"/>
                <w:color w:val="auto"/>
              </w:rPr>
            </w:pPr>
            <w:r>
              <w:rPr>
                <w:rFonts w:ascii="Arial" w:cs="Arial" w:eastAsia="Arial" w:hAnsi="Arial"/>
                <w:sz w:val="18"/>
                <w:szCs w:val="18"/>
                <w:color w:val="auto"/>
              </w:rPr>
              <w:t>employed with the Company throughout the Performance Period.</w:t>
            </w:r>
          </w:p>
        </w:tc>
        <w:tc>
          <w:tcPr>
            <w:tcW w:w="440" w:type="dxa"/>
            <w:vAlign w:val="bottom"/>
            <w:tcBorders>
              <w:top w:val="single" w:sz="8" w:color="auto"/>
            </w:tcBorders>
          </w:tcPr>
          <w:p>
            <w:pPr>
              <w:spacing w:after="0"/>
              <w:rPr>
                <w:sz w:val="17"/>
                <w:szCs w:val="17"/>
                <w:color w:val="auto"/>
              </w:rPr>
            </w:pPr>
          </w:p>
        </w:tc>
        <w:tc>
          <w:tcPr>
            <w:tcW w:w="248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Performance Level* for each Tranche</w:t>
            </w: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w w:val="96"/>
              </w:rPr>
              <w:t>Performance Level Attainment as % of</w:t>
            </w:r>
          </w:p>
        </w:tc>
        <w:tc>
          <w:tcPr>
            <w:tcW w:w="26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5"/>
              </w:rPr>
              <w:t>Threshold</w:t>
            </w:r>
          </w:p>
        </w:tc>
        <w:tc>
          <w:tcPr>
            <w:tcW w:w="240" w:type="dxa"/>
            <w:vAlign w:val="bottom"/>
          </w:tcPr>
          <w:p>
            <w:pPr>
              <w:spacing w:after="0"/>
              <w:rPr>
                <w:sz w:val="13"/>
                <w:szCs w:val="13"/>
                <w:color w:val="auto"/>
              </w:rPr>
            </w:pPr>
          </w:p>
        </w:tc>
        <w:tc>
          <w:tcPr>
            <w:tcW w:w="26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8"/>
              </w:rPr>
              <w:t>Target</w:t>
            </w:r>
          </w:p>
        </w:tc>
        <w:tc>
          <w:tcPr>
            <w:tcW w:w="220" w:type="dxa"/>
            <w:vAlign w:val="bottom"/>
          </w:tcPr>
          <w:p>
            <w:pPr>
              <w:spacing w:after="0"/>
              <w:rPr>
                <w:sz w:val="13"/>
                <w:szCs w:val="13"/>
                <w:color w:val="auto"/>
              </w:rPr>
            </w:pPr>
          </w:p>
        </w:tc>
        <w:tc>
          <w:tcPr>
            <w:tcW w:w="25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5"/>
              </w:rPr>
              <w:t>Excellence</w:t>
            </w:r>
          </w:p>
        </w:tc>
        <w:tc>
          <w:tcPr>
            <w:tcW w:w="0" w:type="dxa"/>
            <w:vAlign w:val="bottom"/>
          </w:tcPr>
          <w:p>
            <w:pPr>
              <w:spacing w:after="0"/>
              <w:rPr>
                <w:sz w:val="1"/>
                <w:szCs w:val="1"/>
                <w:color w:val="auto"/>
              </w:rPr>
            </w:pPr>
          </w:p>
        </w:tc>
      </w:tr>
      <w:tr>
        <w:trPr>
          <w:trHeight w:val="182"/>
        </w:trPr>
        <w:tc>
          <w:tcPr>
            <w:tcW w:w="3200" w:type="dxa"/>
            <w:vAlign w:val="bottom"/>
            <w:vMerge w:val="continue"/>
          </w:tcPr>
          <w:p>
            <w:pPr>
              <w:spacing w:after="0"/>
              <w:rPr>
                <w:sz w:val="15"/>
                <w:szCs w:val="15"/>
                <w:color w:val="auto"/>
              </w:rPr>
            </w:pPr>
          </w:p>
        </w:tc>
        <w:tc>
          <w:tcPr>
            <w:tcW w:w="28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[Insert XX]</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Target [Insert XX]</w:t>
            </w:r>
          </w:p>
        </w:tc>
        <w:tc>
          <w:tcPr>
            <w:tcW w:w="2880" w:type="dxa"/>
            <w:vAlign w:val="bottom"/>
            <w:gridSpan w:val="2"/>
            <w:vMerge w:val="continue"/>
          </w:tcPr>
          <w:p>
            <w:pPr>
              <w:spacing w:after="0"/>
              <w:rPr>
                <w:sz w:val="18"/>
                <w:szCs w:val="18"/>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w w:val="96"/>
              </w:rPr>
              <w:t>Performance Level Attainment as % of</w:t>
            </w:r>
          </w:p>
        </w:tc>
        <w:tc>
          <w:tcPr>
            <w:tcW w:w="28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28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[Insert XX]</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Target [Insert XX]</w:t>
            </w:r>
          </w:p>
        </w:tc>
        <w:tc>
          <w:tcPr>
            <w:tcW w:w="2880" w:type="dxa"/>
            <w:vAlign w:val="bottom"/>
            <w:gridSpan w:val="2"/>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w w:val="96"/>
              </w:rPr>
              <w:t>Performance Level Attainment as % of</w:t>
            </w:r>
          </w:p>
        </w:tc>
        <w:tc>
          <w:tcPr>
            <w:tcW w:w="28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28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[Insert XX]</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Target [Insert XX]</w:t>
            </w:r>
          </w:p>
        </w:tc>
        <w:tc>
          <w:tcPr>
            <w:tcW w:w="2880" w:type="dxa"/>
            <w:vAlign w:val="bottom"/>
            <w:gridSpan w:val="2"/>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Payout level** for Tranche of</w:t>
            </w:r>
          </w:p>
        </w:tc>
        <w:tc>
          <w:tcPr>
            <w:tcW w:w="28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28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[Insert XX]</w:t>
            </w:r>
          </w:p>
        </w:tc>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[Insert XX]</w:t>
            </w: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Performance RSUs</w:t>
            </w:r>
          </w:p>
        </w:tc>
        <w:tc>
          <w:tcPr>
            <w:tcW w:w="2880" w:type="dxa"/>
            <w:vAlign w:val="bottom"/>
            <w:gridSpan w:val="2"/>
            <w:vMerge w:val="continue"/>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80" w:hanging="452"/>
        <w:spacing w:after="0" w:line="284"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 The actual number of Performance RSUs allocated to each Tranche that can be earned under this Award Agreement is based on the level of performance achieved (as summarized in the table above) during the applicable Performance Year and can range from 0% of the “Target” (for performance levels below the “Threshold” level) to a maximum of </w:t>
      </w:r>
      <w:r>
        <w:rPr>
          <w:rFonts w:ascii="Arial" w:cs="Arial" w:eastAsia="Arial" w:hAnsi="Arial"/>
          <w:sz w:val="16"/>
          <w:szCs w:val="16"/>
          <w:b w:val="1"/>
          <w:bCs w:val="1"/>
          <w:color w:val="auto"/>
        </w:rPr>
        <w:t>[Insert XX]</w:t>
      </w:r>
      <w:r>
        <w:rPr>
          <w:rFonts w:ascii="Arial" w:cs="Arial" w:eastAsia="Arial" w:hAnsi="Arial"/>
          <w:sz w:val="16"/>
          <w:szCs w:val="16"/>
          <w:color w:val="auto"/>
        </w:rPr>
        <w:t xml:space="preserve"> of the “Target” (for performance levels at or above the “Excellence” level).</w:t>
      </w:r>
    </w:p>
    <w:p>
      <w:pPr>
        <w:spacing w:after="0" w:line="1" w:lineRule="exact"/>
        <w:rPr>
          <w:sz w:val="20"/>
          <w:szCs w:val="20"/>
          <w:color w:val="auto"/>
        </w:rPr>
      </w:pPr>
    </w:p>
    <w:p>
      <w:pPr>
        <w:ind w:left="460" w:right="100" w:hanging="452"/>
        <w:spacing w:after="0" w:line="261"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Payout levels for each Tranche of Performance RSUs are based on the attained percentage of the target Net Income for each respective Performance Year (using linear interpolation for results falling between the three performance levels).</w:t>
      </w:r>
    </w:p>
    <w:p>
      <w:pPr>
        <w:sectPr>
          <w:pgSz w:w="11900" w:h="16838" w:orient="portrait"/>
          <w:cols w:equalWidth="0" w:num="1">
            <w:col w:w="11420"/>
          </w:cols>
          <w:pgMar w:left="240" w:top="275"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Service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general, should your Service with Vera Bradley be terminated prior to the last day of the Performance Period, all then outstanding Performance RSUs (whether or not one or more Tranches have been earned as a result of the Net Income for such Performance Year) will be forfeited to the Company. However, the following provisions will apply if, during the Performance Period, you cease providing Services due to death, Disability or Retirement (and provided that you have not otherwise engaged in an act that would constitute Cause):</w:t>
      </w:r>
    </w:p>
    <w:p>
      <w:pPr>
        <w:spacing w:after="0" w:line="56" w:lineRule="exact"/>
        <w:rPr>
          <w:sz w:val="20"/>
          <w:szCs w:val="20"/>
          <w:color w:val="auto"/>
        </w:rPr>
      </w:pPr>
    </w:p>
    <w:p>
      <w:pPr>
        <w:sectPr>
          <w:pgSz w:w="11900" w:h="16838" w:orient="portrait"/>
          <w:cols w:equalWidth="0" w:num="2">
            <w:col w:w="2160" w:space="720"/>
            <w:col w:w="8540"/>
          </w:cols>
          <w:pgMar w:left="240" w:top="275" w:right="239" w:bottom="1440" w:gutter="0" w:footer="0" w:header="0"/>
          <w:type w:val="continuous"/>
        </w:sectPr>
      </w:pPr>
    </w:p>
    <w:p>
      <w:pPr>
        <w:ind w:left="3640" w:right="80" w:hanging="323"/>
        <w:spacing w:after="0" w:line="258" w:lineRule="auto"/>
        <w:tabs>
          <w:tab w:leader="none" w:pos="3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Death or Disability</w:t>
      </w:r>
      <w:r>
        <w:rPr>
          <w:rFonts w:ascii="Arial" w:cs="Arial" w:eastAsia="Arial" w:hAnsi="Arial"/>
          <w:sz w:val="18"/>
          <w:szCs w:val="18"/>
          <w:color w:val="auto"/>
        </w:rPr>
        <w:t>: In the event that your Service with the Company terminates as a result of your death or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during the Performance Period, (i) with respect to Performance Years that have been completed at the time of such death or Disability, each such Tranche shall be earned only to the extent of actual performance for such Performance Year, and (ii) with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5" w:right="239" w:bottom="1440" w:gutter="0" w:footer="0" w:header="0"/>
          <w:type w:val="continuous"/>
        </w:sectPr>
      </w:pPr>
    </w:p>
    <w:bookmarkStart w:id="45" w:name="page46"/>
    <w:bookmarkEnd w:id="45"/>
    <w:p>
      <w:pPr>
        <w:ind w:left="37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Performance Years that have not been completed at the time of such death or Disability, each such Tranche shall be deemed to be earned based on the “Target” level of performance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“Disability” shall have the meaning assigned to such term in the 2010 Plan.</w:t>
      </w:r>
    </w:p>
    <w:p>
      <w:pPr>
        <w:sectPr>
          <w:pgSz w:w="11900" w:h="16838" w:orient="portrait"/>
          <w:cols w:equalWidth="0" w:num="1">
            <w:col w:w="11420"/>
          </w:cols>
          <w:pgMar w:left="240" w:top="280" w:right="239" w:bottom="1440" w:gutter="0" w:footer="0" w:header="0"/>
        </w:sectPr>
      </w:pPr>
    </w:p>
    <w:p>
      <w:pPr>
        <w:spacing w:after="0" w:line="3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firstLine="1"/>
        <w:spacing w:after="0" w:line="288" w:lineRule="auto"/>
        <w:rPr>
          <w:sz w:val="20"/>
          <w:szCs w:val="20"/>
          <w:color w:val="auto"/>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In the event your Service terminates as a result of your Retirement during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each Tranche of outstanding Awards shall be treated as earned (i) with respect to Performance Years that have been completed at the time of such Retirement, each such Tranche shall be earned and vested only to the extent of actual performance for such Performance Year, and (ii) with respect to Performance Years that have not been completed at the time of such Retirement, each such Tranche shall be deemed to be earned based on the actual performance level attained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“Retirement” shall have the meaning assigned to such term in the 2010 Plan.</w:t>
      </w:r>
    </w:p>
    <w:p>
      <w:pPr>
        <w:spacing w:after="0" w:line="40" w:lineRule="exact"/>
        <w:rPr>
          <w:sz w:val="20"/>
          <w:szCs w:val="20"/>
          <w:color w:val="auto"/>
        </w:rPr>
      </w:pPr>
    </w:p>
    <w:p>
      <w:pPr>
        <w:sectPr>
          <w:pgSz w:w="11900" w:h="16838" w:orient="portrait"/>
          <w:cols w:equalWidth="0" w:num="2">
            <w:col w:w="3480" w:space="260"/>
            <w:col w:w="7680"/>
          </w:cols>
          <w:pgMar w:left="240" w:top="280" w:right="239" w:bottom="1440" w:gutter="0" w:footer="0" w:header="0"/>
          <w:type w:val="continuous"/>
        </w:sectPr>
      </w:pPr>
    </w:p>
    <w:p>
      <w:pPr>
        <w:ind w:left="2880" w:right="300"/>
        <w:spacing w:after="0" w:line="259" w:lineRule="auto"/>
        <w:rPr>
          <w:sz w:val="20"/>
          <w:szCs w:val="20"/>
          <w:color w:val="auto"/>
        </w:rPr>
      </w:pPr>
      <w:r>
        <w:rPr>
          <w:rFonts w:ascii="Arial" w:cs="Arial" w:eastAsia="Arial" w:hAnsi="Arial"/>
          <w:sz w:val="18"/>
          <w:szCs w:val="18"/>
          <w:color w:val="auto"/>
        </w:rPr>
        <w:t>If your Service with the Company shall terminate during the Performance Period for any reason other than death, Disability, or Retirement, all Performance RSUs granted hereunder (whether or not a Tranche was previously earned) shall be forfeited to the Company.</w:t>
      </w:r>
    </w:p>
    <w:p>
      <w:pPr>
        <w:sectPr>
          <w:pgSz w:w="11900" w:h="16838" w:orient="portrait"/>
          <w:cols w:equalWidth="0" w:num="1">
            <w:col w:w="11420"/>
          </w:cols>
          <w:pgMar w:left="240" w:top="280" w:right="2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Control</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Notwithstanding anything to the contrary in this Award Agreement, in the event of the consummation of a Change in Control of the Company (and provided that you remain continuously employed with the Company until such Change in</w:t>
      </w:r>
    </w:p>
    <w:p>
      <w:pPr>
        <w:spacing w:after="0" w:line="1" w:lineRule="exact"/>
        <w:rPr>
          <w:sz w:val="20"/>
          <w:szCs w:val="20"/>
          <w:color w:val="auto"/>
        </w:rPr>
      </w:pPr>
    </w:p>
    <w:p>
      <w:pPr>
        <w:sectPr>
          <w:pgSz w:w="11900" w:h="16838" w:orient="portrait"/>
          <w:cols w:equalWidth="0" w:num="2">
            <w:col w:w="2160" w:space="720"/>
            <w:col w:w="8540"/>
          </w:cols>
          <w:pgMar w:left="240" w:top="280" w:right="239" w:bottom="1440" w:gutter="0" w:footer="0" w:header="0"/>
          <w:type w:val="continuous"/>
        </w:sectPr>
      </w:pPr>
    </w:p>
    <w:p>
      <w:pPr>
        <w:ind w:left="2880" w:right="380"/>
        <w:spacing w:after="0" w:line="254" w:lineRule="auto"/>
        <w:rPr>
          <w:sz w:val="20"/>
          <w:szCs w:val="20"/>
          <w:color w:val="auto"/>
        </w:rPr>
      </w:pPr>
      <w:r>
        <w:rPr>
          <w:rFonts w:ascii="Arial" w:cs="Arial" w:eastAsia="Arial" w:hAnsi="Arial"/>
          <w:sz w:val="18"/>
          <w:szCs w:val="18"/>
          <w:color w:val="auto"/>
        </w:rPr>
        <w:t>Control) during the Performance Period, then each Tranche of outstanding Awards shall be treated as earned (i) with respect to Performance Years that have been completed at the time of such Change in Control, such Tranche shall be earned and vested only to the extent of actual performance for such Performance Year, and (ii) with respect to Performance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87"/>
              </w:rPr>
              <w:t>that have not been completed at the time of such Change in Control, each such Tranche shall be deemed to be earned at</w:t>
            </w:r>
          </w:p>
        </w:tc>
      </w:tr>
      <w:tr>
        <w:trPr>
          <w:trHeight w:val="20"/>
        </w:trPr>
        <w:tc>
          <w:tcPr>
            <w:tcW w:w="2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28"/>
        </w:trPr>
        <w:tc>
          <w:tcPr>
            <w:tcW w:w="2140" w:type="dxa"/>
            <w:vAlign w:val="bottom"/>
          </w:tcPr>
          <w:p>
            <w:pPr>
              <w:spacing w:after="0"/>
              <w:rPr>
                <w:sz w:val="19"/>
                <w:szCs w:val="19"/>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0"/>
              </w:rPr>
              <w:t>the Target level, with any such earned Performance RSUs becoming fully vested. Performance RSUs payable upon a</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0"/>
              </w:rPr>
              <w:t>Change in Control shall be paid immediately prior to the Change in Control in the form of one Share of Company stock</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1"/>
              </w:rPr>
              <w:t>for each vested Performance RSU. Partial Shares (along with any accumulated dividends) will be paid in cash at the</w:t>
            </w:r>
          </w:p>
        </w:tc>
      </w:tr>
      <w:tr>
        <w:trPr>
          <w:trHeight w:val="222"/>
        </w:trPr>
        <w:tc>
          <w:tcPr>
            <w:tcW w:w="2140" w:type="dxa"/>
            <w:vAlign w:val="bottom"/>
          </w:tcPr>
          <w:p>
            <w:pPr>
              <w:spacing w:after="0"/>
              <w:rPr>
                <w:sz w:val="19"/>
                <w:szCs w:val="19"/>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rPr>
              <w:t>same time the Shares are delivered.</w:t>
            </w:r>
          </w:p>
        </w:tc>
      </w:tr>
      <w:tr>
        <w:trPr>
          <w:trHeight w:val="318"/>
        </w:trPr>
        <w:tc>
          <w:tcPr>
            <w:tcW w:w="2140" w:type="dxa"/>
            <w:vAlign w:val="bottom"/>
          </w:tcPr>
          <w:p>
            <w:pPr>
              <w:spacing w:after="0"/>
              <w:rPr>
                <w:sz w:val="20"/>
                <w:szCs w:val="20"/>
                <w:color w:val="auto"/>
              </w:rPr>
            </w:pPr>
            <w:r>
              <w:rPr>
                <w:rFonts w:ascii="Arial" w:cs="Arial" w:eastAsia="Arial" w:hAnsi="Arial"/>
                <w:sz w:val="18"/>
                <w:szCs w:val="18"/>
                <w:b w:val="1"/>
                <w:bCs w:val="1"/>
                <w:color w:val="auto"/>
              </w:rPr>
              <w:t>Settlement</w:t>
            </w: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86"/>
              </w:rPr>
              <w:t>Except as it applies to Tranches that are deemed to be earned at “Target” and become payable due to a Change in Control</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89"/>
              </w:rPr>
              <w:t>or due to termination of Service as a result of death or Disability, no Awards will become payable unless the Committee</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6"/>
              </w:rPr>
              <w:t>certifies that the performance goals in the Award Agreement have been attained with respect to the applicable</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1"/>
              </w:rPr>
              <w:t>Performance Year during the Performance Period in a manner that complies with Code Section 162(m) and the 2010</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1"/>
              </w:rPr>
              <w:t>Plan. Any earned Performance RSUs will be paid in the form of one Share of Company stock for each earned whole</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89"/>
              </w:rPr>
              <w:t>Performance RSU. Delivery of the Share(s) will be made, including delivery with respect to a Disabled Participant, or to</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89"/>
              </w:rPr>
              <w:t>the estate of a deceased Participant, after the end of the Performance Period and not later than the 15th day of the third</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0"/>
              </w:rPr>
              <w:t>month following the end of the Performance Period. Shares will be credited to an account established for the benefit of</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1"/>
              </w:rPr>
              <w:t>the Participant with the Company’s administrative agent. The Participant will have full legal and beneficial ownership</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89"/>
              </w:rPr>
              <w:t>with respect to the Shares at that time. Partial Shares (along with any accumulated dividends) will be paid in cash at the</w:t>
            </w:r>
          </w:p>
        </w:tc>
      </w:tr>
      <w:tr>
        <w:trPr>
          <w:trHeight w:val="222"/>
        </w:trPr>
        <w:tc>
          <w:tcPr>
            <w:tcW w:w="2140" w:type="dxa"/>
            <w:vAlign w:val="bottom"/>
          </w:tcPr>
          <w:p>
            <w:pPr>
              <w:spacing w:after="0"/>
              <w:rPr>
                <w:sz w:val="19"/>
                <w:szCs w:val="19"/>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rPr>
              <w:t>same time the Shares are delivered.</w:t>
            </w:r>
          </w:p>
        </w:tc>
      </w:tr>
      <w:tr>
        <w:trPr>
          <w:trHeight w:val="318"/>
        </w:trPr>
        <w:tc>
          <w:tcPr>
            <w:tcW w:w="2140" w:type="dxa"/>
            <w:vAlign w:val="bottom"/>
          </w:tcPr>
          <w:p>
            <w:pPr>
              <w:spacing w:after="0"/>
              <w:rPr>
                <w:sz w:val="20"/>
                <w:szCs w:val="20"/>
                <w:color w:val="auto"/>
              </w:rPr>
            </w:pPr>
            <w:r>
              <w:rPr>
                <w:rFonts w:ascii="Arial" w:cs="Arial" w:eastAsia="Arial" w:hAnsi="Arial"/>
                <w:sz w:val="18"/>
                <w:szCs w:val="18"/>
                <w:b w:val="1"/>
                <w:bCs w:val="1"/>
                <w:color w:val="auto"/>
              </w:rPr>
              <w:t>Withholding Taxes</w:t>
            </w: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2"/>
              </w:rPr>
              <w:t>You acknowledge and agree that the Company shall have the power and the right to deduct or withhold, an amount</w:t>
            </w:r>
          </w:p>
        </w:tc>
      </w:tr>
      <w:tr>
        <w:trPr>
          <w:trHeight w:val="216"/>
        </w:trPr>
        <w:tc>
          <w:tcPr>
            <w:tcW w:w="2140" w:type="dxa"/>
            <w:vAlign w:val="bottom"/>
          </w:tcPr>
          <w:p>
            <w:pPr>
              <w:spacing w:after="0"/>
              <w:rPr>
                <w:sz w:val="18"/>
                <w:szCs w:val="18"/>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w w:val="90"/>
              </w:rPr>
              <w:t>sufficient to satisfy federal, state, and local taxes (including your FICA obligation), domestic or foreign, required by law</w:t>
            </w:r>
          </w:p>
        </w:tc>
      </w:tr>
      <w:tr>
        <w:trPr>
          <w:trHeight w:val="222"/>
        </w:trPr>
        <w:tc>
          <w:tcPr>
            <w:tcW w:w="2140" w:type="dxa"/>
            <w:vAlign w:val="bottom"/>
          </w:tcPr>
          <w:p>
            <w:pPr>
              <w:spacing w:after="0"/>
              <w:rPr>
                <w:sz w:val="19"/>
                <w:szCs w:val="19"/>
                <w:color w:val="auto"/>
              </w:rPr>
            </w:pP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rPr>
              <w:t>to be withheld with respect to this Award.</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20"/>
        <w:spacing w:after="0" w:line="298" w:lineRule="auto"/>
        <w:rPr>
          <w:sz w:val="20"/>
          <w:szCs w:val="20"/>
          <w:color w:val="auto"/>
        </w:rPr>
      </w:pPr>
      <w:r>
        <w:rPr>
          <w:rFonts w:ascii="Arial" w:cs="Arial" w:eastAsia="Arial" w:hAnsi="Arial"/>
          <w:sz w:val="16"/>
          <w:szCs w:val="16"/>
          <w:color w:val="auto"/>
        </w:rPr>
        <w:t>These Performance RSUs have been granted under and are governed by the terms and conditions of the Vera Bradley, Inc. 2010 Equity and Incentive Plan (the “2010 Plan”), as amended. The enclosed Statement of General Information and Availability of Information for the 2010 Plan forms part of a Section 10(a) prospectus covering securities that have been registered under the Securities Act of 1933, as amended. This document is also enclosed to provide further information and background. Any term capitalized herein but not defined will have the meaning set forth in the 2010 Plan.</w:t>
      </w:r>
    </w:p>
    <w:p>
      <w:pPr>
        <w:spacing w:after="0" w:line="1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 xml:space="preserve">Please see the enclosed </w:t>
      </w:r>
      <w:r>
        <w:rPr>
          <w:rFonts w:ascii="Arial" w:cs="Arial" w:eastAsia="Arial" w:hAnsi="Arial"/>
          <w:sz w:val="18"/>
          <w:szCs w:val="18"/>
          <w:b w:val="1"/>
          <w:bCs w:val="1"/>
          <w:color w:val="auto"/>
        </w:rPr>
        <w:t>[Insert XX]</w:t>
      </w:r>
      <w:r>
        <w:rPr>
          <w:rFonts w:ascii="Arial" w:cs="Arial" w:eastAsia="Arial" w:hAnsi="Arial"/>
          <w:sz w:val="18"/>
          <w:szCs w:val="18"/>
          <w:color w:val="auto"/>
        </w:rPr>
        <w:t xml:space="preserve"> Restricted Stock Unit/Performance Unit Terms and Conditions for further information regarding your Award. It is very important that you keep these documents in a safe place because they describe your rights and responsibilities under the Performance Units and 2010 Plan and explain where and how to obtain other documents and information to which you are entitled.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57" w:right="279" w:bottom="1440" w:gutter="0" w:footer="0" w:header="0"/>
        </w:sectPr>
      </w:pPr>
    </w:p>
    <w:bookmarkStart w:id="47" w:name="page48"/>
    <w:bookmarkEnd w:id="47"/>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 thank you for your continued contribution to the success of our organization! Your efforts are applauded and truly appreciated. If you have any questions regarding this discretionary grant, please contact Kevin Sierks in Finance or Julie North in Human Resources.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Blade</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Acknowledgement &amp; Acceptance of Award Agreement and Related Terms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By your signature and the signature of the Company’s representative (above) on this Award Agreement, you and the Company agree that this Award of Performance Units is granted under and governed by the terms and conditions of the 2010 Plan, the </w:t>
      </w:r>
      <w:r>
        <w:rPr>
          <w:rFonts w:ascii="Arial" w:cs="Arial" w:eastAsia="Arial" w:hAnsi="Arial"/>
          <w:sz w:val="16"/>
          <w:szCs w:val="16"/>
          <w:b w:val="1"/>
          <w:bCs w:val="1"/>
          <w:color w:val="auto"/>
        </w:rPr>
        <w:t>[Insert XX]</w:t>
      </w:r>
      <w:r>
        <w:rPr>
          <w:rFonts w:ascii="Arial" w:cs="Arial" w:eastAsia="Arial" w:hAnsi="Arial"/>
          <w:sz w:val="16"/>
          <w:szCs w:val="16"/>
          <w:color w:val="auto"/>
        </w:rPr>
        <w:t xml:space="preserve"> Restricted Stock Unit/Performance Unit Terms and Conditions and this Award Agreement. You acknowledge that you have reviewed the 2010 Plan, the </w:t>
      </w:r>
      <w:r>
        <w:rPr>
          <w:rFonts w:ascii="Arial" w:cs="Arial" w:eastAsia="Arial" w:hAnsi="Arial"/>
          <w:sz w:val="16"/>
          <w:szCs w:val="16"/>
          <w:b w:val="1"/>
          <w:bCs w:val="1"/>
          <w:color w:val="auto"/>
        </w:rPr>
        <w:t>[Insert XX]</w:t>
      </w:r>
      <w:r>
        <w:rPr>
          <w:rFonts w:ascii="Arial" w:cs="Arial" w:eastAsia="Arial" w:hAnsi="Arial"/>
          <w:sz w:val="16"/>
          <w:szCs w:val="16"/>
          <w:color w:val="auto"/>
        </w:rPr>
        <w:t xml:space="preserve"> Restricted Stock Unit/Performance Unit Terms and Conditions, and this Award Agreement in their entirety, have had an opportunity to obtain the advice of counsel prior to executing this Award Agreement, and fully understand all provisions of the 2010 Plan, the </w:t>
      </w:r>
      <w:r>
        <w:rPr>
          <w:rFonts w:ascii="Arial" w:cs="Arial" w:eastAsia="Arial" w:hAnsi="Arial"/>
          <w:sz w:val="16"/>
          <w:szCs w:val="16"/>
          <w:b w:val="1"/>
          <w:bCs w:val="1"/>
          <w:color w:val="auto"/>
        </w:rPr>
        <w:t>[Insert XX]</w:t>
      </w:r>
      <w:r>
        <w:rPr>
          <w:rFonts w:ascii="Arial" w:cs="Arial" w:eastAsia="Arial" w:hAnsi="Arial"/>
          <w:sz w:val="16"/>
          <w:szCs w:val="16"/>
          <w:color w:val="auto"/>
        </w:rPr>
        <w:t xml:space="preserve"> Restricted Stock Unit/Performance Unit Terms and Conditions and this Award Agreement. Further, by signing below, you hereby agree to (i) accept as binding, conclusive and final all decisions or interpretations of the Committee upon any questions relating to the 2010 Plan, the </w:t>
      </w:r>
      <w:r>
        <w:rPr>
          <w:rFonts w:ascii="Arial" w:cs="Arial" w:eastAsia="Arial" w:hAnsi="Arial"/>
          <w:sz w:val="16"/>
          <w:szCs w:val="16"/>
          <w:b w:val="1"/>
          <w:bCs w:val="1"/>
          <w:color w:val="auto"/>
        </w:rPr>
        <w:t>[Insert XX]</w:t>
      </w:r>
      <w:r>
        <w:rPr>
          <w:rFonts w:ascii="Arial" w:cs="Arial" w:eastAsia="Arial" w:hAnsi="Arial"/>
          <w:sz w:val="16"/>
          <w:szCs w:val="16"/>
          <w:color w:val="auto"/>
        </w:rPr>
        <w:t xml:space="preserve"> Restricted Stock Unit/Performance Unit Terms and Conditions and this Award Agreement, and (ii) notify the Company upon any change in your residence address.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40"/>
          </w:cols>
          <w:pgMar w:left="240" w:top="280" w:right="319" w:bottom="1440" w:gutter="0" w:footer="0" w:header="0"/>
        </w:sectPr>
      </w:pPr>
    </w:p>
    <w:bookmarkStart w:id="48" w:name="page49"/>
    <w:bookmarkEnd w:id="48"/>
    <w:p>
      <w:pPr>
        <w:ind w:left="53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Explanation of How Awards of Performance RSUs Were Determined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Award levels of grants of Performance RSUs were determined according to the following chart:</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Participant Level</w:t>
            </w:r>
          </w:p>
        </w:tc>
        <w:tc>
          <w:tcPr>
            <w:tcW w:w="4960" w:type="dxa"/>
            <w:vAlign w:val="bottom"/>
            <w:gridSpan w:val="2"/>
          </w:tcPr>
          <w:p>
            <w:pPr>
              <w:jc w:val="center"/>
              <w:ind w:left="3042"/>
              <w:spacing w:after="0"/>
              <w:rPr>
                <w:sz w:val="20"/>
                <w:szCs w:val="20"/>
                <w:color w:val="auto"/>
              </w:rPr>
            </w:pPr>
            <w:r>
              <w:rPr>
                <w:rFonts w:ascii="Arial" w:cs="Arial" w:eastAsia="Arial" w:hAnsi="Arial"/>
                <w:sz w:val="14"/>
                <w:szCs w:val="14"/>
                <w:b w:val="1"/>
                <w:bCs w:val="1"/>
                <w:color w:val="auto"/>
                <w:w w:val="88"/>
              </w:rPr>
              <w:t>Performance RSU Opportunity</w:t>
            </w: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CEO</w:t>
            </w: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5"/>
              </w:rPr>
              <w:t>[Insert XX]</w:t>
            </w: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M6 (EVP)</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5"/>
              </w:rPr>
              <w:t>[Insert XX]</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M5 and P7</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(VP)</w:t>
            </w:r>
          </w:p>
        </w:tc>
        <w:tc>
          <w:tcPr>
            <w:tcW w:w="3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[Insert XX]</w:t>
            </w:r>
          </w:p>
        </w:tc>
      </w:t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w w:val="92"/>
              </w:rPr>
              <w:t>M4 and P6</w:t>
            </w: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(Sr. Director)</w:t>
            </w:r>
          </w:p>
        </w:tc>
        <w:tc>
          <w:tcPr>
            <w:tcW w:w="31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5"/>
              </w:rPr>
              <w:t>[Insert XX]</w:t>
            </w:r>
          </w:p>
        </w:tc>
      </w:tr>
      <w:tr>
        <w:trPr>
          <w:trHeight w:val="350"/>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40" w:type="dxa"/>
            <w:vAlign w:val="bottom"/>
          </w:tcPr>
          <w:p>
            <w:pPr>
              <w:jc w:val="right"/>
              <w:ind w:right="1842"/>
              <w:spacing w:after="0"/>
              <w:rPr>
                <w:sz w:val="20"/>
                <w:szCs w:val="20"/>
                <w:color w:val="auto"/>
              </w:rPr>
            </w:pPr>
            <w:r>
              <w:rPr>
                <w:rFonts w:ascii="Arial" w:cs="Arial" w:eastAsia="Arial" w:hAnsi="Arial"/>
                <w:sz w:val="18"/>
                <w:szCs w:val="18"/>
                <w:color w:val="auto"/>
              </w:rPr>
              <w:t>- 6 -</w:t>
            </w:r>
          </w:p>
        </w:tc>
        <w:tc>
          <w:tcPr>
            <w:tcW w:w="182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3 TO AMENDED AND RESTATED CREDIT AGREEMENT</w:t>
      </w:r>
    </w:p>
    <w:p>
      <w:pPr>
        <w:spacing w:after="0" w:line="1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This Amendment No. 3 to Amended and Restated Credit Agreement (this “Amendment”) is entered into as of June 1, 2012 by and among Vera Bradley Designs, Inc., an Indiana corporation (the “Borrower”), the Lenders party hereto and JPMorgan Chase Bank, N.A, individually and as administrative agent (the “Administrative Agent).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The Borrower, the Administrative Agent and the Lenders are party to that certain Amended and Restated Credit Agreement dated as of October 4, 2010 (as previously amended, restated, supplemented or otherwise modified, the “Credit Agreement”). Unless otherwise specified herein, capitalized terms used in this Amendment shall have the meanings ascribed to them by the Credit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The Borrower, the Lenders party hereto and the Administrative Agent wish to amend the Credit Agreement on the terms and conditions set forth below.</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execution hereof and other good and valuable consideration, the parties hereto agree as follows: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Amendments to Credit Agreement</w:t>
      </w:r>
      <w:r>
        <w:rPr>
          <w:rFonts w:ascii="Arial" w:cs="Arial" w:eastAsia="Arial" w:hAnsi="Arial"/>
          <w:sz w:val="16"/>
          <w:szCs w:val="16"/>
          <w:color w:val="auto"/>
        </w:rPr>
        <w:t>. Upon the “Third Amendment Effective Date” (as defined below), the Credit Agreement shall be amended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84" w:lineRule="exact"/>
        <w:rPr>
          <w:sz w:val="20"/>
          <w:szCs w:val="20"/>
          <w:color w:val="auto"/>
        </w:rPr>
      </w:pPr>
    </w:p>
    <w:p>
      <w:pPr>
        <w:ind w:left="1500" w:right="1560" w:hanging="597"/>
        <w:spacing w:after="0" w:line="344" w:lineRule="auto"/>
        <w:tabs>
          <w:tab w:leader="none" w:pos="11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definition of “Revolving Maturity Date” in Section 1.01 shall be amended and restated in its entirety to read as follows: “</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means June 1, 2017.</w:t>
      </w: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6.01(f) shall be amended by deleting the amount “$8,000,000” contained therein and replacing it with “$15,000,000”.</w:t>
      </w:r>
    </w:p>
    <w:p>
      <w:pPr>
        <w:spacing w:after="0" w:line="171" w:lineRule="exact"/>
        <w:rPr>
          <w:sz w:val="20"/>
          <w:szCs w:val="20"/>
          <w:color w:val="auto"/>
        </w:rPr>
      </w:pPr>
    </w:p>
    <w:p>
      <w:pPr>
        <w:ind w:left="1100" w:hanging="179"/>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that:</w:t>
      </w:r>
    </w:p>
    <w:p>
      <w:pPr>
        <w:spacing w:after="0" w:line="90" w:lineRule="exact"/>
        <w:rPr>
          <w:sz w:val="20"/>
          <w:szCs w:val="20"/>
          <w:color w:val="auto"/>
        </w:rPr>
      </w:pPr>
    </w:p>
    <w:p>
      <w:pPr>
        <w:ind w:left="460" w:right="180" w:firstLine="443"/>
        <w:spacing w:after="0" w:line="256" w:lineRule="auto"/>
        <w:tabs>
          <w:tab w:leader="none" w:pos="11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execution, delivery and performance by the Borrower of this Amendment have been duly authorized by all necessary corporate action and that this Amendment is a legal, valid and binding obligation of the Borrower enforceable against the Borrower in accordance with its terms, except as the enforcement thereof may be subject to the effect of any applicable bankruptcy, insolvency, reorganization, moratorium or similar law affecting creditors’ rights generally or by general principles of equity;</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representations and warranties contained in the Credit Agreement (treating this Amendment as a Credit Document for purposes thereof) and the other Credit Documents is true and correct on and as of the date hereof (except to the extent that such representation or warranty expressly refers to an earlier date, in which case it shall be true and correct as of such earlier date); and</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No Default has occurred and is continuing.</w:t>
      </w:r>
    </w:p>
    <w:p>
      <w:pPr>
        <w:spacing w:after="0" w:line="171" w:lineRule="exact"/>
        <w:rPr>
          <w:sz w:val="20"/>
          <w:szCs w:val="20"/>
          <w:color w:val="auto"/>
        </w:rPr>
      </w:pPr>
    </w:p>
    <w:p>
      <w:pPr>
        <w:ind w:left="-900" w:right="80" w:firstLine="921"/>
        <w:spacing w:after="0" w:line="268" w:lineRule="auto"/>
        <w:tabs>
          <w:tab w:leader="none" w:pos="18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become effective on the date (the “Third Amendment Effective Date”) on which the following conditions have been satisfied:</w:t>
      </w:r>
    </w:p>
    <w:p>
      <w:pPr>
        <w:spacing w:after="0" w:line="51" w:lineRule="exact"/>
        <w:rPr>
          <w:sz w:val="20"/>
          <w:szCs w:val="20"/>
          <w:color w:val="auto"/>
        </w:rPr>
      </w:pPr>
    </w:p>
    <w:p>
      <w:pPr>
        <w:ind w:left="240" w:hanging="237"/>
        <w:spacing w:after="0"/>
        <w:tabs>
          <w:tab w:leader="none" w:pos="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execution and delivery hereof by the Borrower, each of the Lenders and the Administrative Agent;</w:t>
      </w:r>
    </w:p>
    <w:p>
      <w:pPr>
        <w:spacing w:after="0" w:line="90" w:lineRule="exact"/>
        <w:rPr>
          <w:rFonts w:ascii="Arial" w:cs="Arial" w:eastAsia="Arial" w:hAnsi="Arial"/>
          <w:sz w:val="18"/>
          <w:szCs w:val="18"/>
          <w:color w:val="auto"/>
        </w:rPr>
      </w:pPr>
    </w:p>
    <w:p>
      <w:pPr>
        <w:ind w:left="260" w:hanging="257"/>
        <w:spacing w:after="0"/>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execution and delivery by Holdings and each of the Subsidiary Guarantors of a Reaffirmation substantially in the form of Exhibit A hereto.</w:t>
      </w:r>
    </w:p>
    <w:p>
      <w:pPr>
        <w:spacing w:after="0" w:line="113" w:lineRule="exact"/>
        <w:rPr>
          <w:rFonts w:ascii="Arial" w:cs="Arial" w:eastAsia="Arial" w:hAnsi="Arial"/>
          <w:sz w:val="16"/>
          <w:szCs w:val="16"/>
          <w:color w:val="auto"/>
        </w:rPr>
      </w:pPr>
    </w:p>
    <w:p>
      <w:pPr>
        <w:ind w:left="-440" w:firstLine="443"/>
        <w:spacing w:after="0" w:line="268" w:lineRule="auto"/>
        <w:tabs>
          <w:tab w:leader="none" w:pos="2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Administrative Agent shall have received an amendment fee for the account of each Lender (including JPMCB in its capacity as a Lender) in an amount equal to 0.075% of such Lender’s Commitment on the Third Amendment Effective Date;</w:t>
      </w:r>
    </w:p>
    <w:p>
      <w:pPr>
        <w:spacing w:after="0" w:line="50" w:lineRule="exact"/>
        <w:rPr>
          <w:rFonts w:ascii="Arial" w:cs="Arial" w:eastAsia="Arial" w:hAnsi="Arial"/>
          <w:sz w:val="18"/>
          <w:szCs w:val="18"/>
          <w:color w:val="auto"/>
        </w:rPr>
      </w:pPr>
    </w:p>
    <w:p>
      <w:pPr>
        <w:jc w:val="both"/>
        <w:ind w:left="-440" w:right="260" w:firstLine="443"/>
        <w:spacing w:after="0" w:line="259" w:lineRule="auto"/>
        <w:tabs>
          <w:tab w:leader="none" w:pos="2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on or prior to the Third Amendment Effective Date, including, to the extent invoiced, reimbursement or payment of all out of pocket expenses required to be reimbursed or paid by the Borrower under the Credit Agreement; and</w:t>
      </w:r>
    </w:p>
    <w:p>
      <w:pPr>
        <w:spacing w:after="0" w:line="59" w:lineRule="exact"/>
        <w:rPr>
          <w:rFonts w:ascii="Arial" w:cs="Arial" w:eastAsia="Arial" w:hAnsi="Arial"/>
          <w:sz w:val="18"/>
          <w:szCs w:val="18"/>
          <w:color w:val="auto"/>
        </w:rPr>
      </w:pPr>
    </w:p>
    <w:p>
      <w:pPr>
        <w:ind w:left="-440" w:right="220" w:firstLine="443"/>
        <w:spacing w:after="0" w:line="268" w:lineRule="auto"/>
        <w:tabs>
          <w:tab w:leader="none" w:pos="2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other certificates, resolutions, documents and agreements as the Administrative Agent may reasonably request.</w:t>
      </w:r>
    </w:p>
    <w:p>
      <w:pPr>
        <w:spacing w:after="0" w:line="132" w:lineRule="exact"/>
        <w:rPr>
          <w:sz w:val="20"/>
          <w:szCs w:val="20"/>
          <w:color w:val="auto"/>
        </w:rPr>
      </w:pPr>
    </w:p>
    <w:p>
      <w:pPr>
        <w:ind w:left="200" w:hanging="179"/>
        <w:spacing w:after="0"/>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Reference to and Effect Upon the Credit Documents</w:t>
      </w:r>
      <w:r>
        <w:rPr>
          <w:rFonts w:ascii="Arial" w:cs="Arial" w:eastAsia="Arial" w:hAnsi="Arial"/>
          <w:sz w:val="18"/>
          <w:szCs w:val="18"/>
          <w:color w:val="auto"/>
        </w:rPr>
        <w:t>.</w:t>
      </w:r>
    </w:p>
    <w:p>
      <w:pPr>
        <w:spacing w:after="0" w:line="90" w:lineRule="exact"/>
        <w:rPr>
          <w:sz w:val="20"/>
          <w:szCs w:val="20"/>
          <w:color w:val="auto"/>
        </w:rPr>
      </w:pPr>
    </w:p>
    <w:p>
      <w:pPr>
        <w:ind w:left="-440" w:right="20" w:firstLine="443"/>
        <w:spacing w:after="0" w:line="268" w:lineRule="auto"/>
        <w:tabs>
          <w:tab w:leader="none" w:pos="2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the other Credit Documents shall remain in full force and effect and are hereby ratified and confirmed.</w:t>
      </w:r>
    </w:p>
    <w:p>
      <w:pPr>
        <w:spacing w:after="0" w:line="50" w:lineRule="exact"/>
        <w:rPr>
          <w:rFonts w:ascii="Arial" w:cs="Arial" w:eastAsia="Arial" w:hAnsi="Arial"/>
          <w:sz w:val="18"/>
          <w:szCs w:val="18"/>
          <w:color w:val="auto"/>
        </w:rPr>
      </w:pPr>
    </w:p>
    <w:p>
      <w:pPr>
        <w:ind w:left="-440" w:right="120" w:firstLine="443"/>
        <w:spacing w:after="0" w:line="255" w:lineRule="auto"/>
        <w:tabs>
          <w:tab w:leader="none" w:pos="2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the Collateral Agent or any Lender under the Credit Agreement or any Credit Document, nor constitute a waiver of any provision of the Credit Agreement or any Credit Document, except as specifically set forth herein. Upon the effectiveness of this Amendment, each reference in the Credit Agreement to “this Agreement”, “hereunder”, “hereof”, “herein” or words of similar import shall mean and be a reference to the Credit Agreement as amended hereby.</w:t>
      </w:r>
    </w:p>
    <w:p>
      <w:pPr>
        <w:spacing w:after="0" w:line="143" w:lineRule="exact"/>
        <w:rPr>
          <w:sz w:val="20"/>
          <w:szCs w:val="20"/>
          <w:color w:val="auto"/>
        </w:rPr>
      </w:pPr>
    </w:p>
    <w:p>
      <w:pPr>
        <w:ind w:left="-900" w:right="60" w:firstLine="921"/>
        <w:spacing w:after="0" w:line="306" w:lineRule="auto"/>
        <w:tabs>
          <w:tab w:leader="none" w:pos="18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hereby affirms its obligation under Section 9.03 of the Credit Agreement to reimburse the Administrative Agent for all reasonable out-of-pocket expenses incurred by the Administrative Agent in connection with the preparation, negotiation, execution and delivery of this Amendment, including but not limited to the reasonable fees, charges and disbursements of attorneys for the Administrative Agent with respect thereto.</w:t>
      </w:r>
    </w:p>
    <w:p>
      <w:pPr>
        <w:sectPr>
          <w:pgSz w:w="11900" w:h="16838" w:orient="portrait"/>
          <w:cols w:equalWidth="0" w:num="1">
            <w:col w:w="10420"/>
          </w:cols>
          <w:pgMar w:left="1140" w:top="280" w:right="339" w:bottom="1440" w:gutter="0" w:footer="0" w:header="0"/>
        </w:sectPr>
      </w:pPr>
    </w:p>
    <w:bookmarkStart w:id="51" w:name="page52"/>
    <w:bookmarkEnd w:id="51"/>
    <w:p>
      <w:pPr>
        <w:ind w:left="980" w:hanging="179"/>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color w:val="auto"/>
        </w:rPr>
        <w:t>. This Amendment shall be construed in accordance with and governed by the law of the State of New York.</w:t>
      </w:r>
    </w:p>
    <w:p>
      <w:pPr>
        <w:spacing w:after="0" w:line="171" w:lineRule="exact"/>
        <w:rPr>
          <w:rFonts w:ascii="Arial" w:cs="Arial" w:eastAsia="Arial" w:hAnsi="Arial"/>
          <w:sz w:val="18"/>
          <w:szCs w:val="18"/>
          <w:color w:val="auto"/>
        </w:rPr>
      </w:pPr>
    </w:p>
    <w:p>
      <w:pPr>
        <w:ind w:left="-120" w:right="480" w:firstLine="921"/>
        <w:spacing w:after="0" w:line="268" w:lineRule="auto"/>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purposes.</w:t>
      </w:r>
    </w:p>
    <w:p>
      <w:pPr>
        <w:spacing w:after="0" w:line="131" w:lineRule="exact"/>
        <w:rPr>
          <w:rFonts w:ascii="Arial" w:cs="Arial" w:eastAsia="Arial" w:hAnsi="Arial"/>
          <w:sz w:val="18"/>
          <w:szCs w:val="18"/>
          <w:color w:val="auto"/>
        </w:rPr>
      </w:pPr>
    </w:p>
    <w:p>
      <w:pPr>
        <w:ind w:left="-120" w:firstLine="921"/>
        <w:spacing w:after="0" w:line="259" w:lineRule="auto"/>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when so executed shall be deemed an original but all such counterparts shall constitute one and the same instrument. Delivery of an executed signature page of this Amendment by facsimile transmission or electronic mail shall be effective as delivery of manually executed counterpart 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180"/>
          </w:cols>
          <w:pgMar w:left="360" w:top="280"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Amendment as of the date and year first above written.</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VERA BRADLEY DESIGNS,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-13970</wp:posOffset>
            </wp:positionV>
            <wp:extent cx="21189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1899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 Jeffrey A. Blade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Financial and Administrative Officer</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JPMORGAN CHASE BANK, N.A., as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Administrative Agent and a Lender</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Morgan K. Boudler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-13970</wp:posOffset>
            </wp:positionV>
            <wp:extent cx="2066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66290"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 Morgan K. Boudler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380"/>
          </w:cols>
          <w:pgMar w:left="1160" w:top="280" w:right="1359" w:bottom="1440" w:gutter="0" w:footer="0" w:header="0"/>
        </w:sectPr>
      </w:pPr>
    </w:p>
    <w:bookmarkStart w:id="53" w:name="page54"/>
    <w:bookmarkEnd w:id="5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ASSOCIATION</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M. Stehlik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-13970</wp:posOffset>
            </wp:positionV>
            <wp:extent cx="21583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836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James M. Stehlik</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w:t>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KEYBANK NATIONAL ASSOCIATION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Marianne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-13970</wp:posOffset>
            </wp:positionV>
            <wp:extent cx="21647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6471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Marianne Meil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w:t>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PNC BANK, NATIONAL ASSOCIATION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Douglas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-13970</wp:posOffset>
            </wp:positionV>
            <wp:extent cx="2159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63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Douglas Wood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w:t>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 NORTHERN TRUST COMPANY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Fornal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-13970</wp:posOffset>
            </wp:positionV>
            <wp:extent cx="21831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8313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Michael Fornal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280"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REAFFIRMATION</w:t>
      </w:r>
    </w:p>
    <w:p>
      <w:pPr>
        <w:spacing w:after="0" w:line="17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Each of the undersigned (i) acknowledges receipt of a copy of Amendment No. 3 to Amended and Restated Credit Agreement (the “Amendment”), amending the Amended and Restated Credit Agreement dated as of October 4, 2010 (as previously amended, restated, supplemented or otherwise modified, the “Credit Agreement”), (ii) consents to the Amendment and each of the transactions referenced therein, and (iii) hereby reaffirms its obligations, as applicable, under the Subsidiary Guaranty dated as of November 26, 2008 and the Parent Guaranty dated as of October 4, 2010, each, in favor of JPMorgan Chase Bank, National Association, as Administrative Agent. Capitalized terms used herein shall have the meanings ascribed to them by the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as of June 1,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VERA BRADLEY, INC.</w:t>
      </w:r>
    </w:p>
    <w:p>
      <w:pPr>
        <w:spacing w:after="0" w:line="23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-13970</wp:posOffset>
            </wp:positionV>
            <wp:extent cx="2112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12645" cy="889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18"/>
          <w:szCs w:val="18"/>
          <w:color w:val="auto"/>
        </w:rPr>
        <w:t>Title: Chief Financial and Administrative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VERA BRADLEY SALES, LLC</w:t>
      </w:r>
    </w:p>
    <w:p>
      <w:pPr>
        <w:spacing w:after="0" w:line="23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-13970</wp:posOffset>
            </wp:positionV>
            <wp:extent cx="2112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12645" cy="889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18"/>
          <w:szCs w:val="18"/>
          <w:color w:val="auto"/>
        </w:rPr>
        <w:t>Title: Chief Financial and Administrative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VERA BRADLEY INTERNATIONAL, LLC</w:t>
      </w:r>
    </w:p>
    <w:p>
      <w:pPr>
        <w:spacing w:after="0" w:line="23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-13970</wp:posOffset>
            </wp:positionV>
            <wp:extent cx="21126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12645" cy="889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18"/>
          <w:szCs w:val="18"/>
          <w:color w:val="auto"/>
        </w:rPr>
        <w:t>Title: Chief Financial and Administrative Officer</w:t>
      </w:r>
    </w:p>
    <w:p>
      <w:pPr>
        <w:sectPr>
          <w:pgSz w:w="11900" w:h="16838" w:orient="portrait"/>
          <w:cols w:equalWidth="0" w:num="1">
            <w:col w:w="11280"/>
          </w:cols>
          <w:pgMar w:left="240" w:top="274"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2012</w:t>
      </w: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Jeffrey A. Blade, certify that:</w:t>
      </w:r>
    </w:p>
    <w:p>
      <w:pPr>
        <w:spacing w:after="0" w:line="9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Date: June 6, 2012</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A. Blade</w:t>
            </w:r>
          </w:p>
        </w:tc>
      </w:tr>
      <w:tr>
        <w:trPr>
          <w:trHeight w:val="202"/>
        </w:trPr>
        <w:tc>
          <w:tcPr>
            <w:tcW w:w="5720" w:type="dxa"/>
            <w:vAlign w:val="bottom"/>
          </w:tcPr>
          <w:p>
            <w:pPr>
              <w:spacing w:after="0"/>
              <w:rPr>
                <w:sz w:val="17"/>
                <w:szCs w:val="17"/>
                <w:color w:val="auto"/>
              </w:rPr>
            </w:pPr>
          </w:p>
        </w:tc>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Jeffrey A. Blade</w:t>
            </w:r>
          </w:p>
        </w:tc>
      </w:tr>
      <w:tr>
        <w:trPr>
          <w:trHeight w:val="222"/>
        </w:trPr>
        <w:tc>
          <w:tcPr>
            <w:tcW w:w="57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President—Chief Financial and Administrative Officer</w:t>
            </w:r>
          </w:p>
        </w:tc>
      </w:tr>
    </w:tbl>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quarterly report on Form 10-Q for the fiscal quarter ended April 28, 2012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 Jeffrey A. Blade, the Executive Vice President—Chief Financial and Administrative Officer of Vera Bradley, Inc., certify that (i) the quarterly report on Form 10-Q for the fiscal quarter ended April 28, 2012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President—Chief Financial and Administrative</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2"/>
    </w:lvl>
  </w:abstractNum>
  <w:abstractNum w:abstractNumId="5">
    <w:nsid w:val="5072367"/>
    <w:multiLevelType w:val="hybridMultilevel"/>
    <w:lvl w:ilvl="0">
      <w:lvlJc w:val="left"/>
      <w:lvlText w:val="%1."/>
      <w:numFmt w:val="decimal"/>
      <w:start w:val="3"/>
    </w:lvl>
    <w:lvl w:ilvl="1">
      <w:lvlJc w:val="left"/>
      <w:lvlText w:val="•"/>
      <w:numFmt w:val="bullet"/>
      <w:start w:val="1"/>
    </w:lvl>
  </w:abstractNum>
  <w:abstractNum w:abstractNumId="6">
    <w:nsid w:val="3804823E"/>
    <w:multiLevelType w:val="hybridMultilevel"/>
    <w:lvl w:ilvl="0">
      <w:lvlJc w:val="left"/>
      <w:lvlText w:val="%1."/>
      <w:numFmt w:val="decimal"/>
      <w:start w:val="4"/>
    </w:lvl>
  </w:abstractNum>
  <w:abstractNum w:abstractNumId="7">
    <w:nsid w:val="77465F01"/>
    <w:multiLevelType w:val="hybridMultilevel"/>
    <w:lvl w:ilvl="0">
      <w:lvlJc w:val="left"/>
      <w:lvlText w:val="%1."/>
      <w:numFmt w:val="decimal"/>
      <w:start w:val="5"/>
    </w:lvl>
  </w:abstractNum>
  <w:abstractNum w:abstractNumId="8">
    <w:nsid w:val="7724C67E"/>
    <w:multiLevelType w:val="hybridMultilevel"/>
    <w:lvl w:ilvl="0">
      <w:lvlJc w:val="left"/>
      <w:lvlText w:val="%1."/>
      <w:numFmt w:val="decimal"/>
      <w:start w:val="6"/>
    </w:lvl>
  </w:abstractNum>
  <w:abstractNum w:abstractNumId="9">
    <w:nsid w:val="5C482A97"/>
    <w:multiLevelType w:val="hybridMultilevel"/>
    <w:lvl w:ilvl="0">
      <w:lvlJc w:val="left"/>
      <w:lvlText w:val="%1."/>
      <w:numFmt w:val="decimal"/>
      <w:start w:val="7"/>
    </w:lvl>
  </w:abstractNum>
  <w:abstractNum w:abstractNumId="10">
    <w:nsid w:val="2463B9EA"/>
    <w:multiLevelType w:val="hybridMultilevel"/>
    <w:lvl w:ilvl="0">
      <w:lvlJc w:val="left"/>
      <w:lvlText w:val="%1."/>
      <w:numFmt w:val="decimal"/>
      <w:start w:val="8"/>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decimal"/>
      <w:start w:val="10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decimal"/>
      <w:start w:val="10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lowerLetter"/>
      <w:start w:val="1"/>
    </w:lvl>
  </w:abstractNum>
  <w:abstractNum w:abstractNumId="21">
    <w:nsid w:val="725A06FB"/>
    <w:multiLevelType w:val="hybridMultilevel"/>
    <w:lvl w:ilvl="0">
      <w:lvlJc w:val="left"/>
      <w:lvlText w:val="%1."/>
      <w:numFmt w:val="decimal"/>
      <w:start w:val="3"/>
    </w:lvl>
  </w:abstractNum>
  <w:abstractNum w:abstractNumId="22">
    <w:nsid w:val="2CD89A32"/>
    <w:multiLevelType w:val="hybridMultilevel"/>
    <w:lvl w:ilvl="0">
      <w:lvlJc w:val="left"/>
      <w:lvlText w:val="(%1)"/>
      <w:numFmt w:val="lowerLetter"/>
      <w:start w:val="1"/>
    </w:lvl>
    <w:lvl w:ilvl="1">
      <w:lvlJc w:val="left"/>
      <w:lvlText w:val="(%2)"/>
      <w:numFmt w:val="lowerLetter"/>
      <w:start w:val="9"/>
    </w:lvl>
  </w:abstractNum>
  <w:abstractNum w:abstractNumId="23">
    <w:nsid w:val="57E4CCAF"/>
    <w:multiLevelType w:val="hybridMultilevel"/>
    <w:lvl w:ilvl="0">
      <w:lvlJc w:val="left"/>
      <w:lvlText w:val="(%1)"/>
      <w:numFmt w:val="lowerRoman"/>
      <w:start w:val="2"/>
    </w:lvl>
  </w:abstractNum>
  <w:abstractNum w:abstractNumId="24">
    <w:nsid w:val="7A6D8D3C"/>
    <w:multiLevelType w:val="hybridMultilevel"/>
    <w:lvl w:ilvl="0">
      <w:lvlJc w:val="left"/>
      <w:lvlText w:val="%1."/>
      <w:numFmt w:val="decimal"/>
      <w:start w:val="4"/>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decimal"/>
      <w:start w:val="5"/>
    </w:lvl>
  </w:abstractNum>
  <w:abstractNum w:abstractNumId="27">
    <w:nsid w:val="6DE91B18"/>
    <w:multiLevelType w:val="hybridMultilevel"/>
    <w:lvl w:ilvl="0">
      <w:lvlJc w:val="left"/>
      <w:lvlText w:val="(%1)"/>
      <w:numFmt w:val="lowerRoman"/>
      <w:start w:val="1"/>
    </w:lvl>
    <w:lvl w:ilvl="1">
      <w:lvlJc w:val="left"/>
      <w:lvlText w:val="%2."/>
      <w:numFmt w:val="decimal"/>
      <w:start w:val="6"/>
    </w:lvl>
  </w:abstractNum>
  <w:abstractNum w:abstractNumId="28">
    <w:nsid w:val="38437FDB"/>
    <w:multiLevelType w:val="hybridMultilevel"/>
    <w:lvl w:ilvl="0">
      <w:lvlJc w:val="left"/>
      <w:lvlText w:val="%1."/>
      <w:numFmt w:val="decimal"/>
      <w:start w:val="8"/>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1."/>
      <w:numFmt w:val="decimal"/>
      <w:start w:val="10"/>
    </w:lvl>
  </w:abstractNum>
  <w:abstractNum w:abstractNumId="31">
    <w:nsid w:val="684A481A"/>
    <w:multiLevelType w:val="hybridMultilevel"/>
    <w:lvl w:ilvl="0">
      <w:lvlJc w:val="left"/>
      <w:lvlText w:val="%1."/>
      <w:numFmt w:val="decimal"/>
      <w:start w:val="12"/>
    </w:lvl>
  </w:abstractNum>
  <w:abstractNum w:abstractNumId="32">
    <w:nsid w:val="579478FE"/>
    <w:multiLevelType w:val="hybridMultilevel"/>
    <w:lvl w:ilvl="0">
      <w:lvlJc w:val="left"/>
      <w:lvlText w:val="%1."/>
      <w:numFmt w:val="decimal"/>
      <w:start w:val="1"/>
    </w:lvl>
    <w:lvl w:ilvl="1">
      <w:lvlJc w:val="left"/>
      <w:lvlText w:val="(%2)"/>
      <w:numFmt w:val="lowerLetter"/>
      <w:start w:val="1"/>
    </w:lvl>
  </w:abstractNum>
  <w:abstractNum w:abstractNumId="33">
    <w:nsid w:val="749ABB43"/>
    <w:multiLevelType w:val="hybridMultilevel"/>
    <w:lvl w:ilvl="0">
      <w:lvlJc w:val="left"/>
      <w:lvlText w:val="(%1)"/>
      <w:numFmt w:val="lowerLetter"/>
      <w:start w:val="1"/>
    </w:lvl>
  </w:abstractNum>
  <w:abstractNum w:abstractNumId="34">
    <w:nsid w:val="3DC240FB"/>
    <w:multiLevelType w:val="hybridMultilevel"/>
    <w:lvl w:ilvl="0">
      <w:lvlJc w:val="left"/>
      <w:lvlText w:val="%1."/>
      <w:numFmt w:val="decimal"/>
      <w:start w:val="4"/>
    </w:lvl>
  </w:abstractNum>
  <w:abstractNum w:abstractNumId="35">
    <w:nsid w:val="1BA026FA"/>
    <w:multiLevelType w:val="hybridMultilevel"/>
    <w:lvl w:ilvl="0">
      <w:lvlJc w:val="left"/>
      <w:lvlText w:val="%1."/>
      <w:numFmt w:val="decimal"/>
      <w:start w:val="5"/>
    </w:lvl>
  </w:abstractNum>
  <w:abstractNum w:abstractNumId="36">
    <w:nsid w:val="79A1DEAA"/>
    <w:multiLevelType w:val="hybridMultilevel"/>
    <w:lvl w:ilvl="0">
      <w:lvlJc w:val="left"/>
      <w:lvlText w:val="%1."/>
      <w:numFmt w:val="decimal"/>
      <w:start w:val="8"/>
    </w:lvl>
  </w:abstractNum>
  <w:abstractNum w:abstractNumId="37">
    <w:nsid w:val="75C6C33A"/>
    <w:multiLevelType w:val="hybridMultilevel"/>
    <w:lvl w:ilvl="0">
      <w:lvlJc w:val="left"/>
      <w:lvlText w:val="%1"/>
      <w:numFmt w:val="lowerLetter"/>
      <w:start w:val="1"/>
    </w:lvl>
    <w:lvl w:ilvl="1">
      <w:lvlJc w:val="left"/>
      <w:lvlText w:val="(%2)"/>
      <w:numFmt w:val="lowerLetter"/>
      <w:start w:val="1"/>
    </w:lvl>
  </w:abstractNum>
  <w:abstractNum w:abstractNumId="38">
    <w:nsid w:val="12E685FB"/>
    <w:multiLevelType w:val="hybridMultilevel"/>
    <w:lvl w:ilvl="0">
      <w:lvlJc w:val="left"/>
      <w:lvlText w:val="(%1)"/>
      <w:numFmt w:val="lowerLetter"/>
      <w:start w:val="35"/>
    </w:lvl>
    <w:lvl w:ilvl="1">
      <w:lvlJc w:val="left"/>
      <w:lvlText w:val="%2"/>
      <w:numFmt w:val="lowerLetter"/>
      <w:start w:val="1"/>
    </w:lvl>
  </w:abstractNum>
  <w:abstractNum w:abstractNumId="39">
    <w:nsid w:val="70C6A529"/>
    <w:multiLevelType w:val="hybridMultilevel"/>
    <w:lvl w:ilvl="0">
      <w:lvlJc w:val="left"/>
      <w:lvlText w:val="%1."/>
      <w:numFmt w:val="decimal"/>
      <w:start w:val="9"/>
    </w:lvl>
  </w:abstractNum>
  <w:abstractNum w:abstractNumId="40">
    <w:nsid w:val="520EEDD1"/>
    <w:multiLevelType w:val="hybridMultilevel"/>
    <w:lvl w:ilvl="0">
      <w:lvlJc w:val="left"/>
      <w:lvlText w:val="%1."/>
      <w:numFmt w:val="decimal"/>
      <w:start w:val="12"/>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1"/>
    </w:lvl>
    <w:lvl w:ilvl="1">
      <w:lvlJc w:val="left"/>
      <w:lvlText w:val="%2."/>
      <w:numFmt w:val="lowerLetter"/>
      <w:start w:val="1"/>
    </w:lvl>
  </w:abstractNum>
  <w:abstractNum w:abstractNumId="46">
    <w:nsid w:val="39386575"/>
    <w:multiLevelType w:val="hybridMultilevel"/>
    <w:lvl w:ilvl="0">
      <w:lvlJc w:val="left"/>
      <w:lvlText w:val="%1."/>
      <w:numFmt w:val="decimal"/>
      <w:start w:val="3"/>
    </w:lvl>
  </w:abstractNum>
  <w:abstractNum w:abstractNumId="47">
    <w:nsid w:val="1CF10FD8"/>
    <w:multiLevelType w:val="hybridMultilevel"/>
    <w:lvl w:ilvl="0">
      <w:lvlJc w:val="left"/>
      <w:lvlText w:val="%1."/>
      <w:numFmt w:val="decimal"/>
      <w:start w:val="4"/>
    </w:lvl>
    <w:lvl w:ilvl="1">
      <w:lvlJc w:val="left"/>
      <w:lvlText w:val="(%2)"/>
      <w:numFmt w:val="lowerRoman"/>
      <w:start w:val="1"/>
    </w:lvl>
  </w:abstractNum>
  <w:abstractNum w:abstractNumId="48">
    <w:nsid w:val="180115BE"/>
    <w:multiLevelType w:val="hybridMultilevel"/>
    <w:lvl w:ilvl="0">
      <w:lvlJc w:val="left"/>
      <w:lvlText w:val="%1."/>
      <w:numFmt w:val="decimal"/>
      <w:start w:val="5"/>
    </w:lvl>
  </w:abstractNum>
  <w:abstractNum w:abstractNumId="49">
    <w:nsid w:val="235BA861"/>
    <w:multiLevelType w:val="hybridMultilevel"/>
    <w:lvl w:ilvl="0">
      <w:lvlJc w:val="left"/>
      <w:lvlText w:val="%1."/>
      <w:numFmt w:val="decimal"/>
      <w:start w:val="6"/>
    </w:lvl>
  </w:abstractNum>
  <w:abstractNum w:abstractNumId="50">
    <w:nsid w:val="47398C89"/>
    <w:multiLevelType w:val="hybridMultilevel"/>
    <w:lvl w:ilvl="0">
      <w:lvlJc w:val="left"/>
      <w:lvlText w:val="%1."/>
      <w:numFmt w:val="decimal"/>
      <w:start w:val="14"/>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decimal"/>
      <w:start w:val="2"/>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decimal"/>
      <w:start w:val="3"/>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4"/>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decimal"/>
      <w:start w:val="5"/>
    </w:lvl>
  </w:abstractNum>
  <w:abstractNum w:abstractNumId="63">
    <w:nsid w:val="2F305DEF"/>
    <w:multiLevelType w:val="hybridMultilevel"/>
    <w:lvl w:ilvl="0">
      <w:lvlJc w:val="left"/>
      <w:lvlText w:val="%1."/>
      <w:numFmt w:val="decimal"/>
      <w:start w:val="6"/>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2019-12-09T20:10:00Z</dcterms:created>
  <dcterms:modified xsi:type="dcterms:W3CDTF">2019-12-09T20:10:00Z</dcterms:modified>
</cp:coreProperties>
</file>