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420370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386080</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5"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17"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4" w:lineRule="exact"/>
        <w:rPr>
          <w:sz w:val="24"/>
          <w:szCs w:val="24"/>
          <w:color w:val="auto"/>
        </w:rPr>
      </w:pPr>
    </w:p>
    <w:p>
      <w:pPr>
        <w:ind w:left="4400"/>
        <w:spacing w:after="0"/>
        <w:rPr>
          <w:sz w:val="20"/>
          <w:szCs w:val="20"/>
          <w:color w:val="auto"/>
        </w:rPr>
      </w:pPr>
      <w:r>
        <w:rPr>
          <w:rFonts w:ascii="Arial" w:cs="Arial" w:eastAsia="Arial" w:hAnsi="Arial"/>
          <w:sz w:val="18"/>
          <w:szCs w:val="18"/>
          <w:color w:val="auto"/>
        </w:rPr>
        <w:t>___________________________</w:t>
      </w:r>
    </w:p>
    <w:p>
      <w:pPr>
        <w:spacing w:after="0" w:line="142"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53" w:lineRule="exact"/>
        <w:rPr>
          <w:sz w:val="24"/>
          <w:szCs w:val="24"/>
          <w:color w:val="auto"/>
        </w:rPr>
      </w:pPr>
    </w:p>
    <w:p>
      <w:pPr>
        <w:ind w:left="4380"/>
        <w:spacing w:after="0"/>
        <w:rPr>
          <w:sz w:val="20"/>
          <w:szCs w:val="20"/>
          <w:color w:val="auto"/>
        </w:rPr>
      </w:pPr>
      <w:r>
        <w:rPr>
          <w:rFonts w:ascii="Arial" w:cs="Arial" w:eastAsia="Arial" w:hAnsi="Arial"/>
          <w:sz w:val="18"/>
          <w:szCs w:val="18"/>
          <w:color w:val="auto"/>
        </w:rPr>
        <w:t>___________________________</w:t>
      </w:r>
    </w:p>
    <w:p>
      <w:pPr>
        <w:spacing w:after="0" w:line="235" w:lineRule="exact"/>
        <w:rPr>
          <w:sz w:val="24"/>
          <w:szCs w:val="24"/>
          <w:color w:val="auto"/>
        </w:rPr>
      </w:pPr>
    </w:p>
    <w:p>
      <w:pPr>
        <w:ind w:left="680"/>
        <w:spacing w:after="0"/>
        <w:rPr>
          <w:sz w:val="20"/>
          <w:szCs w:val="20"/>
          <w:color w:val="auto"/>
        </w:rPr>
      </w:pPr>
      <w:r>
        <w:rPr>
          <w:rFonts w:ascii="Arial" w:cs="Arial" w:eastAsia="Arial" w:hAnsi="Arial"/>
          <w:sz w:val="21"/>
          <w:szCs w:val="21"/>
          <w:b w:val="1"/>
          <w:bCs w:val="1"/>
          <w:color w:val="auto"/>
        </w:rPr>
        <w:t>QUARTERLY REPORT PURSUANT TO SECTION 13 OR 15(d) OF THE SECURITIES EXCHANGE ACT OF</w:t>
      </w:r>
    </w:p>
    <w:p>
      <w:pPr>
        <w:ind w:left="680" w:hanging="641"/>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22"/>
          <w:szCs w:val="22"/>
          <w:b w:val="1"/>
          <w:bCs w:val="1"/>
          <w:color w:val="auto"/>
        </w:rPr>
        <w:t>1934</w:t>
      </w:r>
    </w:p>
    <w:p>
      <w:pPr>
        <w:spacing w:after="0" w:line="24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July 29, 2023</w:t>
      </w:r>
    </w:p>
    <w:p>
      <w:pPr>
        <w:spacing w:after="0" w:line="17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228" w:lineRule="exact"/>
        <w:rPr>
          <w:sz w:val="24"/>
          <w:szCs w:val="24"/>
          <w:color w:val="auto"/>
        </w:rPr>
      </w:pPr>
    </w:p>
    <w:p>
      <w:pPr>
        <w:ind w:left="680"/>
        <w:spacing w:after="0"/>
        <w:rPr>
          <w:sz w:val="20"/>
          <w:szCs w:val="20"/>
          <w:color w:val="auto"/>
        </w:rPr>
      </w:pPr>
      <w:r>
        <w:rPr>
          <w:rFonts w:ascii="Arial" w:cs="Arial" w:eastAsia="Arial" w:hAnsi="Arial"/>
          <w:sz w:val="21"/>
          <w:szCs w:val="21"/>
          <w:b w:val="1"/>
          <w:bCs w:val="1"/>
          <w:color w:val="auto"/>
        </w:rPr>
        <w:t>TRANSITION REPORT PURSUANT TO SECTION 13 OR 15(d) OF THE SECURITIES EXCHANGE ACT OF</w:t>
      </w:r>
    </w:p>
    <w:p>
      <w:pPr>
        <w:ind w:left="680" w:hanging="654"/>
        <w:spacing w:after="0"/>
        <w:tabs>
          <w:tab w:leader="none" w:pos="680" w:val="left"/>
        </w:tabs>
        <w:numPr>
          <w:ilvl w:val="0"/>
          <w:numId w:val="2"/>
        </w:numPr>
        <w:rPr>
          <w:rFonts w:ascii="MS PGothic" w:cs="MS PGothic" w:eastAsia="MS PGothic" w:hAnsi="MS PGothic"/>
          <w:sz w:val="18"/>
          <w:szCs w:val="18"/>
          <w:color w:val="auto"/>
        </w:rPr>
      </w:pPr>
      <w:r>
        <w:rPr>
          <w:rFonts w:ascii="Arial" w:cs="Arial" w:eastAsia="Arial" w:hAnsi="Arial"/>
          <w:sz w:val="22"/>
          <w:szCs w:val="22"/>
          <w:b w:val="1"/>
          <w:bCs w:val="1"/>
          <w:color w:val="auto"/>
        </w:rPr>
        <w:t>1934</w:t>
      </w:r>
    </w:p>
    <w:p>
      <w:pPr>
        <w:spacing w:after="0" w:line="245" w:lineRule="exact"/>
        <w:rPr>
          <w:sz w:val="24"/>
          <w:szCs w:val="24"/>
          <w:color w:val="auto"/>
        </w:rPr>
      </w:pPr>
    </w:p>
    <w:p>
      <w:pPr>
        <w:ind w:left="3360"/>
        <w:spacing w:after="0"/>
        <w:tabs>
          <w:tab w:leader="none" w:pos="67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3710305</wp:posOffset>
            </wp:positionH>
            <wp:positionV relativeFrom="paragraph">
              <wp:posOffset>-7620</wp:posOffset>
            </wp:positionV>
            <wp:extent cx="12947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15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001-34918</w:t>
      </w:r>
    </w:p>
    <w:p>
      <w:pPr>
        <w:spacing w:after="0" w:line="202" w:lineRule="exact"/>
        <w:rPr>
          <w:sz w:val="24"/>
          <w:szCs w:val="24"/>
          <w:color w:val="auto"/>
        </w:rPr>
      </w:pPr>
    </w:p>
    <w:p>
      <w:pPr>
        <w:ind w:left="4380"/>
        <w:spacing w:after="0"/>
        <w:rPr>
          <w:sz w:val="20"/>
          <w:szCs w:val="20"/>
          <w:color w:val="auto"/>
        </w:rPr>
      </w:pPr>
      <w:r>
        <w:rPr>
          <w:rFonts w:ascii="Arial" w:cs="Arial" w:eastAsia="Arial" w:hAnsi="Arial"/>
          <w:sz w:val="18"/>
          <w:szCs w:val="18"/>
          <w:color w:val="auto"/>
        </w:rPr>
        <w:t>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2936875</wp:posOffset>
            </wp:positionH>
            <wp:positionV relativeFrom="paragraph">
              <wp:posOffset>14605</wp:posOffset>
            </wp:positionV>
            <wp:extent cx="1268730" cy="1285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8730" cy="12858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ind w:right="20"/>
        <w:spacing w:after="0"/>
        <w:rPr>
          <w:sz w:val="20"/>
          <w:szCs w:val="20"/>
          <w:color w:val="auto"/>
        </w:rPr>
      </w:pPr>
      <w:r>
        <w:rPr>
          <w:rFonts w:ascii="Arial" w:cs="Arial" w:eastAsia="Arial" w:hAnsi="Arial"/>
          <w:sz w:val="40"/>
          <w:szCs w:val="40"/>
          <w:b w:val="1"/>
          <w:bCs w:val="1"/>
          <w:color w:val="auto"/>
        </w:rPr>
        <w:t>VERA BRADLEY, INC.</w:t>
      </w:r>
    </w:p>
    <w:p>
      <w:pPr>
        <w:spacing w:after="0" w:line="4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88" w:lineRule="exact"/>
        <w:rPr>
          <w:sz w:val="24"/>
          <w:szCs w:val="24"/>
          <w:color w:val="auto"/>
        </w:rPr>
      </w:pPr>
    </w:p>
    <w:p>
      <w:pPr>
        <w:ind w:left="4400"/>
        <w:spacing w:after="0"/>
        <w:rPr>
          <w:sz w:val="20"/>
          <w:szCs w:val="20"/>
          <w:color w:val="auto"/>
        </w:rPr>
      </w:pPr>
      <w:r>
        <w:rPr>
          <w:rFonts w:ascii="Arial" w:cs="Arial" w:eastAsia="Arial" w:hAnsi="Arial"/>
          <w:sz w:val="18"/>
          <w:szCs w:val="18"/>
          <w:color w:val="auto"/>
        </w:rPr>
        <w:t>___________________________</w:t>
      </w:r>
    </w:p>
    <w:p>
      <w:pPr>
        <w:spacing w:after="0" w:line="235" w:lineRule="exact"/>
        <w:rPr>
          <w:sz w:val="24"/>
          <w:szCs w:val="24"/>
          <w:color w:val="auto"/>
        </w:rPr>
      </w:pPr>
    </w:p>
    <w:tbl>
      <w:tblPr>
        <w:tblLayout w:type="fixed"/>
        <w:tblInd w:w="1540" w:type="dxa"/>
        <w:tblCellMar>
          <w:top w:w="0" w:type="dxa"/>
          <w:left w:w="0" w:type="dxa"/>
          <w:bottom w:w="0" w:type="dxa"/>
          <w:right w:w="0" w:type="dxa"/>
        </w:tblCellMar>
      </w:tblPr>
      <w:tr>
        <w:trPr>
          <w:trHeight w:val="225"/>
        </w:trPr>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95"/>
              </w:rPr>
              <w:t>Indiana</w:t>
            </w:r>
          </w:p>
        </w:tc>
        <w:tc>
          <w:tcPr>
            <w:tcW w:w="5100" w:type="dxa"/>
            <w:vAlign w:val="bottom"/>
          </w:tcPr>
          <w:p>
            <w:pPr>
              <w:jc w:val="right"/>
              <w:ind w:right="60"/>
              <w:spacing w:after="0"/>
              <w:rPr>
                <w:sz w:val="20"/>
                <w:szCs w:val="20"/>
                <w:color w:val="auto"/>
              </w:rPr>
            </w:pPr>
            <w:r>
              <w:rPr>
                <w:rFonts w:ascii="Arial" w:cs="Arial" w:eastAsia="Arial" w:hAnsi="Arial"/>
                <w:sz w:val="18"/>
                <w:szCs w:val="18"/>
                <w:b w:val="1"/>
                <w:bCs w:val="1"/>
                <w:color w:val="auto"/>
              </w:rPr>
              <w:t>27-2935063</w:t>
            </w:r>
          </w:p>
        </w:tc>
      </w:tr>
      <w:tr>
        <w:trPr>
          <w:trHeight w:val="148"/>
        </w:trPr>
        <w:tc>
          <w:tcPr>
            <w:tcW w:w="2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5100" w:type="dxa"/>
            <w:vAlign w:val="bottom"/>
          </w:tcPr>
          <w:p>
            <w:pPr>
              <w:jc w:val="center"/>
              <w:ind w:left="3900"/>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4"/>
              </w:rPr>
              <w:t>incorporation or organization)</w:t>
            </w:r>
          </w:p>
        </w:tc>
        <w:tc>
          <w:tcPr>
            <w:tcW w:w="5100" w:type="dxa"/>
            <w:vAlign w:val="bottom"/>
          </w:tcPr>
          <w:p>
            <w:pPr>
              <w:jc w:val="center"/>
              <w:ind w:left="3880"/>
              <w:spacing w:after="0"/>
              <w:rPr>
                <w:sz w:val="20"/>
                <w:szCs w:val="20"/>
                <w:color w:val="auto"/>
              </w:rPr>
            </w:pPr>
            <w:r>
              <w:rPr>
                <w:rFonts w:ascii="Arial" w:cs="Arial" w:eastAsia="Arial" w:hAnsi="Arial"/>
                <w:sz w:val="14"/>
                <w:szCs w:val="14"/>
                <w:b w:val="1"/>
                <w:bCs w:val="1"/>
                <w:color w:val="auto"/>
                <w:w w:val="96"/>
              </w:rPr>
              <w:t>Identification No.)</w:t>
            </w:r>
          </w:p>
        </w:tc>
      </w:tr>
      <w:tr>
        <w:trPr>
          <w:trHeight w:val="466"/>
        </w:trPr>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89"/>
              </w:rPr>
              <w:t>12420 Stonebridge Road,</w:t>
            </w:r>
          </w:p>
        </w:tc>
        <w:tc>
          <w:tcPr>
            <w:tcW w:w="5100" w:type="dxa"/>
            <w:vAlign w:val="bottom"/>
          </w:tcPr>
          <w:p>
            <w:pPr>
              <w:spacing w:after="0"/>
              <w:rPr>
                <w:sz w:val="24"/>
                <w:szCs w:val="24"/>
                <w:color w:val="auto"/>
              </w:rPr>
            </w:pPr>
          </w:p>
        </w:tc>
      </w:tr>
      <w:tr>
        <w:trPr>
          <w:trHeight w:val="225"/>
        </w:trPr>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91"/>
              </w:rPr>
              <w:t>Roanoke, Indiana</w:t>
            </w:r>
          </w:p>
        </w:tc>
        <w:tc>
          <w:tcPr>
            <w:tcW w:w="5100" w:type="dxa"/>
            <w:vAlign w:val="bottom"/>
          </w:tcPr>
          <w:p>
            <w:pPr>
              <w:jc w:val="right"/>
              <w:ind w:right="260"/>
              <w:spacing w:after="0"/>
              <w:rPr>
                <w:sz w:val="20"/>
                <w:szCs w:val="20"/>
                <w:color w:val="auto"/>
              </w:rPr>
            </w:pPr>
            <w:r>
              <w:rPr>
                <w:rFonts w:ascii="Arial" w:cs="Arial" w:eastAsia="Arial" w:hAnsi="Arial"/>
                <w:sz w:val="18"/>
                <w:szCs w:val="18"/>
                <w:b w:val="1"/>
                <w:bCs w:val="1"/>
                <w:color w:val="auto"/>
              </w:rPr>
              <w:t>46783</w:t>
            </w:r>
          </w:p>
        </w:tc>
      </w:tr>
      <w:tr>
        <w:trPr>
          <w:trHeight w:val="186"/>
        </w:trPr>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100" w:type="dxa"/>
            <w:vAlign w:val="bottom"/>
          </w:tcPr>
          <w:p>
            <w:pPr>
              <w:jc w:val="center"/>
              <w:ind w:left="3880"/>
              <w:spacing w:after="0"/>
              <w:rPr>
                <w:sz w:val="20"/>
                <w:szCs w:val="20"/>
                <w:color w:val="auto"/>
              </w:rPr>
            </w:pPr>
            <w:r>
              <w:rPr>
                <w:rFonts w:ascii="Arial" w:cs="Arial" w:eastAsia="Arial" w:hAnsi="Arial"/>
                <w:sz w:val="14"/>
                <w:szCs w:val="14"/>
                <w:b w:val="1"/>
                <w:bCs w:val="1"/>
                <w:color w:val="auto"/>
                <w:w w:val="95"/>
              </w:rPr>
              <w:t>(Zip Code)</w:t>
            </w:r>
          </w:p>
        </w:tc>
      </w:tr>
      <w:tr>
        <w:trPr>
          <w:trHeight w:val="475"/>
        </w:trPr>
        <w:tc>
          <w:tcPr>
            <w:tcW w:w="2420" w:type="dxa"/>
            <w:vAlign w:val="bottom"/>
          </w:tcPr>
          <w:p>
            <w:pPr>
              <w:spacing w:after="0"/>
              <w:rPr>
                <w:sz w:val="24"/>
                <w:szCs w:val="24"/>
                <w:color w:val="auto"/>
              </w:rPr>
            </w:pPr>
          </w:p>
        </w:tc>
        <w:tc>
          <w:tcPr>
            <w:tcW w:w="5100" w:type="dxa"/>
            <w:vAlign w:val="bottom"/>
          </w:tcPr>
          <w:p>
            <w:pPr>
              <w:jc w:val="right"/>
              <w:ind w:right="2800"/>
              <w:spacing w:after="0"/>
              <w:rPr>
                <w:sz w:val="20"/>
                <w:szCs w:val="20"/>
                <w:color w:val="auto"/>
              </w:rPr>
            </w:pPr>
            <w:r>
              <w:rPr>
                <w:rFonts w:ascii="Arial" w:cs="Arial" w:eastAsia="Arial" w:hAnsi="Arial"/>
                <w:sz w:val="18"/>
                <w:szCs w:val="18"/>
                <w:b w:val="1"/>
                <w:bCs w:val="1"/>
                <w:color w:val="auto"/>
              </w:rPr>
              <w:t>(877) 708-8372</w:t>
            </w:r>
          </w:p>
        </w:tc>
      </w:tr>
      <w:tr>
        <w:trPr>
          <w:trHeight w:val="186"/>
        </w:trPr>
        <w:tc>
          <w:tcPr>
            <w:tcW w:w="2420" w:type="dxa"/>
            <w:vAlign w:val="bottom"/>
          </w:tcPr>
          <w:p>
            <w:pPr>
              <w:spacing w:after="0"/>
              <w:rPr>
                <w:sz w:val="16"/>
                <w:szCs w:val="16"/>
                <w:color w:val="auto"/>
              </w:rPr>
            </w:pPr>
          </w:p>
        </w:tc>
        <w:tc>
          <w:tcPr>
            <w:tcW w:w="5100" w:type="dxa"/>
            <w:vAlign w:val="bottom"/>
          </w:tcPr>
          <w:p>
            <w:pPr>
              <w:jc w:val="center"/>
              <w:ind w:right="1700"/>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spacing w:after="0" w:line="15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None</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9" w:lineRule="exact"/>
        <w:rPr>
          <w:sz w:val="24"/>
          <w:szCs w:val="24"/>
          <w:color w:val="auto"/>
        </w:rPr>
      </w:pPr>
    </w:p>
    <w:p>
      <w:pPr>
        <w:ind w:left="4400"/>
        <w:spacing w:after="0"/>
        <w:rPr>
          <w:sz w:val="20"/>
          <w:szCs w:val="20"/>
          <w:color w:val="auto"/>
        </w:rPr>
      </w:pPr>
      <w:r>
        <w:rPr>
          <w:rFonts w:ascii="Arial" w:cs="Arial" w:eastAsia="Arial" w:hAnsi="Arial"/>
          <w:sz w:val="18"/>
          <w:szCs w:val="18"/>
          <w:color w:val="auto"/>
        </w:rPr>
        <w:t>___________________________</w:t>
      </w:r>
    </w:p>
    <w:p>
      <w:pPr>
        <w:spacing w:after="0" w:line="209"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84"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9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Common Stock, without par value</w:t>
            </w:r>
          </w:p>
        </w:tc>
        <w:tc>
          <w:tcPr>
            <w:tcW w:w="2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VRA</w:t>
            </w:r>
          </w:p>
        </w:tc>
        <w:tc>
          <w:tcPr>
            <w:tcW w:w="4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NASDAQ Global Select Market</w:t>
            </w:r>
          </w:p>
        </w:tc>
      </w:tr>
    </w:tbl>
    <w:p>
      <w:pPr>
        <w:spacing w:after="0" w:line="229" w:lineRule="exact"/>
        <w:rPr>
          <w:sz w:val="24"/>
          <w:szCs w:val="24"/>
          <w:color w:val="auto"/>
        </w:rPr>
      </w:pPr>
    </w:p>
    <w:p>
      <w:pPr>
        <w:ind w:right="320"/>
        <w:spacing w:after="0" w:line="23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22" w:lineRule="exact"/>
        <w:rPr>
          <w:sz w:val="24"/>
          <w:szCs w:val="24"/>
          <w:color w:val="auto"/>
        </w:rPr>
      </w:pPr>
    </w:p>
    <w:p>
      <w:pPr>
        <w:ind w:right="100"/>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122" w:lineRule="exact"/>
        <w:rPr>
          <w:sz w:val="24"/>
          <w:szCs w:val="24"/>
          <w:color w:val="auto"/>
        </w:rPr>
      </w:pPr>
    </w:p>
    <w:p>
      <w:pPr>
        <w:ind w:right="28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919" w:orient="portrait"/>
          <w:cols w:equalWidth="0" w:num="1">
            <w:col w:w="11260"/>
          </w:cols>
          <w:pgMar w:left="320" w:top="229" w:right="319" w:bottom="0" w:gutter="0" w:footer="0" w:header="0"/>
        </w:sectPr>
      </w:pPr>
    </w:p>
    <w:bookmarkStart w:id="1" w:name="page2"/>
    <w:bookmarkEnd w:id="1"/>
    <w:tbl>
      <w:tblPr>
        <w:tblLayout w:type="fixed"/>
        <w:tblInd w:w="20" w:type="dxa"/>
        <w:tblCellMar>
          <w:top w:w="0" w:type="dxa"/>
          <w:left w:w="0" w:type="dxa"/>
          <w:bottom w:w="0" w:type="dxa"/>
          <w:right w:w="0" w:type="dxa"/>
        </w:tblCellMar>
      </w:tblPr>
      <w:tr>
        <w:trPr>
          <w:trHeight w:val="303"/>
        </w:trPr>
        <w:tc>
          <w:tcPr>
            <w:tcW w:w="23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880" w:type="dxa"/>
            <w:vAlign w:val="bottom"/>
          </w:tcPr>
          <w:p>
            <w:pPr>
              <w:ind w:left="700"/>
              <w:spacing w:after="0" w:line="181" w:lineRule="exact"/>
              <w:rPr>
                <w:sz w:val="20"/>
                <w:szCs w:val="20"/>
                <w:color w:val="auto"/>
              </w:rPr>
            </w:pPr>
            <w:r>
              <w:rPr>
                <w:rFonts w:ascii="MS PGothic" w:cs="MS PGothic" w:eastAsia="MS PGothic" w:hAnsi="MS PGothic"/>
                <w:sz w:val="18"/>
                <w:szCs w:val="18"/>
                <w:color w:val="auto"/>
              </w:rPr>
              <w:t>☐</w:t>
            </w:r>
          </w:p>
        </w:tc>
        <w:tc>
          <w:tcPr>
            <w:tcW w:w="3140" w:type="dxa"/>
            <w:vAlign w:val="bottom"/>
          </w:tcPr>
          <w:p>
            <w:pPr>
              <w:ind w:left="600"/>
              <w:spacing w:after="0"/>
              <w:rPr>
                <w:sz w:val="20"/>
                <w:szCs w:val="20"/>
                <w:color w:val="auto"/>
              </w:rPr>
            </w:pPr>
            <w:r>
              <w:rPr>
                <w:rFonts w:ascii="Arial" w:cs="Arial" w:eastAsia="Arial" w:hAnsi="Arial"/>
                <w:sz w:val="18"/>
                <w:szCs w:val="18"/>
                <w:color w:val="auto"/>
              </w:rPr>
              <w:t>Accelerated filer</w:t>
            </w:r>
          </w:p>
        </w:tc>
        <w:tc>
          <w:tcPr>
            <w:tcW w:w="720" w:type="dxa"/>
            <w:vAlign w:val="bottom"/>
          </w:tcPr>
          <w:p>
            <w:pPr>
              <w:ind w:left="560"/>
              <w:spacing w:after="0"/>
              <w:rPr>
                <w:sz w:val="20"/>
                <w:szCs w:val="20"/>
                <w:color w:val="auto"/>
              </w:rPr>
            </w:pPr>
            <w:r>
              <w:rPr>
                <w:rFonts w:ascii="Arial" w:cs="Arial" w:eastAsia="Arial" w:hAnsi="Arial"/>
                <w:sz w:val="18"/>
                <w:szCs w:val="18"/>
                <w:color w:val="auto"/>
              </w:rPr>
              <w:t>x</w:t>
            </w:r>
          </w:p>
        </w:tc>
      </w:tr>
      <w:tr>
        <w:trPr>
          <w:trHeight w:val="500"/>
        </w:trPr>
        <w:tc>
          <w:tcPr>
            <w:tcW w:w="2320" w:type="dxa"/>
            <w:vAlign w:val="bottom"/>
          </w:tcPr>
          <w:p>
            <w:pPr>
              <w:spacing w:after="0"/>
              <w:rPr>
                <w:sz w:val="20"/>
                <w:szCs w:val="20"/>
                <w:color w:val="auto"/>
              </w:rPr>
            </w:pPr>
            <w:r>
              <w:rPr>
                <w:rFonts w:ascii="Arial" w:cs="Arial" w:eastAsia="Arial" w:hAnsi="Arial"/>
                <w:sz w:val="18"/>
                <w:szCs w:val="18"/>
                <w:color w:val="auto"/>
              </w:rPr>
              <w:t>Non-accelerated filer</w:t>
            </w:r>
          </w:p>
        </w:tc>
        <w:tc>
          <w:tcPr>
            <w:tcW w:w="4880" w:type="dxa"/>
            <w:vAlign w:val="bottom"/>
          </w:tcPr>
          <w:p>
            <w:pPr>
              <w:ind w:left="7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140" w:type="dxa"/>
            <w:vAlign w:val="bottom"/>
          </w:tcPr>
          <w:p>
            <w:pPr>
              <w:ind w:left="600"/>
              <w:spacing w:after="0"/>
              <w:rPr>
                <w:sz w:val="20"/>
                <w:szCs w:val="20"/>
                <w:color w:val="auto"/>
              </w:rPr>
            </w:pPr>
            <w:r>
              <w:rPr>
                <w:rFonts w:ascii="Arial" w:cs="Arial" w:eastAsia="Arial" w:hAnsi="Arial"/>
                <w:sz w:val="18"/>
                <w:szCs w:val="18"/>
                <w:color w:val="auto"/>
              </w:rPr>
              <w:t>Smaller reporting company</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99"/>
        </w:trPr>
        <w:tc>
          <w:tcPr>
            <w:tcW w:w="23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3140" w:type="dxa"/>
            <w:vAlign w:val="bottom"/>
          </w:tcPr>
          <w:p>
            <w:pPr>
              <w:ind w:left="600"/>
              <w:spacing w:after="0"/>
              <w:rPr>
                <w:sz w:val="20"/>
                <w:szCs w:val="20"/>
                <w:color w:val="auto"/>
              </w:rPr>
            </w:pPr>
            <w:r>
              <w:rPr>
                <w:rFonts w:ascii="Arial" w:cs="Arial" w:eastAsia="Arial" w:hAnsi="Arial"/>
                <w:sz w:val="18"/>
                <w:szCs w:val="18"/>
                <w:color w:val="auto"/>
              </w:rPr>
              <w:t>Emerging growth company</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41" w:lineRule="exact"/>
        <w:rPr>
          <w:sz w:val="20"/>
          <w:szCs w:val="20"/>
          <w:color w:val="auto"/>
        </w:rPr>
      </w:pPr>
    </w:p>
    <w:p>
      <w:pPr>
        <w:jc w:val="both"/>
        <w:ind w:left="20"/>
        <w:spacing w:after="0" w:line="224"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0"/>
          <w:szCs w:val="20"/>
          <w:color w:val="auto"/>
        </w:rPr>
      </w:pPr>
    </w:p>
    <w:p>
      <w:pPr>
        <w:ind w:right="1640"/>
        <w:spacing w:after="0" w:line="326"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 The registrant had 30,822,993 shares of its common stock outstanding as of August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922020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52070</wp:posOffset>
            </wp:positionV>
            <wp:extent cx="71151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151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100"/>
          </w:cols>
          <w:pgMar w:left="320" w:top="310" w:right="4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1020" w:type="dxa"/>
            <w:vAlign w:val="bottom"/>
            <w:gridSpan w:val="22"/>
          </w:tcPr>
          <w:p>
            <w:pPr>
              <w:spacing w:after="0"/>
              <w:rPr>
                <w:sz w:val="20"/>
                <w:szCs w:val="20"/>
                <w:color w:val="auto"/>
              </w:rPr>
            </w:pPr>
            <w:r>
              <w:rPr>
                <w:rFonts w:ascii="Arial" w:cs="Arial" w:eastAsia="Arial" w:hAnsi="Arial"/>
                <w:sz w:val="18"/>
                <w:szCs w:val="18"/>
                <w:b w:val="1"/>
                <w:bCs w:val="1"/>
                <w:color w:val="0000FF"/>
              </w:rPr>
              <w:t>Table of Contents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0"/>
        </w:trPr>
        <w:tc>
          <w:tcPr>
            <w:tcW w:w="20" w:type="dxa"/>
            <w:vAlign w:val="bottom"/>
            <w:tcBorders>
              <w:top w:val="single" w:sz="8" w:color="0000FF"/>
            </w:tcBorders>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720" w:type="dxa"/>
            <w:vAlign w:val="bottom"/>
            <w:gridSpan w:val="9"/>
          </w:tcPr>
          <w:p>
            <w:pPr>
              <w:ind w:left="1360"/>
              <w:spacing w:after="0"/>
              <w:rPr>
                <w:sz w:val="20"/>
                <w:szCs w:val="20"/>
                <w:color w:val="auto"/>
              </w:rPr>
            </w:pPr>
            <w:r>
              <w:rPr>
                <w:rFonts w:ascii="Arial" w:cs="Arial" w:eastAsia="Arial" w:hAnsi="Arial"/>
                <w:sz w:val="18"/>
                <w:szCs w:val="18"/>
                <w:b w:val="1"/>
                <w:bCs w:val="1"/>
                <w:color w:val="auto"/>
              </w:rPr>
              <w:t>TABLE OF CONTENTS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308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b w:val="1"/>
                <w:bCs w:val="1"/>
                <w:color w:val="0000FF"/>
              </w:rPr>
              <w:t>PART I. FINANCIAL INFORMATION</w:t>
            </w:r>
          </w:p>
        </w:tc>
        <w:tc>
          <w:tcPr>
            <w:tcW w:w="7920" w:type="dxa"/>
            <w:vAlign w:val="bottom"/>
            <w:gridSpan w:val="10"/>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10080" w:type="dxa"/>
            <w:vAlign w:val="bottom"/>
            <w:gridSpan w:val="20"/>
          </w:tcPr>
          <w:p>
            <w:pPr>
              <w:spacing w:after="0"/>
              <w:rPr>
                <w:sz w:val="20"/>
                <w:szCs w:val="20"/>
                <w:color w:val="auto"/>
              </w:rPr>
            </w:pPr>
            <w:r>
              <w:rPr>
                <w:rFonts w:ascii="Arial" w:cs="Arial" w:eastAsia="Arial" w:hAnsi="Arial"/>
                <w:sz w:val="18"/>
                <w:szCs w:val="18"/>
                <w:color w:val="0000FF"/>
              </w:rPr>
              <w:t>Financial Statements (unaudited)</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80" w:type="dxa"/>
            <w:vAlign w:val="bottom"/>
            <w:gridSpan w:val="20"/>
          </w:tcPr>
          <w:p>
            <w:pPr>
              <w:spacing w:after="0"/>
              <w:rPr>
                <w:sz w:val="20"/>
                <w:szCs w:val="20"/>
                <w:color w:val="auto"/>
              </w:rPr>
            </w:pPr>
            <w:r>
              <w:rPr>
                <w:rFonts w:ascii="Arial" w:cs="Arial" w:eastAsia="Arial" w:hAnsi="Arial"/>
                <w:sz w:val="18"/>
                <w:szCs w:val="18"/>
                <w:color w:val="0000FF"/>
              </w:rPr>
              <w:t>Condensed Consolidated Balance Sheets as of July 29, 2023, and January 28, 2023</w:t>
            </w:r>
          </w:p>
        </w:tc>
        <w:tc>
          <w:tcPr>
            <w:tcW w:w="180" w:type="dxa"/>
            <w:vAlign w:val="bottom"/>
            <w:gridSpan w:val="2"/>
          </w:tcPr>
          <w:p>
            <w:pPr>
              <w:jc w:val="right"/>
              <w:spacing w:after="0"/>
              <w:rPr>
                <w:sz w:val="20"/>
                <w:szCs w:val="20"/>
                <w:color w:val="auto"/>
              </w:rPr>
            </w:pPr>
            <w:r>
              <w:rPr>
                <w:rFonts w:ascii="Arial" w:cs="Arial" w:eastAsia="Arial" w:hAnsi="Arial"/>
                <w:sz w:val="18"/>
                <w:szCs w:val="18"/>
                <w:color w:val="0000FF"/>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80" w:type="dxa"/>
            <w:vAlign w:val="bottom"/>
            <w:gridSpan w:val="20"/>
          </w:tcPr>
          <w:p>
            <w:pPr>
              <w:spacing w:after="0"/>
              <w:rPr>
                <w:sz w:val="20"/>
                <w:szCs w:val="20"/>
                <w:color w:val="auto"/>
              </w:rPr>
            </w:pPr>
            <w:r>
              <w:rPr>
                <w:rFonts w:ascii="Arial" w:cs="Arial" w:eastAsia="Arial" w:hAnsi="Arial"/>
                <w:sz w:val="18"/>
                <w:szCs w:val="18"/>
                <w:color w:val="0000FF"/>
              </w:rPr>
              <w:t>Condensed Consolidated Statements of Operations for the Thirteen and Twenty-Six Weeks Ended July 29, 2023, and July 30,</w:t>
            </w:r>
          </w:p>
        </w:tc>
        <w:tc>
          <w:tcPr>
            <w:tcW w:w="80" w:type="dxa"/>
            <w:vAlign w:val="bottom"/>
            <w:vMerge w:val="restart"/>
          </w:tcPr>
          <w:p>
            <w:pPr>
              <w:spacing w:after="0"/>
              <w:rPr>
                <w:sz w:val="22"/>
                <w:szCs w:val="22"/>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0000FF"/>
                <w:w w:val="79"/>
              </w:rPr>
              <w:t>5</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Borders>
              <w:top w:val="single" w:sz="8" w:color="0000FF"/>
              <w:bottom w:val="single" w:sz="8" w:color="0000FF"/>
            </w:tcBorders>
          </w:tcPr>
          <w:p>
            <w:pPr>
              <w:spacing w:after="0" w:line="169" w:lineRule="exact"/>
              <w:rPr>
                <w:sz w:val="20"/>
                <w:szCs w:val="20"/>
                <w:color w:val="auto"/>
              </w:rPr>
            </w:pPr>
            <w:r>
              <w:rPr>
                <w:rFonts w:ascii="Arial" w:cs="Arial" w:eastAsia="Arial" w:hAnsi="Arial"/>
                <w:sz w:val="18"/>
                <w:szCs w:val="18"/>
                <w:color w:val="0000FF"/>
                <w:w w:val="84"/>
              </w:rPr>
              <w:t>2022</w:t>
            </w:r>
          </w:p>
        </w:tc>
        <w:tc>
          <w:tcPr>
            <w:tcW w:w="6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188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1620" w:type="dxa"/>
            <w:vAlign w:val="bottom"/>
            <w:tcBorders>
              <w:top w:val="single" w:sz="8" w:color="0000FF"/>
            </w:tcBorders>
          </w:tcPr>
          <w:p>
            <w:pPr>
              <w:spacing w:after="0"/>
              <w:rPr>
                <w:sz w:val="14"/>
                <w:szCs w:val="14"/>
                <w:color w:val="auto"/>
              </w:rPr>
            </w:pPr>
          </w:p>
        </w:tc>
        <w:tc>
          <w:tcPr>
            <w:tcW w:w="480" w:type="dxa"/>
            <w:vAlign w:val="bottom"/>
            <w:tcBorders>
              <w:top w:val="single" w:sz="8" w:color="0000FF"/>
            </w:tcBorders>
          </w:tcPr>
          <w:p>
            <w:pPr>
              <w:spacing w:after="0"/>
              <w:rPr>
                <w:sz w:val="14"/>
                <w:szCs w:val="14"/>
                <w:color w:val="auto"/>
              </w:rPr>
            </w:pPr>
          </w:p>
        </w:tc>
        <w:tc>
          <w:tcPr>
            <w:tcW w:w="2080" w:type="dxa"/>
            <w:vAlign w:val="bottom"/>
            <w:tcBorders>
              <w:top w:val="single" w:sz="8" w:color="0000FF"/>
            </w:tcBorders>
          </w:tcPr>
          <w:p>
            <w:pPr>
              <w:spacing w:after="0"/>
              <w:rPr>
                <w:sz w:val="14"/>
                <w:szCs w:val="14"/>
                <w:color w:val="auto"/>
              </w:rPr>
            </w:pPr>
          </w:p>
        </w:tc>
        <w:tc>
          <w:tcPr>
            <w:tcW w:w="500" w:type="dxa"/>
            <w:vAlign w:val="bottom"/>
            <w:tcBorders>
              <w:top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100" w:type="dxa"/>
            <w:vAlign w:val="bottom"/>
            <w:tcBorders>
              <w:bottom w:val="single" w:sz="8" w:color="0000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80" w:type="dxa"/>
            <w:vAlign w:val="bottom"/>
            <w:gridSpan w:val="20"/>
          </w:tcPr>
          <w:p>
            <w:pPr>
              <w:spacing w:after="0"/>
              <w:rPr>
                <w:sz w:val="20"/>
                <w:szCs w:val="20"/>
                <w:color w:val="auto"/>
              </w:rPr>
            </w:pPr>
            <w:r>
              <w:rPr>
                <w:rFonts w:ascii="Arial" w:cs="Arial" w:eastAsia="Arial" w:hAnsi="Arial"/>
                <w:sz w:val="18"/>
                <w:szCs w:val="18"/>
                <w:color w:val="0000FF"/>
                <w:w w:val="99"/>
              </w:rPr>
              <w:t>Condensed Consolidated Statements of Comprehensive Income (Loss) for the Thirteen and Twenty-Six Weeks Ended July 29,</w:t>
            </w:r>
          </w:p>
        </w:tc>
        <w:tc>
          <w:tcPr>
            <w:tcW w:w="80" w:type="dxa"/>
            <w:vAlign w:val="bottom"/>
            <w:vMerge w:val="restart"/>
          </w:tcPr>
          <w:p>
            <w:pPr>
              <w:spacing w:after="0"/>
              <w:rPr>
                <w:sz w:val="22"/>
                <w:szCs w:val="22"/>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0000FF"/>
                <w:w w:val="79"/>
              </w:rPr>
              <w:t>6</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720" w:type="dxa"/>
            <w:vAlign w:val="bottom"/>
            <w:tcBorders>
              <w:top w:val="single" w:sz="8" w:color="0000FF"/>
              <w:bottom w:val="single" w:sz="8" w:color="0000FF"/>
            </w:tcBorders>
            <w:gridSpan w:val="7"/>
          </w:tcPr>
          <w:p>
            <w:pPr>
              <w:spacing w:after="0" w:line="169" w:lineRule="exact"/>
              <w:rPr>
                <w:sz w:val="20"/>
                <w:szCs w:val="20"/>
                <w:color w:val="auto"/>
              </w:rPr>
            </w:pPr>
            <w:r>
              <w:rPr>
                <w:rFonts w:ascii="Arial" w:cs="Arial" w:eastAsia="Arial" w:hAnsi="Arial"/>
                <w:sz w:val="18"/>
                <w:szCs w:val="18"/>
                <w:color w:val="0000FF"/>
                <w:w w:val="88"/>
              </w:rPr>
              <w:t>2023, and July 30, 2022</w:t>
            </w:r>
          </w:p>
        </w:tc>
        <w:tc>
          <w:tcPr>
            <w:tcW w:w="7360" w:type="dxa"/>
            <w:vAlign w:val="bottom"/>
            <w:tcBorders>
              <w:top w:val="single" w:sz="8" w:color="0000FF"/>
            </w:tcBorders>
            <w:gridSpan w:val="11"/>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100" w:type="dxa"/>
            <w:vAlign w:val="bottom"/>
            <w:tcBorders>
              <w:bottom w:val="single" w:sz="8" w:color="0000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80" w:type="dxa"/>
            <w:vAlign w:val="bottom"/>
            <w:gridSpan w:val="20"/>
          </w:tcPr>
          <w:p>
            <w:pPr>
              <w:spacing w:after="0"/>
              <w:rPr>
                <w:sz w:val="20"/>
                <w:szCs w:val="20"/>
                <w:color w:val="auto"/>
              </w:rPr>
            </w:pPr>
            <w:r>
              <w:rPr>
                <w:rFonts w:ascii="Arial" w:cs="Arial" w:eastAsia="Arial" w:hAnsi="Arial"/>
                <w:sz w:val="18"/>
                <w:szCs w:val="18"/>
                <w:color w:val="0000FF"/>
                <w:w w:val="99"/>
              </w:rPr>
              <w:t>Condensed Consolidated Statements of Shareholders' Equity for the Thirteen and Twenty-Six Weeks Ended July 29, 2023, and</w:t>
            </w:r>
          </w:p>
        </w:tc>
        <w:tc>
          <w:tcPr>
            <w:tcW w:w="180" w:type="dxa"/>
            <w:vAlign w:val="bottom"/>
            <w:gridSpan w:val="2"/>
            <w:vMerge w:val="restart"/>
          </w:tcPr>
          <w:p>
            <w:pPr>
              <w:jc w:val="right"/>
              <w:spacing w:after="0"/>
              <w:rPr>
                <w:sz w:val="20"/>
                <w:szCs w:val="20"/>
                <w:color w:val="auto"/>
              </w:rPr>
            </w:pPr>
            <w:r>
              <w:rPr>
                <w:rFonts w:ascii="Arial" w:cs="Arial" w:eastAsia="Arial" w:hAnsi="Arial"/>
                <w:sz w:val="18"/>
                <w:szCs w:val="18"/>
                <w:color w:val="0000FF"/>
              </w:rPr>
              <w:t>7</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100" w:type="dxa"/>
            <w:vAlign w:val="bottom"/>
            <w:tcBorders>
              <w:top w:val="single" w:sz="8" w:color="0000FF"/>
            </w:tcBorders>
            <w:gridSpan w:val="19"/>
          </w:tcPr>
          <w:p>
            <w:pPr>
              <w:spacing w:after="0" w:line="169" w:lineRule="exact"/>
              <w:rPr>
                <w:sz w:val="20"/>
                <w:szCs w:val="20"/>
                <w:color w:val="auto"/>
              </w:rPr>
            </w:pPr>
            <w:r>
              <w:rPr>
                <w:rFonts w:ascii="Arial" w:cs="Arial" w:eastAsia="Arial" w:hAnsi="Arial"/>
                <w:sz w:val="18"/>
                <w:szCs w:val="18"/>
                <w:color w:val="0000FF"/>
              </w:rPr>
              <w:t>July 30, 2022</w:t>
            </w:r>
          </w:p>
        </w:tc>
        <w:tc>
          <w:tcPr>
            <w:tcW w:w="980" w:type="dxa"/>
            <w:vAlign w:val="bottom"/>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52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color w:val="0000FF"/>
                <w:w w:val="89"/>
              </w:rPr>
              <w:t>Condensed Consolidated Statements of Cash Flows for the Twenty-Six Weeks Ended July 29, 2023, and July 30, 2022</w:t>
            </w:r>
          </w:p>
        </w:tc>
        <w:tc>
          <w:tcPr>
            <w:tcW w:w="1560" w:type="dxa"/>
            <w:vAlign w:val="bottom"/>
            <w:gridSpan w:val="4"/>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9</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80" w:type="dxa"/>
            <w:vAlign w:val="bottom"/>
            <w:gridSpan w:val="20"/>
          </w:tcPr>
          <w:p>
            <w:pPr>
              <w:spacing w:after="0"/>
              <w:rPr>
                <w:sz w:val="20"/>
                <w:szCs w:val="20"/>
                <w:color w:val="auto"/>
              </w:rPr>
            </w:pPr>
            <w:r>
              <w:rPr>
                <w:rFonts w:ascii="Arial" w:cs="Arial" w:eastAsia="Arial" w:hAnsi="Arial"/>
                <w:sz w:val="18"/>
                <w:szCs w:val="18"/>
                <w:color w:val="0000FF"/>
              </w:rPr>
              <w:t>Notes to the Condensed Consolidated Financial Statements</w:t>
            </w:r>
          </w:p>
        </w:tc>
        <w:tc>
          <w:tcPr>
            <w:tcW w:w="180" w:type="dxa"/>
            <w:vAlign w:val="bottom"/>
            <w:gridSpan w:val="2"/>
          </w:tcPr>
          <w:p>
            <w:pPr>
              <w:jc w:val="right"/>
              <w:spacing w:after="0"/>
              <w:rPr>
                <w:sz w:val="20"/>
                <w:szCs w:val="20"/>
                <w:color w:val="auto"/>
              </w:rPr>
            </w:pPr>
            <w:r>
              <w:rPr>
                <w:rFonts w:ascii="Arial" w:cs="Arial" w:eastAsia="Arial" w:hAnsi="Arial"/>
                <w:sz w:val="18"/>
                <w:szCs w:val="18"/>
                <w:color w:val="0000FF"/>
                <w:w w:val="79"/>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38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640" w:type="dxa"/>
            <w:vAlign w:val="bottom"/>
            <w:gridSpan w:val="5"/>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10080" w:type="dxa"/>
            <w:vAlign w:val="bottom"/>
            <w:gridSpan w:val="20"/>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80" w:type="dxa"/>
            <w:vAlign w:val="bottom"/>
            <w:gridSpan w:val="2"/>
          </w:tcPr>
          <w:p>
            <w:pPr>
              <w:jc w:val="right"/>
              <w:spacing w:after="0"/>
              <w:rPr>
                <w:sz w:val="20"/>
                <w:szCs w:val="20"/>
                <w:color w:val="auto"/>
              </w:rPr>
            </w:pPr>
            <w:r>
              <w:rPr>
                <w:rFonts w:ascii="Arial" w:cs="Arial" w:eastAsia="Arial" w:hAnsi="Arial"/>
                <w:sz w:val="18"/>
                <w:szCs w:val="18"/>
                <w:color w:val="0000FF"/>
                <w:w w:val="79"/>
              </w:rPr>
              <w:t>27</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3.</w:t>
            </w:r>
          </w:p>
        </w:tc>
        <w:tc>
          <w:tcPr>
            <w:tcW w:w="6440" w:type="dxa"/>
            <w:vAlign w:val="bottom"/>
            <w:tcBorders>
              <w:top w:val="single" w:sz="8" w:color="0000FF"/>
            </w:tcBorders>
            <w:gridSpan w:val="15"/>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3640" w:type="dxa"/>
            <w:vAlign w:val="bottom"/>
            <w:gridSpan w:val="5"/>
          </w:tcPr>
          <w:p>
            <w:pPr>
              <w:spacing w:after="0"/>
              <w:rPr>
                <w:sz w:val="22"/>
                <w:szCs w:val="22"/>
                <w:color w:val="auto"/>
              </w:rPr>
            </w:pPr>
          </w:p>
        </w:tc>
        <w:tc>
          <w:tcPr>
            <w:tcW w:w="180" w:type="dxa"/>
            <w:vAlign w:val="bottom"/>
            <w:tcBorders>
              <w:top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39</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4.</w:t>
            </w:r>
          </w:p>
        </w:tc>
        <w:tc>
          <w:tcPr>
            <w:tcW w:w="1760" w:type="dxa"/>
            <w:vAlign w:val="bottom"/>
            <w:tcBorders>
              <w:top w:val="single" w:sz="8" w:color="0000FF"/>
              <w:bottom w:val="single" w:sz="8" w:color="0000FF"/>
            </w:tcBorders>
            <w:gridSpan w:val="8"/>
          </w:tcPr>
          <w:p>
            <w:pPr>
              <w:spacing w:after="0"/>
              <w:rPr>
                <w:sz w:val="20"/>
                <w:szCs w:val="20"/>
                <w:color w:val="auto"/>
              </w:rPr>
            </w:pPr>
            <w:r>
              <w:rPr>
                <w:rFonts w:ascii="Arial" w:cs="Arial" w:eastAsia="Arial" w:hAnsi="Arial"/>
                <w:sz w:val="18"/>
                <w:szCs w:val="18"/>
                <w:color w:val="0000FF"/>
                <w:w w:val="87"/>
              </w:rPr>
              <w:t>Controls and Procedures</w:t>
            </w:r>
          </w:p>
        </w:tc>
        <w:tc>
          <w:tcPr>
            <w:tcW w:w="2580" w:type="dxa"/>
            <w:vAlign w:val="bottom"/>
            <w:tcBorders>
              <w:top w:val="single" w:sz="8" w:color="0000FF"/>
            </w:tcBorders>
            <w:gridSpan w:val="5"/>
          </w:tcPr>
          <w:p>
            <w:pPr>
              <w:spacing w:after="0"/>
              <w:rPr>
                <w:sz w:val="22"/>
                <w:szCs w:val="22"/>
                <w:color w:val="auto"/>
              </w:rPr>
            </w:pPr>
          </w:p>
        </w:tc>
        <w:tc>
          <w:tcPr>
            <w:tcW w:w="5740" w:type="dxa"/>
            <w:vAlign w:val="bottom"/>
            <w:gridSpan w:val="7"/>
          </w:tcPr>
          <w:p>
            <w:pPr>
              <w:spacing w:after="0"/>
              <w:rPr>
                <w:sz w:val="22"/>
                <w:szCs w:val="22"/>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39</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78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b w:val="1"/>
                <w:bCs w:val="1"/>
                <w:color w:val="0000FF"/>
              </w:rPr>
              <w:t>PART II. OTHER INFORMATION</w:t>
            </w:r>
          </w:p>
        </w:tc>
        <w:tc>
          <w:tcPr>
            <w:tcW w:w="8220" w:type="dxa"/>
            <w:vAlign w:val="bottom"/>
            <w:gridSpan w:val="11"/>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10080" w:type="dxa"/>
            <w:vAlign w:val="bottom"/>
            <w:gridSpan w:val="20"/>
          </w:tcPr>
          <w:p>
            <w:pPr>
              <w:spacing w:after="0"/>
              <w:rPr>
                <w:sz w:val="20"/>
                <w:szCs w:val="20"/>
                <w:color w:val="auto"/>
              </w:rPr>
            </w:pPr>
            <w:r>
              <w:rPr>
                <w:rFonts w:ascii="Arial" w:cs="Arial" w:eastAsia="Arial" w:hAnsi="Arial"/>
                <w:sz w:val="18"/>
                <w:szCs w:val="18"/>
                <w:color w:val="0000FF"/>
              </w:rPr>
              <w:t>Legal Proceedings</w:t>
            </w:r>
          </w:p>
        </w:tc>
        <w:tc>
          <w:tcPr>
            <w:tcW w:w="180" w:type="dxa"/>
            <w:vAlign w:val="bottom"/>
            <w:gridSpan w:val="2"/>
          </w:tcPr>
          <w:p>
            <w:pPr>
              <w:jc w:val="right"/>
              <w:spacing w:after="0"/>
              <w:rPr>
                <w:sz w:val="20"/>
                <w:szCs w:val="20"/>
                <w:color w:val="auto"/>
              </w:rPr>
            </w:pPr>
            <w:r>
              <w:rPr>
                <w:rFonts w:ascii="Arial" w:cs="Arial" w:eastAsia="Arial" w:hAnsi="Arial"/>
                <w:sz w:val="18"/>
                <w:szCs w:val="18"/>
                <w:color w:val="0000FF"/>
                <w:w w:val="79"/>
              </w:rPr>
              <w:t>40</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1A.</w:t>
            </w:r>
          </w:p>
        </w:tc>
        <w:tc>
          <w:tcPr>
            <w:tcW w:w="96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8"/>
                <w:szCs w:val="18"/>
                <w:color w:val="0000FF"/>
                <w:w w:val="91"/>
              </w:rPr>
              <w:t>Risk Factors</w:t>
            </w:r>
          </w:p>
        </w:tc>
        <w:tc>
          <w:tcPr>
            <w:tcW w:w="360" w:type="dxa"/>
            <w:vAlign w:val="bottom"/>
            <w:tcBorders>
              <w:top w:val="single" w:sz="8" w:color="0000FF"/>
            </w:tcBorders>
            <w:gridSpan w:val="2"/>
          </w:tcPr>
          <w:p>
            <w:pPr>
              <w:spacing w:after="0"/>
              <w:rPr>
                <w:sz w:val="22"/>
                <w:szCs w:val="22"/>
                <w:color w:val="auto"/>
              </w:rPr>
            </w:pPr>
          </w:p>
        </w:tc>
        <w:tc>
          <w:tcPr>
            <w:tcW w:w="8760" w:type="dxa"/>
            <w:vAlign w:val="bottom"/>
            <w:gridSpan w:val="14"/>
          </w:tcPr>
          <w:p>
            <w:pPr>
              <w:spacing w:after="0"/>
              <w:rPr>
                <w:sz w:val="22"/>
                <w:szCs w:val="22"/>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40</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434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89"/>
              </w:rPr>
              <w:t>Unregistered Sales of Equity Securities and Use of Proceeds</w:t>
            </w:r>
          </w:p>
        </w:tc>
        <w:tc>
          <w:tcPr>
            <w:tcW w:w="5740" w:type="dxa"/>
            <w:vAlign w:val="bottom"/>
            <w:gridSpan w:val="7"/>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41</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5.</w:t>
            </w:r>
          </w:p>
        </w:tc>
        <w:tc>
          <w:tcPr>
            <w:tcW w:w="10080" w:type="dxa"/>
            <w:vAlign w:val="bottom"/>
            <w:gridSpan w:val="20"/>
          </w:tcPr>
          <w:p>
            <w:pPr>
              <w:spacing w:after="0"/>
              <w:rPr>
                <w:sz w:val="20"/>
                <w:szCs w:val="20"/>
                <w:color w:val="auto"/>
              </w:rPr>
            </w:pPr>
            <w:r>
              <w:rPr>
                <w:rFonts w:ascii="Arial" w:cs="Arial" w:eastAsia="Arial" w:hAnsi="Arial"/>
                <w:sz w:val="18"/>
                <w:szCs w:val="18"/>
                <w:color w:val="0000FF"/>
              </w:rPr>
              <w:t>Other Information</w:t>
            </w:r>
          </w:p>
        </w:tc>
        <w:tc>
          <w:tcPr>
            <w:tcW w:w="180" w:type="dxa"/>
            <w:vAlign w:val="bottom"/>
            <w:gridSpan w:val="2"/>
          </w:tcPr>
          <w:p>
            <w:pPr>
              <w:jc w:val="right"/>
              <w:spacing w:after="0"/>
              <w:rPr>
                <w:sz w:val="20"/>
                <w:szCs w:val="20"/>
                <w:color w:val="auto"/>
              </w:rPr>
            </w:pPr>
            <w:r>
              <w:rPr>
                <w:rFonts w:ascii="Arial" w:cs="Arial" w:eastAsia="Arial" w:hAnsi="Arial"/>
                <w:sz w:val="18"/>
                <w:szCs w:val="18"/>
                <w:color w:val="0000FF"/>
                <w:w w:val="79"/>
              </w:rPr>
              <w:t>41</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8"/>
                <w:szCs w:val="18"/>
                <w:color w:val="0000FF"/>
                <w:w w:val="91"/>
              </w:rPr>
              <w:t>Exhibits</w:t>
            </w:r>
          </w:p>
        </w:tc>
        <w:tc>
          <w:tcPr>
            <w:tcW w:w="700" w:type="dxa"/>
            <w:vAlign w:val="bottom"/>
            <w:tcBorders>
              <w:top w:val="single" w:sz="8" w:color="0000FF"/>
            </w:tcBorders>
            <w:gridSpan w:val="2"/>
          </w:tcPr>
          <w:p>
            <w:pPr>
              <w:spacing w:after="0"/>
              <w:rPr>
                <w:sz w:val="22"/>
                <w:szCs w:val="22"/>
                <w:color w:val="auto"/>
              </w:rPr>
            </w:pPr>
          </w:p>
        </w:tc>
        <w:tc>
          <w:tcPr>
            <w:tcW w:w="8780" w:type="dxa"/>
            <w:vAlign w:val="bottom"/>
            <w:gridSpan w:val="15"/>
          </w:tcPr>
          <w:p>
            <w:pPr>
              <w:spacing w:after="0"/>
              <w:rPr>
                <w:sz w:val="22"/>
                <w:szCs w:val="22"/>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42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This report contains forward-looking statements that are subject to risks and uncertainties. All statements other than statements of historical or current fact included in this report are forward-looking statements. Forward-looking statements include references to our current expectations and projections relating to our financial condition, results of operations, plans, objectives, strategies, future performance, and business. You can identify forward-looking statements by the fact that they do not relate strictly to historical or current facts. These statements may include words such as “anticipate,” “estimate,” “expect,” “project,” “plan,” “intend,” “believe,” “may,” “might,” “will,” “should,” “can have,” and “likely” and other words and terms of similar meaning in connection with any discussion of the timing or nature of future operating or financial performance or other events. For example, all statements we make relating to our estimated and projected earnings, revenues, costs, expenditures, cash flows, growth rates, and financial results, our plans and objectives for future operations, growth, initiatives, or strategies, or the expected outcome or impact of pending or threatened litigation are forward-looking statements. All forward-looking statements are subject to risks and uncertainties that may cause actual results to differ materially from those that we expected, including:</w:t>
      </w:r>
    </w:p>
    <w:p>
      <w:pPr>
        <w:spacing w:after="0" w:line="64"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inability to successfully implement our long-term strategic plans, including Project Restoration;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declines in our comparable sales;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inability to maintain and enhance our brands;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failure of our multi-channel distribution model;</w:t>
      </w:r>
    </w:p>
    <w:p>
      <w:pPr>
        <w:spacing w:after="0" w:line="90" w:lineRule="exact"/>
        <w:rPr>
          <w:rFonts w:ascii="Arial" w:cs="Arial" w:eastAsia="Arial" w:hAnsi="Arial"/>
          <w:sz w:val="18"/>
          <w:szCs w:val="18"/>
          <w:color w:val="auto"/>
        </w:rPr>
      </w:pPr>
    </w:p>
    <w:p>
      <w:pPr>
        <w:ind w:left="660" w:right="30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adverse changes in general economic conditions and their impact on consumer confidence and consumer spending, including political unrest, social unrest, acts of war and terrorism, and other related matters;</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inability to predict and respond in a timely manner to changes in consumer demand;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inability to successfully open new stores and/or operate current stores as planned;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loss of key management or design associates or inability to attract and retain the talent required for our business;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data security or privacy breaches or disruptions in our computer systems or websites;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disruptions in our supply chain;</w:t>
      </w:r>
    </w:p>
    <w:p>
      <w:pPr>
        <w:spacing w:after="0" w:line="90"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new or increased tariffs on our products and increases in inbound and outbound freight expense that could lead to increased product costs and lower profit margins; and</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public health pandemics and actions by governmental or other actors regarding containment.</w:t>
      </w:r>
    </w:p>
    <w:p>
      <w:pPr>
        <w:spacing w:after="0" w:line="171"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We derive many of our forward-looking statements from our operating plans and forecasts, which are based upon detailed assumptions. While we believe that our assumptions are reasonable, we caution that it is difficult to predict the impact of known factors, and it is impossible for us to anticipate all factors that could affect our actual results.</w:t>
      </w:r>
    </w:p>
    <w:p>
      <w:pPr>
        <w:spacing w:after="0" w:line="130"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For a discussion of the above described risks and uncertainties and other risks and uncertainties that could cause actual results to differ materially from those contained in our forward-looking statements, please refer to “Risk Factors” in Item 1A of our Annual Report on Form 10-K for the fiscal year ended January 28, 2023, as well as in Item 1A herein.</w:t>
      </w:r>
    </w:p>
    <w:p>
      <w:pPr>
        <w:spacing w:after="0" w:line="130"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We caution you that the risks and uncertainties identified by us may not be all of the factors that are important to you. Furthermore, the forward-looking statements included in this report are made only as of the date hereof. We undertake no obligation to publicly update or revise any forward-looking statement as a result of new information, future events,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5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July 29,</w:t>
            </w:r>
          </w:p>
        </w:tc>
        <w:tc>
          <w:tcPr>
            <w:tcW w:w="220" w:type="dxa"/>
            <w:vAlign w:val="bottom"/>
          </w:tcPr>
          <w:p>
            <w:pPr>
              <w:spacing w:after="0"/>
              <w:rPr>
                <w:sz w:val="14"/>
                <w:szCs w:val="14"/>
                <w:color w:val="auto"/>
              </w:rPr>
            </w:pPr>
          </w:p>
        </w:tc>
        <w:tc>
          <w:tcPr>
            <w:tcW w:w="1220" w:type="dxa"/>
            <w:vAlign w:val="bottom"/>
          </w:tcPr>
          <w:p>
            <w:pPr>
              <w:jc w:val="right"/>
              <w:ind w:right="280"/>
              <w:spacing w:after="0"/>
              <w:rPr>
                <w:sz w:val="20"/>
                <w:szCs w:val="20"/>
                <w:color w:val="auto"/>
              </w:rPr>
            </w:pPr>
            <w:r>
              <w:rPr>
                <w:rFonts w:ascii="Arial" w:cs="Arial" w:eastAsia="Arial" w:hAnsi="Arial"/>
                <w:sz w:val="14"/>
                <w:szCs w:val="14"/>
                <w:b w:val="1"/>
                <w:bCs w:val="1"/>
                <w:color w:val="auto"/>
              </w:rPr>
              <w:t>January 28,</w:t>
            </w:r>
          </w:p>
        </w:tc>
        <w:tc>
          <w:tcPr>
            <w:tcW w:w="0" w:type="dxa"/>
            <w:vAlign w:val="bottom"/>
          </w:tcPr>
          <w:p>
            <w:pPr>
              <w:spacing w:after="0"/>
              <w:rPr>
                <w:sz w:val="1"/>
                <w:szCs w:val="1"/>
                <w:color w:val="auto"/>
              </w:rPr>
            </w:pPr>
          </w:p>
        </w:tc>
      </w:tr>
      <w:tr>
        <w:trPr>
          <w:trHeight w:val="192"/>
        </w:trPr>
        <w:tc>
          <w:tcPr>
            <w:tcW w:w="82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02"/>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46,595</w:t>
            </w:r>
          </w:p>
        </w:tc>
        <w:tc>
          <w:tcPr>
            <w:tcW w:w="0" w:type="dxa"/>
            <w:vAlign w:val="bottom"/>
          </w:tcPr>
          <w:p>
            <w:pPr>
              <w:spacing w:after="0"/>
              <w:rPr>
                <w:sz w:val="1"/>
                <w:szCs w:val="1"/>
                <w:color w:val="auto"/>
              </w:rPr>
            </w:pPr>
          </w:p>
        </w:tc>
      </w:tr>
      <w:tr>
        <w:trPr>
          <w:trHeight w:val="213"/>
        </w:trPr>
        <w:tc>
          <w:tcPr>
            <w:tcW w:w="8240" w:type="dxa"/>
            <w:vAlign w:val="bottom"/>
          </w:tcPr>
          <w:p>
            <w:pPr>
              <w:ind w:left="220"/>
              <w:spacing w:after="0"/>
              <w:rPr>
                <w:sz w:val="20"/>
                <w:szCs w:val="20"/>
                <w:color w:val="auto"/>
              </w:rPr>
            </w:pPr>
            <w:r>
              <w:rPr>
                <w:rFonts w:ascii="Arial" w:cs="Arial" w:eastAsia="Arial" w:hAnsi="Arial"/>
                <w:sz w:val="16"/>
                <w:szCs w:val="16"/>
                <w:color w:val="auto"/>
              </w:rPr>
              <w:t>Accounts receivable, net</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23,944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22,105</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Inventories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139,301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142,275</w:t>
            </w:r>
          </w:p>
        </w:tc>
        <w:tc>
          <w:tcPr>
            <w:tcW w:w="0" w:type="dxa"/>
            <w:vAlign w:val="bottom"/>
          </w:tcPr>
          <w:p>
            <w:pPr>
              <w:spacing w:after="0"/>
              <w:rPr>
                <w:sz w:val="1"/>
                <w:szCs w:val="1"/>
                <w:color w:val="auto"/>
              </w:rPr>
            </w:pPr>
          </w:p>
        </w:tc>
      </w:tr>
      <w:tr>
        <w:trPr>
          <w:trHeight w:val="213"/>
        </w:trPr>
        <w:tc>
          <w:tcPr>
            <w:tcW w:w="8240" w:type="dxa"/>
            <w:vAlign w:val="bottom"/>
          </w:tcPr>
          <w:p>
            <w:pPr>
              <w:ind w:left="220"/>
              <w:spacing w:after="0"/>
              <w:rPr>
                <w:sz w:val="20"/>
                <w:szCs w:val="20"/>
                <w:color w:val="auto"/>
              </w:rPr>
            </w:pPr>
            <w:r>
              <w:rPr>
                <w:rFonts w:ascii="Arial" w:cs="Arial" w:eastAsia="Arial" w:hAnsi="Arial"/>
                <w:sz w:val="16"/>
                <w:szCs w:val="16"/>
                <w:color w:val="auto"/>
              </w:rPr>
              <w:t>Income taxes receivable</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2,180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1,311</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14,625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14,276</w:t>
            </w:r>
          </w:p>
        </w:tc>
        <w:tc>
          <w:tcPr>
            <w:tcW w:w="0" w:type="dxa"/>
            <w:vAlign w:val="bottom"/>
          </w:tcPr>
          <w:p>
            <w:pPr>
              <w:spacing w:after="0"/>
              <w:rPr>
                <w:sz w:val="1"/>
                <w:szCs w:val="1"/>
                <w:color w:val="auto"/>
              </w:rPr>
            </w:pPr>
          </w:p>
        </w:tc>
      </w:tr>
      <w:tr>
        <w:trPr>
          <w:trHeight w:val="207"/>
        </w:trPr>
        <w:tc>
          <w:tcPr>
            <w:tcW w:w="8240" w:type="dxa"/>
            <w:vAlign w:val="bottom"/>
          </w:tcPr>
          <w:p>
            <w:pPr>
              <w:ind w:left="480"/>
              <w:spacing w:after="0"/>
              <w:rPr>
                <w:sz w:val="20"/>
                <w:szCs w:val="20"/>
                <w:color w:val="auto"/>
              </w:rPr>
            </w:pPr>
            <w:r>
              <w:rPr>
                <w:rFonts w:ascii="Arial" w:cs="Arial" w:eastAsia="Arial" w:hAnsi="Arial"/>
                <w:sz w:val="16"/>
                <w:szCs w:val="16"/>
                <w:color w:val="auto"/>
              </w:rPr>
              <w:t>Total current assets</w:t>
            </w: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228,572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226,562</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right-of-use assets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69,932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77,954</w:t>
            </w: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Property, plant, and equipment, net</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56,127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58,674</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 net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15,918</w:t>
            </w: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Deferred income taxes</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20,014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21,542</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3,851</w:t>
            </w:r>
          </w:p>
        </w:tc>
        <w:tc>
          <w:tcPr>
            <w:tcW w:w="0" w:type="dxa"/>
            <w:vAlign w:val="bottom"/>
          </w:tcPr>
          <w:p>
            <w:pPr>
              <w:spacing w:after="0"/>
              <w:rPr>
                <w:sz w:val="1"/>
                <w:szCs w:val="1"/>
                <w:color w:val="auto"/>
              </w:rPr>
            </w:pPr>
          </w:p>
        </w:tc>
      </w:tr>
      <w:tr>
        <w:trPr>
          <w:trHeight w:val="207"/>
        </w:trPr>
        <w:tc>
          <w:tcPr>
            <w:tcW w:w="8240" w:type="dxa"/>
            <w:vAlign w:val="bottom"/>
          </w:tcPr>
          <w:p>
            <w:pPr>
              <w:ind w:left="480"/>
              <w:spacing w:after="0"/>
              <w:rPr>
                <w:sz w:val="20"/>
                <w:szCs w:val="20"/>
                <w:color w:val="auto"/>
              </w:rPr>
            </w:pPr>
            <w:r>
              <w:rPr>
                <w:rFonts w:ascii="Arial" w:cs="Arial" w:eastAsia="Arial" w:hAnsi="Arial"/>
                <w:sz w:val="16"/>
                <w:szCs w:val="16"/>
                <w:color w:val="auto"/>
              </w:rPr>
              <w:t>Total assets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391,500</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404,501</w:t>
            </w: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Redeemable Noncontrolling Interest, and Shareholders’ Equity</w:t>
            </w: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20,350</w:t>
            </w:r>
          </w:p>
        </w:tc>
        <w:tc>
          <w:tcPr>
            <w:tcW w:w="0" w:type="dxa"/>
            <w:vAlign w:val="bottom"/>
          </w:tcPr>
          <w:p>
            <w:pPr>
              <w:spacing w:after="0"/>
              <w:rPr>
                <w:sz w:val="1"/>
                <w:szCs w:val="1"/>
                <w:color w:val="auto"/>
              </w:rPr>
            </w:pPr>
          </w:p>
        </w:tc>
      </w:tr>
      <w:tr>
        <w:trPr>
          <w:trHeight w:val="213"/>
        </w:trPr>
        <w:tc>
          <w:tcPr>
            <w:tcW w:w="8240" w:type="dxa"/>
            <w:vAlign w:val="bottom"/>
          </w:tcPr>
          <w:p>
            <w:pPr>
              <w:ind w:left="220"/>
              <w:spacing w:after="0"/>
              <w:rPr>
                <w:sz w:val="20"/>
                <w:szCs w:val="20"/>
                <w:color w:val="auto"/>
              </w:rPr>
            </w:pPr>
            <w:r>
              <w:rPr>
                <w:rFonts w:ascii="Arial" w:cs="Arial" w:eastAsia="Arial" w:hAnsi="Arial"/>
                <w:sz w:val="16"/>
                <w:szCs w:val="16"/>
                <w:color w:val="auto"/>
              </w:rPr>
              <w:t>Accrued employment costs</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12,965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14,312</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Short-term operating lease liabilities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19,587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19,714</w:t>
            </w:r>
          </w:p>
        </w:tc>
        <w:tc>
          <w:tcPr>
            <w:tcW w:w="0" w:type="dxa"/>
            <w:vAlign w:val="bottom"/>
          </w:tcPr>
          <w:p>
            <w:pPr>
              <w:spacing w:after="0"/>
              <w:rPr>
                <w:sz w:val="1"/>
                <w:szCs w:val="1"/>
                <w:color w:val="auto"/>
              </w:rPr>
            </w:pPr>
          </w:p>
        </w:tc>
      </w:tr>
      <w:tr>
        <w:trPr>
          <w:trHeight w:val="213"/>
        </w:trPr>
        <w:tc>
          <w:tcPr>
            <w:tcW w:w="8240" w:type="dxa"/>
            <w:vAlign w:val="bottom"/>
          </w:tcPr>
          <w:p>
            <w:pPr>
              <w:ind w:left="220"/>
              <w:spacing w:after="0"/>
              <w:rPr>
                <w:sz w:val="20"/>
                <w:szCs w:val="20"/>
                <w:color w:val="auto"/>
              </w:rPr>
            </w:pPr>
            <w:r>
              <w:rPr>
                <w:rFonts w:ascii="Arial" w:cs="Arial" w:eastAsia="Arial" w:hAnsi="Arial"/>
                <w:sz w:val="16"/>
                <w:szCs w:val="16"/>
                <w:color w:val="auto"/>
              </w:rPr>
              <w:t>Other accrued liabilities</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13,496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12,723</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Income taxes payable</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558</w:t>
            </w:r>
          </w:p>
        </w:tc>
        <w:tc>
          <w:tcPr>
            <w:tcW w:w="0" w:type="dxa"/>
            <w:vAlign w:val="bottom"/>
          </w:tcPr>
          <w:p>
            <w:pPr>
              <w:spacing w:after="0"/>
              <w:rPr>
                <w:sz w:val="1"/>
                <w:szCs w:val="1"/>
                <w:color w:val="auto"/>
              </w:rPr>
            </w:pPr>
          </w:p>
        </w:tc>
      </w:tr>
      <w:tr>
        <w:trPr>
          <w:trHeight w:val="206"/>
        </w:trPr>
        <w:tc>
          <w:tcPr>
            <w:tcW w:w="8240" w:type="dxa"/>
            <w:vAlign w:val="bottom"/>
          </w:tcPr>
          <w:p>
            <w:pPr>
              <w:ind w:left="480"/>
              <w:spacing w:after="0"/>
              <w:rPr>
                <w:sz w:val="20"/>
                <w:szCs w:val="20"/>
                <w:color w:val="auto"/>
              </w:rPr>
            </w:pPr>
            <w:r>
              <w:rPr>
                <w:rFonts w:ascii="Arial" w:cs="Arial" w:eastAsia="Arial" w:hAnsi="Arial"/>
                <w:sz w:val="16"/>
                <w:szCs w:val="16"/>
                <w:color w:val="auto"/>
              </w:rPr>
              <w:t>Total current liabilities</w:t>
            </w: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68,181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67,657</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operating lease liabilities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66,718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74,664</w:t>
            </w:r>
          </w:p>
        </w:tc>
        <w:tc>
          <w:tcPr>
            <w:tcW w:w="0" w:type="dxa"/>
            <w:vAlign w:val="bottom"/>
          </w:tcPr>
          <w:p>
            <w:pPr>
              <w:spacing w:after="0"/>
              <w:rPr>
                <w:sz w:val="1"/>
                <w:szCs w:val="1"/>
                <w:color w:val="auto"/>
              </w:rPr>
            </w:pPr>
          </w:p>
        </w:tc>
      </w:tr>
      <w:tr>
        <w:trPr>
          <w:trHeight w:val="213"/>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long-term liabilities</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13"/>
        </w:trPr>
        <w:tc>
          <w:tcPr>
            <w:tcW w:w="82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liabilities</w:t>
            </w: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134,981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142,411</w:t>
            </w:r>
          </w:p>
        </w:tc>
        <w:tc>
          <w:tcPr>
            <w:tcW w:w="0" w:type="dxa"/>
            <w:vAlign w:val="bottom"/>
          </w:tcPr>
          <w:p>
            <w:pPr>
              <w:spacing w:after="0"/>
              <w:rPr>
                <w:sz w:val="1"/>
                <w:szCs w:val="1"/>
                <w:color w:val="auto"/>
              </w:rPr>
            </w:pPr>
          </w:p>
        </w:tc>
      </w:tr>
      <w:tr>
        <w:trPr>
          <w:trHeight w:val="193"/>
        </w:trPr>
        <w:tc>
          <w:tcPr>
            <w:tcW w:w="8240" w:type="dxa"/>
            <w:vAlign w:val="bottom"/>
          </w:tcPr>
          <w:p>
            <w:pPr>
              <w:ind w:left="20"/>
              <w:spacing w:after="0"/>
              <w:rPr>
                <w:sz w:val="20"/>
                <w:szCs w:val="20"/>
                <w:color w:val="auto"/>
              </w:rPr>
            </w:pPr>
            <w:r>
              <w:rPr>
                <w:rFonts w:ascii="Arial" w:cs="Arial" w:eastAsia="Arial" w:hAnsi="Arial"/>
                <w:sz w:val="16"/>
                <w:szCs w:val="16"/>
                <w:color w:val="auto"/>
              </w:rPr>
              <w:t>Commitments and contingencies</w:t>
            </w: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Redeemable noncontrolling interest</w:t>
            </w: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10,712</w:t>
            </w: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Shareholders’ equity:</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Preferred stock; 5,000 shares authorized, no shares issued or outstanding</w:t>
            </w: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6"/>
        </w:trPr>
        <w:tc>
          <w:tcPr>
            <w:tcW w:w="8240" w:type="dxa"/>
            <w:vAlign w:val="bottom"/>
          </w:tcPr>
          <w:p>
            <w:pPr>
              <w:ind w:left="220"/>
              <w:spacing w:after="0" w:line="166" w:lineRule="exact"/>
              <w:rPr>
                <w:sz w:val="20"/>
                <w:szCs w:val="20"/>
                <w:color w:val="auto"/>
              </w:rPr>
            </w:pPr>
            <w:r>
              <w:rPr>
                <w:rFonts w:ascii="Arial" w:cs="Arial" w:eastAsia="Arial" w:hAnsi="Arial"/>
                <w:sz w:val="16"/>
                <w:szCs w:val="16"/>
                <w:color w:val="auto"/>
                <w:w w:val="94"/>
              </w:rPr>
              <w:t>Common stock, without par value; 200,000 shares authorized, 43,176 and 42,846 shares issued and 30,848 and 30,766</w:t>
            </w:r>
          </w:p>
        </w:tc>
        <w:tc>
          <w:tcPr>
            <w:tcW w:w="300" w:type="dxa"/>
            <w:vAlign w:val="bottom"/>
          </w:tcPr>
          <w:p>
            <w:pPr>
              <w:spacing w:after="0"/>
              <w:rPr>
                <w:sz w:val="14"/>
                <w:szCs w:val="14"/>
                <w:color w:val="auto"/>
              </w:rPr>
            </w:pP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8240" w:type="dxa"/>
            <w:vAlign w:val="bottom"/>
          </w:tcPr>
          <w:p>
            <w:pPr>
              <w:ind w:left="220"/>
              <w:spacing w:after="0"/>
              <w:rPr>
                <w:sz w:val="20"/>
                <w:szCs w:val="20"/>
                <w:color w:val="auto"/>
              </w:rPr>
            </w:pPr>
            <w:r>
              <w:rPr>
                <w:rFonts w:ascii="Arial" w:cs="Arial" w:eastAsia="Arial" w:hAnsi="Arial"/>
                <w:sz w:val="16"/>
                <w:szCs w:val="16"/>
                <w:color w:val="auto"/>
              </w:rPr>
              <w:t>shares outstanding, respectively</w:t>
            </w:r>
          </w:p>
        </w:tc>
        <w:tc>
          <w:tcPr>
            <w:tcW w:w="30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Additional paid-in-capital</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111,663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109,718</w:t>
            </w:r>
          </w:p>
        </w:tc>
        <w:tc>
          <w:tcPr>
            <w:tcW w:w="0" w:type="dxa"/>
            <w:vAlign w:val="bottom"/>
          </w:tcPr>
          <w:p>
            <w:pPr>
              <w:spacing w:after="0"/>
              <w:rPr>
                <w:sz w:val="1"/>
                <w:szCs w:val="1"/>
                <w:color w:val="auto"/>
              </w:rPr>
            </w:pPr>
          </w:p>
        </w:tc>
      </w:tr>
      <w:tr>
        <w:trPr>
          <w:trHeight w:val="213"/>
        </w:trPr>
        <w:tc>
          <w:tcPr>
            <w:tcW w:w="8240" w:type="dxa"/>
            <w:vAlign w:val="bottom"/>
          </w:tcPr>
          <w:p>
            <w:pPr>
              <w:ind w:left="220"/>
              <w:spacing w:after="0"/>
              <w:rPr>
                <w:sz w:val="20"/>
                <w:szCs w:val="20"/>
                <w:color w:val="auto"/>
              </w:rPr>
            </w:pPr>
            <w:r>
              <w:rPr>
                <w:rFonts w:ascii="Arial" w:cs="Arial" w:eastAsia="Arial" w:hAnsi="Arial"/>
                <w:sz w:val="16"/>
                <w:szCs w:val="16"/>
                <w:color w:val="auto"/>
              </w:rPr>
              <w:t>Retained earnings</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279,204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274,629</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Accumulated other comprehensive loss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13"/>
        </w:trPr>
        <w:tc>
          <w:tcPr>
            <w:tcW w:w="82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Treasury stock</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(134,279)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(132,864)</w:t>
            </w:r>
          </w:p>
        </w:tc>
        <w:tc>
          <w:tcPr>
            <w:tcW w:w="0" w:type="dxa"/>
            <w:vAlign w:val="bottom"/>
          </w:tcPr>
          <w:p>
            <w:pPr>
              <w:spacing w:after="0"/>
              <w:rPr>
                <w:sz w:val="1"/>
                <w:szCs w:val="1"/>
                <w:color w:val="auto"/>
              </w:rPr>
            </w:pPr>
          </w:p>
        </w:tc>
      </w:tr>
      <w:tr>
        <w:trPr>
          <w:trHeight w:val="213"/>
        </w:trPr>
        <w:tc>
          <w:tcPr>
            <w:tcW w:w="82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shareholders’ equity of Vera Bradley, Inc.</w:t>
            </w: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256,519</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251,378</w:t>
            </w:r>
          </w:p>
        </w:tc>
        <w:tc>
          <w:tcPr>
            <w:tcW w:w="0" w:type="dxa"/>
            <w:vAlign w:val="bottom"/>
          </w:tcPr>
          <w:p>
            <w:pPr>
              <w:spacing w:after="0"/>
              <w:rPr>
                <w:sz w:val="1"/>
                <w:szCs w:val="1"/>
                <w:color w:val="auto"/>
              </w:rPr>
            </w:pPr>
          </w:p>
        </w:tc>
      </w:tr>
      <w:tr>
        <w:trPr>
          <w:trHeight w:val="207"/>
        </w:trPr>
        <w:tc>
          <w:tcPr>
            <w:tcW w:w="8240" w:type="dxa"/>
            <w:vAlign w:val="bottom"/>
          </w:tcPr>
          <w:p>
            <w:pPr>
              <w:ind w:left="480"/>
              <w:spacing w:after="0"/>
              <w:rPr>
                <w:sz w:val="20"/>
                <w:szCs w:val="20"/>
                <w:color w:val="auto"/>
              </w:rPr>
            </w:pPr>
            <w:r>
              <w:rPr>
                <w:rFonts w:ascii="Arial" w:cs="Arial" w:eastAsia="Arial" w:hAnsi="Arial"/>
                <w:sz w:val="16"/>
                <w:szCs w:val="16"/>
                <w:color w:val="auto"/>
              </w:rPr>
              <w:t>Total liabilities, redeemable noncontrolling interest, and shareholders’ equity</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391,500</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404,501</w:t>
            </w:r>
          </w:p>
        </w:tc>
        <w:tc>
          <w:tcPr>
            <w:tcW w:w="0" w:type="dxa"/>
            <w:vAlign w:val="bottom"/>
          </w:tcPr>
          <w:p>
            <w:pPr>
              <w:spacing w:after="0"/>
              <w:rPr>
                <w:sz w:val="1"/>
                <w:szCs w:val="1"/>
                <w:color w:val="auto"/>
              </w:rPr>
            </w:pPr>
          </w:p>
        </w:tc>
      </w:tr>
      <w:tr>
        <w:trPr>
          <w:trHeight w:val="23"/>
        </w:trPr>
        <w:tc>
          <w:tcPr>
            <w:tcW w:w="8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(in thousands, except per share data)</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60" w:type="dxa"/>
            <w:vAlign w:val="bottom"/>
            <w:gridSpan w:val="5"/>
          </w:tcPr>
          <w:p>
            <w:pPr>
              <w:ind w:left="480"/>
              <w:spacing w:after="0"/>
              <w:rPr>
                <w:sz w:val="20"/>
                <w:szCs w:val="20"/>
                <w:color w:val="auto"/>
              </w:rPr>
            </w:pPr>
            <w:r>
              <w:rPr>
                <w:rFonts w:ascii="Arial" w:cs="Arial" w:eastAsia="Arial" w:hAnsi="Arial"/>
                <w:sz w:val="14"/>
                <w:szCs w:val="14"/>
                <w:b w:val="1"/>
                <w:bCs w:val="1"/>
                <w:color w:val="auto"/>
              </w:rPr>
              <w:t>Thirteen Weeks Ended</w:t>
            </w:r>
          </w:p>
        </w:tc>
        <w:tc>
          <w:tcPr>
            <w:tcW w:w="300" w:type="dxa"/>
            <w:vAlign w:val="bottom"/>
          </w:tcPr>
          <w:p>
            <w:pPr>
              <w:spacing w:after="0"/>
              <w:rPr>
                <w:sz w:val="16"/>
                <w:szCs w:val="16"/>
                <w:color w:val="auto"/>
              </w:rPr>
            </w:pPr>
          </w:p>
        </w:tc>
        <w:tc>
          <w:tcPr>
            <w:tcW w:w="2680" w:type="dxa"/>
            <w:vAlign w:val="bottom"/>
            <w:gridSpan w:val="4"/>
          </w:tcPr>
          <w:p>
            <w:pPr>
              <w:jc w:val="right"/>
              <w:ind w:right="612"/>
              <w:spacing w:after="0"/>
              <w:rPr>
                <w:sz w:val="20"/>
                <w:szCs w:val="20"/>
                <w:color w:val="auto"/>
              </w:rPr>
            </w:pPr>
            <w:r>
              <w:rPr>
                <w:rFonts w:ascii="Arial" w:cs="Arial" w:eastAsia="Arial" w:hAnsi="Arial"/>
                <w:sz w:val="14"/>
                <w:szCs w:val="14"/>
                <w:b w:val="1"/>
                <w:bCs w:val="1"/>
                <w:color w:val="auto"/>
              </w:rPr>
              <w:t>Twenty-Six Weeks Ended</w:t>
            </w:r>
          </w:p>
        </w:tc>
      </w:tr>
      <w:tr>
        <w:trPr>
          <w:trHeight w:val="26"/>
        </w:trPr>
        <w:tc>
          <w:tcPr>
            <w:tcW w:w="5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33"/>
        </w:trPr>
        <w:tc>
          <w:tcPr>
            <w:tcW w:w="522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tcPr>
          <w:p>
            <w:pPr>
              <w:ind w:left="180"/>
              <w:spacing w:after="0" w:line="133" w:lineRule="exact"/>
              <w:rPr>
                <w:sz w:val="20"/>
                <w:szCs w:val="20"/>
                <w:color w:val="auto"/>
              </w:rPr>
            </w:pPr>
            <w:r>
              <w:rPr>
                <w:rFonts w:ascii="Arial" w:cs="Arial" w:eastAsia="Arial" w:hAnsi="Arial"/>
                <w:sz w:val="14"/>
                <w:szCs w:val="14"/>
                <w:b w:val="1"/>
                <w:bCs w:val="1"/>
                <w:color w:val="auto"/>
              </w:rPr>
              <w:t>July 29,</w:t>
            </w:r>
          </w:p>
        </w:tc>
        <w:tc>
          <w:tcPr>
            <w:tcW w:w="3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right"/>
              <w:ind w:right="372"/>
              <w:spacing w:after="0" w:line="133" w:lineRule="exact"/>
              <w:rPr>
                <w:sz w:val="20"/>
                <w:szCs w:val="20"/>
                <w:color w:val="auto"/>
              </w:rPr>
            </w:pPr>
            <w:r>
              <w:rPr>
                <w:rFonts w:ascii="Arial" w:cs="Arial" w:eastAsia="Arial" w:hAnsi="Arial"/>
                <w:sz w:val="14"/>
                <w:szCs w:val="14"/>
                <w:b w:val="1"/>
                <w:bCs w:val="1"/>
                <w:color w:val="auto"/>
              </w:rPr>
              <w:t>July 30,</w:t>
            </w:r>
          </w:p>
        </w:tc>
        <w:tc>
          <w:tcPr>
            <w:tcW w:w="10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tcPr>
          <w:p>
            <w:pPr>
              <w:ind w:left="180"/>
              <w:spacing w:after="0" w:line="133" w:lineRule="exact"/>
              <w:rPr>
                <w:sz w:val="20"/>
                <w:szCs w:val="20"/>
                <w:color w:val="auto"/>
              </w:rPr>
            </w:pPr>
            <w:r>
              <w:rPr>
                <w:rFonts w:ascii="Arial" w:cs="Arial" w:eastAsia="Arial" w:hAnsi="Arial"/>
                <w:sz w:val="14"/>
                <w:szCs w:val="14"/>
                <w:b w:val="1"/>
                <w:bCs w:val="1"/>
                <w:color w:val="auto"/>
              </w:rPr>
              <w:t>July 29,</w:t>
            </w:r>
          </w:p>
        </w:tc>
        <w:tc>
          <w:tcPr>
            <w:tcW w:w="30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right"/>
              <w:ind w:right="392"/>
              <w:spacing w:after="0" w:line="133" w:lineRule="exact"/>
              <w:rPr>
                <w:sz w:val="20"/>
                <w:szCs w:val="20"/>
                <w:color w:val="auto"/>
              </w:rPr>
            </w:pPr>
            <w:r>
              <w:rPr>
                <w:rFonts w:ascii="Arial" w:cs="Arial" w:eastAsia="Arial" w:hAnsi="Arial"/>
                <w:sz w:val="14"/>
                <w:szCs w:val="14"/>
                <w:b w:val="1"/>
                <w:bCs w:val="1"/>
                <w:color w:val="auto"/>
              </w:rPr>
              <w:t>July 30,</w:t>
            </w:r>
          </w:p>
        </w:tc>
      </w:tr>
      <w:tr>
        <w:trPr>
          <w:trHeight w:val="192"/>
        </w:trPr>
        <w:tc>
          <w:tcPr>
            <w:tcW w:w="52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2022</w:t>
            </w:r>
          </w:p>
        </w:tc>
      </w:tr>
      <w:tr>
        <w:trPr>
          <w:trHeight w:val="229"/>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130,371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222,534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228,830</w:t>
            </w:r>
          </w:p>
        </w:tc>
      </w:tr>
      <w:tr>
        <w:trPr>
          <w:trHeight w:val="230"/>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56,156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69,854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98,769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115,799</w:t>
            </w:r>
          </w:p>
        </w:tc>
      </w:tr>
      <w:tr>
        <w:trPr>
          <w:trHeight w:val="223"/>
        </w:trPr>
        <w:tc>
          <w:tcPr>
            <w:tcW w:w="5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123,765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113,031</w:t>
            </w:r>
          </w:p>
        </w:tc>
      </w:tr>
      <w:tr>
        <w:trPr>
          <w:trHeight w:val="230"/>
        </w:trPr>
        <w:tc>
          <w:tcPr>
            <w:tcW w:w="522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59,405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74,042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117,911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134,956</w:t>
            </w:r>
          </w:p>
        </w:tc>
      </w:tr>
      <w:tr>
        <w:trPr>
          <w:trHeight w:val="229"/>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of goodwill and intangible assets</w:t>
            </w: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29,338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29,338</w:t>
            </w:r>
          </w:p>
        </w:tc>
      </w:tr>
      <w:tr>
        <w:trPr>
          <w:trHeight w:val="229"/>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net</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w:t>
            </w:r>
          </w:p>
        </w:tc>
      </w:tr>
      <w:tr>
        <w:trPr>
          <w:trHeight w:val="223"/>
        </w:trPr>
        <w:tc>
          <w:tcPr>
            <w:tcW w:w="5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income (loss)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(51,054)</w:t>
            </w:r>
          </w:p>
        </w:tc>
      </w:tr>
      <w:tr>
        <w:trPr>
          <w:trHeight w:val="229"/>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expense, net</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r>
      <w:tr>
        <w:trPr>
          <w:trHeight w:val="223"/>
        </w:trPr>
        <w:tc>
          <w:tcPr>
            <w:tcW w:w="5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(loss) before income taxes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(42,857)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(51,130)</w:t>
            </w:r>
          </w:p>
        </w:tc>
      </w:tr>
      <w:tr>
        <w:trPr>
          <w:trHeight w:val="229"/>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 (benefit)</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(7,519)</w:t>
            </w:r>
          </w:p>
        </w:tc>
      </w:tr>
      <w:tr>
        <w:trPr>
          <w:trHeight w:val="223"/>
        </w:trPr>
        <w:tc>
          <w:tcPr>
            <w:tcW w:w="5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 (loss)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(43,611)</w:t>
            </w:r>
          </w:p>
        </w:tc>
      </w:tr>
      <w:tr>
        <w:trPr>
          <w:trHeight w:val="229"/>
        </w:trPr>
        <w:tc>
          <w:tcPr>
            <w:tcW w:w="5220" w:type="dxa"/>
            <w:vAlign w:val="bottom"/>
          </w:tcPr>
          <w:p>
            <w:pPr>
              <w:ind w:left="20"/>
              <w:spacing w:after="0"/>
              <w:rPr>
                <w:sz w:val="20"/>
                <w:szCs w:val="20"/>
                <w:color w:val="auto"/>
              </w:rPr>
            </w:pPr>
            <w:r>
              <w:rPr>
                <w:rFonts w:ascii="Arial" w:cs="Arial" w:eastAsia="Arial" w:hAnsi="Arial"/>
                <w:sz w:val="18"/>
                <w:szCs w:val="18"/>
                <w:color w:val="auto"/>
              </w:rPr>
              <w:t>Less: Net loss attributable to redeemable noncontrolling interest</w:t>
            </w:r>
          </w:p>
        </w:tc>
        <w:tc>
          <w:tcPr>
            <w:tcW w:w="2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(7,134)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(6,870)</w:t>
            </w:r>
          </w:p>
        </w:tc>
      </w:tr>
      <w:tr>
        <w:trPr>
          <w:trHeight w:val="248"/>
        </w:trPr>
        <w:tc>
          <w:tcPr>
            <w:tcW w:w="52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income (loss) attributable to Vera Bradley, Inc.</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(36,741)</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9"/>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weighted-average shares outstanding</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30,847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32,051</w:t>
            </w:r>
          </w:p>
        </w:tc>
      </w:tr>
      <w:tr>
        <w:trPr>
          <w:trHeight w:val="230"/>
        </w:trPr>
        <w:tc>
          <w:tcPr>
            <w:tcW w:w="5220" w:type="dxa"/>
            <w:vAlign w:val="bottom"/>
          </w:tcPr>
          <w:p>
            <w:pPr>
              <w:ind w:left="20"/>
              <w:spacing w:after="0"/>
              <w:rPr>
                <w:sz w:val="20"/>
                <w:szCs w:val="20"/>
                <w:color w:val="auto"/>
              </w:rPr>
            </w:pPr>
            <w:r>
              <w:rPr>
                <w:rFonts w:ascii="Arial" w:cs="Arial" w:eastAsia="Arial" w:hAnsi="Arial"/>
                <w:sz w:val="18"/>
                <w:szCs w:val="18"/>
                <w:color w:val="auto"/>
              </w:rPr>
              <w:t>Diluted weighted-average shares outstanding</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31,139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31,429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31,208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32,051</w:t>
            </w:r>
          </w:p>
        </w:tc>
      </w:tr>
      <w:tr>
        <w:trPr>
          <w:trHeight w:val="270"/>
        </w:trPr>
        <w:tc>
          <w:tcPr>
            <w:tcW w:w="52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188"/>
        </w:trPr>
        <w:tc>
          <w:tcPr>
            <w:tcW w:w="5220" w:type="dxa"/>
            <w:vAlign w:val="bottom"/>
          </w:tcPr>
          <w:p>
            <w:pPr>
              <w:ind w:left="20"/>
              <w:spacing w:after="0" w:line="189" w:lineRule="exact"/>
              <w:rPr>
                <w:sz w:val="20"/>
                <w:szCs w:val="20"/>
                <w:color w:val="auto"/>
              </w:rPr>
            </w:pPr>
            <w:r>
              <w:rPr>
                <w:rFonts w:ascii="Arial" w:cs="Arial" w:eastAsia="Arial" w:hAnsi="Arial"/>
                <w:sz w:val="18"/>
                <w:szCs w:val="18"/>
                <w:color w:val="auto"/>
              </w:rPr>
              <w:t>Basic net income (loss) per share available to Vera Bradley, Inc.</w:t>
            </w: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0"/>
        </w:trPr>
        <w:tc>
          <w:tcPr>
            <w:tcW w:w="5220" w:type="dxa"/>
            <w:vAlign w:val="bottom"/>
          </w:tcPr>
          <w:p>
            <w:pPr>
              <w:ind w:left="20"/>
              <w:spacing w:after="0"/>
              <w:rPr>
                <w:sz w:val="20"/>
                <w:szCs w:val="20"/>
                <w:color w:val="auto"/>
              </w:rPr>
            </w:pPr>
            <w:r>
              <w:rPr>
                <w:rFonts w:ascii="Arial" w:cs="Arial" w:eastAsia="Arial" w:hAnsi="Arial"/>
                <w:sz w:val="18"/>
                <w:szCs w:val="18"/>
                <w:color w:val="auto"/>
              </w:rPr>
              <w:t>common shareholders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(0.95)</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188"/>
        </w:trPr>
        <w:tc>
          <w:tcPr>
            <w:tcW w:w="52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8"/>
              </w:rPr>
              <w:t>Diluted net income (loss) per share available to Vera Bradley, Inc.</w:t>
            </w: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230"/>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shareholders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(0.95)</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60" w:type="dxa"/>
            <w:vAlign w:val="bottom"/>
            <w:gridSpan w:val="5"/>
          </w:tcPr>
          <w:p>
            <w:pPr>
              <w:ind w:left="480"/>
              <w:spacing w:after="0"/>
              <w:rPr>
                <w:sz w:val="20"/>
                <w:szCs w:val="20"/>
                <w:color w:val="auto"/>
              </w:rPr>
            </w:pPr>
            <w:r>
              <w:rPr>
                <w:rFonts w:ascii="Arial" w:cs="Arial" w:eastAsia="Arial" w:hAnsi="Arial"/>
                <w:sz w:val="14"/>
                <w:szCs w:val="14"/>
                <w:b w:val="1"/>
                <w:bCs w:val="1"/>
                <w:color w:val="auto"/>
              </w:rPr>
              <w:t>Thirteen Weeks Ended</w:t>
            </w:r>
          </w:p>
        </w:tc>
        <w:tc>
          <w:tcPr>
            <w:tcW w:w="300" w:type="dxa"/>
            <w:vAlign w:val="bottom"/>
          </w:tcPr>
          <w:p>
            <w:pPr>
              <w:spacing w:after="0"/>
              <w:rPr>
                <w:sz w:val="16"/>
                <w:szCs w:val="16"/>
                <w:color w:val="auto"/>
              </w:rPr>
            </w:pPr>
          </w:p>
        </w:tc>
        <w:tc>
          <w:tcPr>
            <w:tcW w:w="2660" w:type="dxa"/>
            <w:vAlign w:val="bottom"/>
            <w:gridSpan w:val="4"/>
          </w:tcPr>
          <w:p>
            <w:pPr>
              <w:jc w:val="right"/>
              <w:ind w:right="615"/>
              <w:spacing w:after="0"/>
              <w:rPr>
                <w:sz w:val="20"/>
                <w:szCs w:val="20"/>
                <w:color w:val="auto"/>
              </w:rPr>
            </w:pPr>
            <w:r>
              <w:rPr>
                <w:rFonts w:ascii="Arial" w:cs="Arial" w:eastAsia="Arial" w:hAnsi="Arial"/>
                <w:sz w:val="14"/>
                <w:szCs w:val="14"/>
                <w:b w:val="1"/>
                <w:bCs w:val="1"/>
                <w:color w:val="auto"/>
              </w:rPr>
              <w:t>Twenty-Six Weeks Ended</w:t>
            </w:r>
          </w:p>
        </w:tc>
      </w:tr>
      <w:tr>
        <w:trPr>
          <w:trHeight w:val="26"/>
        </w:trPr>
        <w:tc>
          <w:tcPr>
            <w:tcW w:w="5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33"/>
        </w:trPr>
        <w:tc>
          <w:tcPr>
            <w:tcW w:w="524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tcPr>
          <w:p>
            <w:pPr>
              <w:ind w:left="180"/>
              <w:spacing w:after="0" w:line="133" w:lineRule="exact"/>
              <w:rPr>
                <w:sz w:val="20"/>
                <w:szCs w:val="20"/>
                <w:color w:val="auto"/>
              </w:rPr>
            </w:pPr>
            <w:r>
              <w:rPr>
                <w:rFonts w:ascii="Arial" w:cs="Arial" w:eastAsia="Arial" w:hAnsi="Arial"/>
                <w:sz w:val="14"/>
                <w:szCs w:val="14"/>
                <w:b w:val="1"/>
                <w:bCs w:val="1"/>
                <w:color w:val="auto"/>
              </w:rPr>
              <w:t>July 29,</w:t>
            </w:r>
          </w:p>
        </w:tc>
        <w:tc>
          <w:tcPr>
            <w:tcW w:w="2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right"/>
              <w:ind w:right="395"/>
              <w:spacing w:after="0" w:line="133" w:lineRule="exact"/>
              <w:rPr>
                <w:sz w:val="20"/>
                <w:szCs w:val="20"/>
                <w:color w:val="auto"/>
              </w:rPr>
            </w:pPr>
            <w:r>
              <w:rPr>
                <w:rFonts w:ascii="Arial" w:cs="Arial" w:eastAsia="Arial" w:hAnsi="Arial"/>
                <w:sz w:val="14"/>
                <w:szCs w:val="14"/>
                <w:b w:val="1"/>
                <w:bCs w:val="1"/>
                <w:color w:val="auto"/>
              </w:rPr>
              <w:t>July 30,</w:t>
            </w:r>
          </w:p>
        </w:tc>
        <w:tc>
          <w:tcPr>
            <w:tcW w:w="10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ind w:left="180"/>
              <w:spacing w:after="0" w:line="133" w:lineRule="exact"/>
              <w:rPr>
                <w:sz w:val="20"/>
                <w:szCs w:val="20"/>
                <w:color w:val="auto"/>
              </w:rPr>
            </w:pPr>
            <w:r>
              <w:rPr>
                <w:rFonts w:ascii="Arial" w:cs="Arial" w:eastAsia="Arial" w:hAnsi="Arial"/>
                <w:sz w:val="14"/>
                <w:szCs w:val="14"/>
                <w:b w:val="1"/>
                <w:bCs w:val="1"/>
                <w:color w:val="auto"/>
              </w:rPr>
              <w:t>July 29,</w:t>
            </w:r>
          </w:p>
        </w:tc>
        <w:tc>
          <w:tcPr>
            <w:tcW w:w="30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right"/>
              <w:ind w:right="395"/>
              <w:spacing w:after="0" w:line="133" w:lineRule="exact"/>
              <w:rPr>
                <w:sz w:val="20"/>
                <w:szCs w:val="20"/>
                <w:color w:val="auto"/>
              </w:rPr>
            </w:pPr>
            <w:r>
              <w:rPr>
                <w:rFonts w:ascii="Arial" w:cs="Arial" w:eastAsia="Arial" w:hAnsi="Arial"/>
                <w:sz w:val="14"/>
                <w:szCs w:val="14"/>
                <w:b w:val="1"/>
                <w:bCs w:val="1"/>
                <w:color w:val="auto"/>
              </w:rPr>
              <w:t>July 30,</w:t>
            </w:r>
          </w:p>
        </w:tc>
      </w:tr>
      <w:tr>
        <w:trPr>
          <w:trHeight w:val="192"/>
        </w:trPr>
        <w:tc>
          <w:tcPr>
            <w:tcW w:w="52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2022</w:t>
            </w: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(43,611)</w:t>
            </w:r>
          </w:p>
        </w:tc>
      </w:tr>
      <w:tr>
        <w:trPr>
          <w:trHeight w:val="230"/>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Cumulative translation adjustment</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r>
      <w:tr>
        <w:trPr>
          <w:trHeight w:val="223"/>
        </w:trPr>
        <w:tc>
          <w:tcPr>
            <w:tcW w:w="5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Comprehensive income (loss), net of tax</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(36,976)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(43,717)</w:t>
            </w:r>
          </w:p>
        </w:tc>
      </w:tr>
      <w:tr>
        <w:trPr>
          <w:trHeight w:val="188"/>
        </w:trPr>
        <w:tc>
          <w:tcPr>
            <w:tcW w:w="5240" w:type="dxa"/>
            <w:vAlign w:val="bottom"/>
          </w:tcPr>
          <w:p>
            <w:pPr>
              <w:ind w:left="20"/>
              <w:spacing w:after="0" w:line="189" w:lineRule="exact"/>
              <w:rPr>
                <w:sz w:val="20"/>
                <w:szCs w:val="20"/>
                <w:color w:val="auto"/>
              </w:rPr>
            </w:pPr>
            <w:r>
              <w:rPr>
                <w:rFonts w:ascii="Arial" w:cs="Arial" w:eastAsia="Arial" w:hAnsi="Arial"/>
                <w:sz w:val="18"/>
                <w:szCs w:val="18"/>
                <w:color w:val="auto"/>
                <w:w w:val="95"/>
              </w:rPr>
              <w:t>Less: Comprehensive loss attributable to redeemable noncontrolling</w:t>
            </w: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interest</w:t>
            </w:r>
          </w:p>
        </w:tc>
        <w:tc>
          <w:tcPr>
            <w:tcW w:w="28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(7,134)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(6,870)</w:t>
            </w:r>
          </w:p>
        </w:tc>
      </w:tr>
      <w:tr>
        <w:trPr>
          <w:trHeight w:val="248"/>
        </w:trPr>
        <w:tc>
          <w:tcPr>
            <w:tcW w:w="524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w w:val="99"/>
              </w:rPr>
              <w:t>Comprehensive income (loss) attributable to Vera Bradley, Inc.</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(36,847)</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data)</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45"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4240" w:type="dxa"/>
            <w:vAlign w:val="bottom"/>
          </w:tcPr>
          <w:p>
            <w:pPr>
              <w:spacing w:after="0"/>
              <w:rPr>
                <w:sz w:val="16"/>
                <w:szCs w:val="16"/>
                <w:color w:val="auto"/>
              </w:rPr>
            </w:pPr>
          </w:p>
        </w:tc>
        <w:tc>
          <w:tcPr>
            <w:tcW w:w="2100" w:type="dxa"/>
            <w:vAlign w:val="bottom"/>
            <w:gridSpan w:val="4"/>
          </w:tcPr>
          <w:p>
            <w:pPr>
              <w:ind w:left="440"/>
              <w:spacing w:after="0"/>
              <w:rPr>
                <w:sz w:val="20"/>
                <w:szCs w:val="20"/>
                <w:color w:val="auto"/>
              </w:rPr>
            </w:pPr>
            <w:r>
              <w:rPr>
                <w:rFonts w:ascii="Arial" w:cs="Arial" w:eastAsia="Arial" w:hAnsi="Arial"/>
                <w:sz w:val="14"/>
                <w:szCs w:val="14"/>
                <w:b w:val="1"/>
                <w:bCs w:val="1"/>
                <w:color w:val="auto"/>
              </w:rPr>
              <w:t>Number of Shares</w:t>
            </w: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2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3"/>
              </w:rPr>
              <w:t>Accumulated</w:t>
            </w: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vMerge w:val="restart"/>
          </w:tcPr>
          <w:p>
            <w:pPr>
              <w:jc w:val="center"/>
              <w:ind w:right="53"/>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19"/>
        </w:trPr>
        <w:tc>
          <w:tcPr>
            <w:tcW w:w="42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3"/>
            <w:vMerge w:val="continue"/>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4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ind w:left="20"/>
              <w:spacing w:after="0" w:line="145"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35"/>
        </w:trPr>
        <w:tc>
          <w:tcPr>
            <w:tcW w:w="4240" w:type="dxa"/>
            <w:vAlign w:val="bottom"/>
          </w:tcPr>
          <w:p>
            <w:pPr>
              <w:spacing w:after="0"/>
              <w:rPr>
                <w:sz w:val="11"/>
                <w:szCs w:val="11"/>
                <w:color w:val="auto"/>
              </w:rPr>
            </w:pPr>
          </w:p>
        </w:tc>
        <w:tc>
          <w:tcPr>
            <w:tcW w:w="10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Common</w:t>
            </w:r>
          </w:p>
        </w:tc>
        <w:tc>
          <w:tcPr>
            <w:tcW w:w="10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Treasury</w:t>
            </w:r>
          </w:p>
        </w:tc>
        <w:tc>
          <w:tcPr>
            <w:tcW w:w="94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Retained</w:t>
            </w:r>
          </w:p>
        </w:tc>
        <w:tc>
          <w:tcPr>
            <w:tcW w:w="200" w:type="dxa"/>
            <w:vAlign w:val="bottom"/>
          </w:tcPr>
          <w:p>
            <w:pPr>
              <w:spacing w:after="0"/>
              <w:rPr>
                <w:sz w:val="11"/>
                <w:szCs w:val="11"/>
                <w:color w:val="auto"/>
              </w:rPr>
            </w:pPr>
          </w:p>
        </w:tc>
        <w:tc>
          <w:tcPr>
            <w:tcW w:w="88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rPr>
              <w:t>Other</w:t>
            </w:r>
          </w:p>
        </w:tc>
        <w:tc>
          <w:tcPr>
            <w:tcW w:w="9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Treasury</w:t>
            </w:r>
          </w:p>
        </w:tc>
        <w:tc>
          <w:tcPr>
            <w:tcW w:w="140" w:type="dxa"/>
            <w:vAlign w:val="bottom"/>
          </w:tcPr>
          <w:p>
            <w:pPr>
              <w:spacing w:after="0"/>
              <w:rPr>
                <w:sz w:val="11"/>
                <w:szCs w:val="11"/>
                <w:color w:val="auto"/>
              </w:rPr>
            </w:pPr>
          </w:p>
        </w:tc>
        <w:tc>
          <w:tcPr>
            <w:tcW w:w="760" w:type="dxa"/>
            <w:vAlign w:val="bottom"/>
          </w:tcPr>
          <w:p>
            <w:pPr>
              <w:jc w:val="center"/>
              <w:ind w:right="53"/>
              <w:spacing w:after="0" w:line="135" w:lineRule="exact"/>
              <w:rPr>
                <w:sz w:val="20"/>
                <w:szCs w:val="20"/>
                <w:color w:val="auto"/>
              </w:rPr>
            </w:pPr>
            <w:r>
              <w:rPr>
                <w:rFonts w:ascii="Arial" w:cs="Arial" w:eastAsia="Arial" w:hAnsi="Arial"/>
                <w:sz w:val="14"/>
                <w:szCs w:val="14"/>
                <w:b w:val="1"/>
                <w:bCs w:val="1"/>
                <w:color w:val="auto"/>
                <w:w w:val="96"/>
              </w:rPr>
              <w:t>Equity of</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Paid-in</w:t>
            </w:r>
          </w:p>
        </w:tc>
        <w:tc>
          <w:tcPr>
            <w:tcW w:w="1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8"/>
              </w:rPr>
              <w:t>Comprehensive</w:t>
            </w:r>
          </w:p>
        </w:tc>
        <w:tc>
          <w:tcPr>
            <w:tcW w:w="940" w:type="dxa"/>
            <w:vAlign w:val="bottom"/>
            <w:gridSpan w:val="2"/>
            <w:vMerge w:val="continue"/>
          </w:tcPr>
          <w:p>
            <w:pPr>
              <w:spacing w:after="0"/>
              <w:rPr>
                <w:sz w:val="12"/>
                <w:szCs w:val="12"/>
                <w:color w:val="auto"/>
              </w:rPr>
            </w:pPr>
          </w:p>
        </w:tc>
        <w:tc>
          <w:tcPr>
            <w:tcW w:w="9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6"/>
              </w:rPr>
              <w:t>Vera Bradley,</w:t>
            </w:r>
          </w:p>
        </w:tc>
        <w:tc>
          <w:tcPr>
            <w:tcW w:w="0" w:type="dxa"/>
            <w:vAlign w:val="bottom"/>
          </w:tcPr>
          <w:p>
            <w:pPr>
              <w:spacing w:after="0"/>
              <w:rPr>
                <w:sz w:val="1"/>
                <w:szCs w:val="1"/>
                <w:color w:val="auto"/>
              </w:rPr>
            </w:pPr>
          </w:p>
        </w:tc>
      </w:tr>
      <w:tr>
        <w:trPr>
          <w:trHeight w:val="196"/>
        </w:trPr>
        <w:tc>
          <w:tcPr>
            <w:tcW w:w="4240" w:type="dxa"/>
            <w:vAlign w:val="bottom"/>
          </w:tcPr>
          <w:p>
            <w:pPr>
              <w:spacing w:after="0"/>
              <w:rPr>
                <w:sz w:val="17"/>
                <w:szCs w:val="17"/>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Stock</w:t>
            </w:r>
          </w:p>
        </w:tc>
        <w:tc>
          <w:tcPr>
            <w:tcW w:w="10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7"/>
                <w:szCs w:val="17"/>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7"/>
                <w:szCs w:val="17"/>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200" w:type="dxa"/>
            <w:vAlign w:val="bottom"/>
          </w:tcPr>
          <w:p>
            <w:pPr>
              <w:spacing w:after="0"/>
              <w:rPr>
                <w:sz w:val="17"/>
                <w:szCs w:val="17"/>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Loss</w:t>
            </w:r>
          </w:p>
        </w:tc>
        <w:tc>
          <w:tcPr>
            <w:tcW w:w="940" w:type="dxa"/>
            <w:vAlign w:val="bottom"/>
            <w:gridSpan w:val="2"/>
          </w:tcPr>
          <w:p>
            <w:pPr>
              <w:ind w:left="260"/>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7"/>
                <w:szCs w:val="17"/>
                <w:color w:val="auto"/>
              </w:rPr>
            </w:pPr>
          </w:p>
        </w:tc>
        <w:tc>
          <w:tcPr>
            <w:tcW w:w="760" w:type="dxa"/>
            <w:vAlign w:val="bottom"/>
          </w:tcPr>
          <w:p>
            <w:pPr>
              <w:jc w:val="center"/>
              <w:ind w:right="73"/>
              <w:spacing w:after="0"/>
              <w:rPr>
                <w:sz w:val="20"/>
                <w:szCs w:val="20"/>
                <w:color w:val="auto"/>
              </w:rPr>
            </w:pPr>
            <w:r>
              <w:rPr>
                <w:rFonts w:ascii="Arial" w:cs="Arial" w:eastAsia="Arial" w:hAnsi="Arial"/>
                <w:sz w:val="14"/>
                <w:szCs w:val="14"/>
                <w:b w:val="1"/>
                <w:bCs w:val="1"/>
                <w:color w:val="auto"/>
                <w:w w:val="99"/>
              </w:rPr>
              <w:t>Inc.</w:t>
            </w:r>
          </w:p>
        </w:tc>
        <w:tc>
          <w:tcPr>
            <w:tcW w:w="0" w:type="dxa"/>
            <w:vAlign w:val="bottom"/>
          </w:tcPr>
          <w:p>
            <w:pPr>
              <w:spacing w:after="0"/>
              <w:rPr>
                <w:sz w:val="1"/>
                <w:szCs w:val="1"/>
                <w:color w:val="auto"/>
              </w:rPr>
            </w:pPr>
          </w:p>
        </w:tc>
      </w:tr>
      <w:tr>
        <w:trPr>
          <w:trHeight w:val="229"/>
        </w:trPr>
        <w:tc>
          <w:tcPr>
            <w:tcW w:w="4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January 28, 2023</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30,766,024</w:t>
            </w:r>
          </w:p>
        </w:tc>
        <w:tc>
          <w:tcPr>
            <w:tcW w:w="8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12,079,690</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109,718</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274,629</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(105)</w:t>
            </w:r>
          </w:p>
        </w:tc>
        <w:tc>
          <w:tcPr>
            <w:tcW w:w="8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 (132,864)</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251,378</w:t>
            </w: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Net loss attributable to Vera Bradley, Inc.</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(4,679)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(4,679)</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Translation adjustments</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4240" w:type="dxa"/>
            <w:vAlign w:val="bottom"/>
          </w:tcPr>
          <w:p>
            <w:pPr>
              <w:spacing w:after="0"/>
              <w:rPr>
                <w:sz w:val="20"/>
                <w:szCs w:val="20"/>
                <w:color w:val="auto"/>
              </w:rPr>
            </w:pPr>
            <w:r>
              <w:rPr>
                <w:rFonts w:ascii="Arial" w:cs="Arial" w:eastAsia="Arial" w:hAnsi="Arial"/>
                <w:sz w:val="18"/>
                <w:szCs w:val="18"/>
                <w:color w:val="auto"/>
                <w:w w:val="99"/>
              </w:rPr>
              <w:t>Restricted shares vested, net of repurchase for taxes</w:t>
            </w:r>
          </w:p>
        </w:tc>
        <w:tc>
          <w:tcPr>
            <w:tcW w:w="960" w:type="dxa"/>
            <w:vAlign w:val="bottom"/>
          </w:tcPr>
          <w:p>
            <w:pPr>
              <w:jc w:val="right"/>
              <w:spacing w:after="0"/>
              <w:rPr>
                <w:sz w:val="20"/>
                <w:szCs w:val="20"/>
                <w:color w:val="auto"/>
              </w:rPr>
            </w:pPr>
            <w:r>
              <w:rPr>
                <w:rFonts w:ascii="Arial" w:cs="Arial" w:eastAsia="Arial" w:hAnsi="Arial"/>
                <w:sz w:val="18"/>
                <w:szCs w:val="18"/>
                <w:color w:val="auto"/>
              </w:rPr>
              <w:t>330,500</w:t>
            </w:r>
          </w:p>
        </w:tc>
        <w:tc>
          <w:tcPr>
            <w:tcW w:w="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(942)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(942)</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29"/>
        </w:trPr>
        <w:tc>
          <w:tcPr>
            <w:tcW w:w="4240" w:type="dxa"/>
            <w:vAlign w:val="bottom"/>
          </w:tcPr>
          <w:p>
            <w:pPr>
              <w:spacing w:after="0"/>
              <w:rPr>
                <w:sz w:val="20"/>
                <w:szCs w:val="20"/>
                <w:color w:val="auto"/>
              </w:rPr>
            </w:pPr>
            <w:r>
              <w:rPr>
                <w:rFonts w:ascii="Arial" w:cs="Arial" w:eastAsia="Arial" w:hAnsi="Arial"/>
                <w:sz w:val="18"/>
                <w:szCs w:val="18"/>
                <w:color w:val="auto"/>
              </w:rPr>
              <w:t>Treasury stock purchased</w:t>
            </w:r>
          </w:p>
        </w:tc>
        <w:tc>
          <w:tcPr>
            <w:tcW w:w="960" w:type="dxa"/>
            <w:vAlign w:val="bottom"/>
          </w:tcPr>
          <w:p>
            <w:pPr>
              <w:jc w:val="right"/>
              <w:spacing w:after="0"/>
              <w:rPr>
                <w:sz w:val="20"/>
                <w:szCs w:val="20"/>
                <w:color w:val="auto"/>
              </w:rPr>
            </w:pPr>
            <w:r>
              <w:rPr>
                <w:rFonts w:ascii="Arial" w:cs="Arial" w:eastAsia="Arial" w:hAnsi="Arial"/>
                <w:sz w:val="18"/>
                <w:szCs w:val="18"/>
                <w:color w:val="auto"/>
              </w:rPr>
              <w:t>(128,100)</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128,100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880" w:type="dxa"/>
            <w:vAlign w:val="bottom"/>
            <w:gridSpan w:val="2"/>
          </w:tcPr>
          <w:p>
            <w:pPr>
              <w:ind w:left="54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(732)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(732)</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w w:val="99"/>
              </w:rPr>
              <w:t>Purchase of noncontrolling interest equity adjustment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w:t>
            </w:r>
          </w:p>
        </w:tc>
        <w:tc>
          <w:tcPr>
            <w:tcW w:w="0" w:type="dxa"/>
            <w:vAlign w:val="bottom"/>
          </w:tcPr>
          <w:p>
            <w:pPr>
              <w:spacing w:after="0"/>
              <w:rPr>
                <w:sz w:val="1"/>
                <w:szCs w:val="1"/>
                <w:color w:val="auto"/>
              </w:rPr>
            </w:pPr>
          </w:p>
        </w:tc>
      </w:tr>
      <w:tr>
        <w:trPr>
          <w:trHeight w:val="223"/>
        </w:trPr>
        <w:tc>
          <w:tcPr>
            <w:tcW w:w="4240" w:type="dxa"/>
            <w:vAlign w:val="bottom"/>
          </w:tcPr>
          <w:p>
            <w:pPr>
              <w:spacing w:after="0"/>
              <w:rPr>
                <w:sz w:val="20"/>
                <w:szCs w:val="20"/>
                <w:color w:val="auto"/>
              </w:rPr>
            </w:pPr>
            <w:r>
              <w:rPr>
                <w:rFonts w:ascii="Arial" w:cs="Arial" w:eastAsia="Arial" w:hAnsi="Arial"/>
                <w:sz w:val="18"/>
                <w:szCs w:val="18"/>
                <w:b w:val="1"/>
                <w:bCs w:val="1"/>
                <w:color w:val="auto"/>
              </w:rPr>
              <w:t>Balance at April 29, 2023</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30,968,424</w:t>
            </w:r>
          </w:p>
        </w:tc>
        <w:tc>
          <w:tcPr>
            <w:tcW w:w="8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12,207,790</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110,753</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269,950</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(115)</w:t>
            </w:r>
          </w:p>
        </w:tc>
        <w:tc>
          <w:tcPr>
            <w:tcW w:w="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 xml:space="preserve"> (133,596)</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246,992</w:t>
            </w:r>
          </w:p>
        </w:tc>
        <w:tc>
          <w:tcPr>
            <w:tcW w:w="0" w:type="dxa"/>
            <w:vAlign w:val="bottom"/>
          </w:tcPr>
          <w:p>
            <w:pPr>
              <w:spacing w:after="0"/>
              <w:rPr>
                <w:sz w:val="1"/>
                <w:szCs w:val="1"/>
                <w:color w:val="auto"/>
              </w:rPr>
            </w:pP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Vera Bradley, Inc.</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9,254</w:t>
            </w: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Translation adjustments</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19"/>
                <w:szCs w:val="19"/>
                <w:color w:val="auto"/>
              </w:rPr>
            </w:pP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w w:val="99"/>
              </w:rPr>
              <w:t>Restricted shares vested, net of repurchase for taxes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2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910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910</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Treasury stock purchased</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(120,220)</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120,220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23"/>
        </w:trPr>
        <w:tc>
          <w:tcPr>
            <w:tcW w:w="4240" w:type="dxa"/>
            <w:vAlign w:val="bottom"/>
          </w:tcPr>
          <w:p>
            <w:pPr>
              <w:spacing w:after="0"/>
              <w:rPr>
                <w:sz w:val="20"/>
                <w:szCs w:val="20"/>
                <w:color w:val="auto"/>
              </w:rPr>
            </w:pPr>
            <w:r>
              <w:rPr>
                <w:rFonts w:ascii="Arial" w:cs="Arial" w:eastAsia="Arial" w:hAnsi="Arial"/>
                <w:sz w:val="18"/>
                <w:szCs w:val="18"/>
                <w:b w:val="1"/>
                <w:bCs w:val="1"/>
                <w:color w:val="auto"/>
              </w:rPr>
              <w:t>Balance at July 29, 2023</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30,848,293</w:t>
            </w:r>
          </w:p>
        </w:tc>
        <w:tc>
          <w:tcPr>
            <w:tcW w:w="8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12,328,010</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111,663</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279,204</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w:t>
            </w:r>
          </w:p>
        </w:tc>
        <w:tc>
          <w:tcPr>
            <w:tcW w:w="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 xml:space="preserve"> (134,279)</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256,519</w:t>
            </w:r>
          </w:p>
        </w:tc>
        <w:tc>
          <w:tcPr>
            <w:tcW w:w="0" w:type="dxa"/>
            <w:vAlign w:val="bottom"/>
          </w:tcPr>
          <w:p>
            <w:pPr>
              <w:spacing w:after="0"/>
              <w:rPr>
                <w:sz w:val="1"/>
                <w:szCs w:val="1"/>
                <w:color w:val="auto"/>
              </w:rPr>
            </w:pPr>
          </w:p>
        </w:tc>
      </w:tr>
      <w:tr>
        <w:trPr>
          <w:trHeight w:val="21"/>
        </w:trPr>
        <w:tc>
          <w:tcPr>
            <w:tcW w:w="4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Vera Bradley, Inc.</w:t>
      </w:r>
    </w:p>
    <w:p>
      <w:pPr>
        <w:spacing w:after="0" w:line="171"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4240" w:type="dxa"/>
            <w:vAlign w:val="bottom"/>
          </w:tcPr>
          <w:p>
            <w:pPr>
              <w:spacing w:after="0"/>
              <w:rPr>
                <w:sz w:val="16"/>
                <w:szCs w:val="16"/>
                <w:color w:val="auto"/>
              </w:rPr>
            </w:pPr>
          </w:p>
        </w:tc>
        <w:tc>
          <w:tcPr>
            <w:tcW w:w="2100" w:type="dxa"/>
            <w:vAlign w:val="bottom"/>
            <w:gridSpan w:val="4"/>
          </w:tcPr>
          <w:p>
            <w:pPr>
              <w:ind w:left="440"/>
              <w:spacing w:after="0"/>
              <w:rPr>
                <w:sz w:val="20"/>
                <w:szCs w:val="20"/>
                <w:color w:val="auto"/>
              </w:rPr>
            </w:pPr>
            <w:r>
              <w:rPr>
                <w:rFonts w:ascii="Arial" w:cs="Arial" w:eastAsia="Arial" w:hAnsi="Arial"/>
                <w:sz w:val="14"/>
                <w:szCs w:val="14"/>
                <w:b w:val="1"/>
                <w:bCs w:val="1"/>
                <w:color w:val="auto"/>
              </w:rPr>
              <w:t>Number of Shares</w:t>
            </w: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2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3"/>
              </w:rPr>
              <w:t>Accumulated</w:t>
            </w: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vMerge w:val="restart"/>
          </w:tcPr>
          <w:p>
            <w:pPr>
              <w:jc w:val="center"/>
              <w:ind w:right="53"/>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19"/>
        </w:trPr>
        <w:tc>
          <w:tcPr>
            <w:tcW w:w="42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3"/>
            <w:vMerge w:val="continue"/>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4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ind w:left="20"/>
              <w:spacing w:after="0" w:line="145"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35"/>
        </w:trPr>
        <w:tc>
          <w:tcPr>
            <w:tcW w:w="4240" w:type="dxa"/>
            <w:vAlign w:val="bottom"/>
          </w:tcPr>
          <w:p>
            <w:pPr>
              <w:spacing w:after="0"/>
              <w:rPr>
                <w:sz w:val="11"/>
                <w:szCs w:val="11"/>
                <w:color w:val="auto"/>
              </w:rPr>
            </w:pPr>
          </w:p>
        </w:tc>
        <w:tc>
          <w:tcPr>
            <w:tcW w:w="10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Common</w:t>
            </w:r>
          </w:p>
        </w:tc>
        <w:tc>
          <w:tcPr>
            <w:tcW w:w="10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Treasury</w:t>
            </w:r>
          </w:p>
        </w:tc>
        <w:tc>
          <w:tcPr>
            <w:tcW w:w="94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Retained</w:t>
            </w:r>
          </w:p>
        </w:tc>
        <w:tc>
          <w:tcPr>
            <w:tcW w:w="200" w:type="dxa"/>
            <w:vAlign w:val="bottom"/>
          </w:tcPr>
          <w:p>
            <w:pPr>
              <w:spacing w:after="0"/>
              <w:rPr>
                <w:sz w:val="11"/>
                <w:szCs w:val="11"/>
                <w:color w:val="auto"/>
              </w:rPr>
            </w:pPr>
          </w:p>
        </w:tc>
        <w:tc>
          <w:tcPr>
            <w:tcW w:w="88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rPr>
              <w:t>Other</w:t>
            </w:r>
          </w:p>
        </w:tc>
        <w:tc>
          <w:tcPr>
            <w:tcW w:w="9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Treasury</w:t>
            </w:r>
          </w:p>
        </w:tc>
        <w:tc>
          <w:tcPr>
            <w:tcW w:w="140" w:type="dxa"/>
            <w:vAlign w:val="bottom"/>
          </w:tcPr>
          <w:p>
            <w:pPr>
              <w:spacing w:after="0"/>
              <w:rPr>
                <w:sz w:val="11"/>
                <w:szCs w:val="11"/>
                <w:color w:val="auto"/>
              </w:rPr>
            </w:pPr>
          </w:p>
        </w:tc>
        <w:tc>
          <w:tcPr>
            <w:tcW w:w="760" w:type="dxa"/>
            <w:vAlign w:val="bottom"/>
          </w:tcPr>
          <w:p>
            <w:pPr>
              <w:jc w:val="center"/>
              <w:ind w:right="53"/>
              <w:spacing w:after="0" w:line="135" w:lineRule="exact"/>
              <w:rPr>
                <w:sz w:val="20"/>
                <w:szCs w:val="20"/>
                <w:color w:val="auto"/>
              </w:rPr>
            </w:pPr>
            <w:r>
              <w:rPr>
                <w:rFonts w:ascii="Arial" w:cs="Arial" w:eastAsia="Arial" w:hAnsi="Arial"/>
                <w:sz w:val="14"/>
                <w:szCs w:val="14"/>
                <w:b w:val="1"/>
                <w:bCs w:val="1"/>
                <w:color w:val="auto"/>
                <w:w w:val="96"/>
              </w:rPr>
              <w:t>Equity of</w:t>
            </w: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Paid-in</w:t>
            </w:r>
          </w:p>
        </w:tc>
        <w:tc>
          <w:tcPr>
            <w:tcW w:w="1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8"/>
              </w:rPr>
              <w:t>Comprehensive</w:t>
            </w:r>
          </w:p>
        </w:tc>
        <w:tc>
          <w:tcPr>
            <w:tcW w:w="940" w:type="dxa"/>
            <w:vAlign w:val="bottom"/>
            <w:gridSpan w:val="2"/>
            <w:vMerge w:val="continue"/>
          </w:tcPr>
          <w:p>
            <w:pPr>
              <w:spacing w:after="0"/>
              <w:rPr>
                <w:sz w:val="12"/>
                <w:szCs w:val="12"/>
                <w:color w:val="auto"/>
              </w:rPr>
            </w:pPr>
          </w:p>
        </w:tc>
        <w:tc>
          <w:tcPr>
            <w:tcW w:w="9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6"/>
              </w:rPr>
              <w:t>Vera Bradley,</w:t>
            </w:r>
          </w:p>
        </w:tc>
        <w:tc>
          <w:tcPr>
            <w:tcW w:w="0" w:type="dxa"/>
            <w:vAlign w:val="bottom"/>
          </w:tcPr>
          <w:p>
            <w:pPr>
              <w:spacing w:after="0"/>
              <w:rPr>
                <w:sz w:val="1"/>
                <w:szCs w:val="1"/>
                <w:color w:val="auto"/>
              </w:rPr>
            </w:pPr>
          </w:p>
        </w:tc>
      </w:tr>
      <w:tr>
        <w:trPr>
          <w:trHeight w:val="197"/>
        </w:trPr>
        <w:tc>
          <w:tcPr>
            <w:tcW w:w="4240" w:type="dxa"/>
            <w:vAlign w:val="bottom"/>
          </w:tcPr>
          <w:p>
            <w:pPr>
              <w:spacing w:after="0"/>
              <w:rPr>
                <w:sz w:val="17"/>
                <w:szCs w:val="17"/>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Stock</w:t>
            </w:r>
          </w:p>
        </w:tc>
        <w:tc>
          <w:tcPr>
            <w:tcW w:w="10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7"/>
                <w:szCs w:val="17"/>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7"/>
                <w:szCs w:val="17"/>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200" w:type="dxa"/>
            <w:vAlign w:val="bottom"/>
          </w:tcPr>
          <w:p>
            <w:pPr>
              <w:spacing w:after="0"/>
              <w:rPr>
                <w:sz w:val="17"/>
                <w:szCs w:val="17"/>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Loss</w:t>
            </w:r>
          </w:p>
        </w:tc>
        <w:tc>
          <w:tcPr>
            <w:tcW w:w="940" w:type="dxa"/>
            <w:vAlign w:val="bottom"/>
            <w:gridSpan w:val="2"/>
          </w:tcPr>
          <w:p>
            <w:pPr>
              <w:ind w:left="260"/>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7"/>
                <w:szCs w:val="17"/>
                <w:color w:val="auto"/>
              </w:rPr>
            </w:pPr>
          </w:p>
        </w:tc>
        <w:tc>
          <w:tcPr>
            <w:tcW w:w="760" w:type="dxa"/>
            <w:vAlign w:val="bottom"/>
          </w:tcPr>
          <w:p>
            <w:pPr>
              <w:jc w:val="center"/>
              <w:ind w:right="73"/>
              <w:spacing w:after="0"/>
              <w:rPr>
                <w:sz w:val="20"/>
                <w:szCs w:val="20"/>
                <w:color w:val="auto"/>
              </w:rPr>
            </w:pPr>
            <w:r>
              <w:rPr>
                <w:rFonts w:ascii="Arial" w:cs="Arial" w:eastAsia="Arial" w:hAnsi="Arial"/>
                <w:sz w:val="14"/>
                <w:szCs w:val="14"/>
                <w:b w:val="1"/>
                <w:bCs w:val="1"/>
                <w:color w:val="auto"/>
                <w:w w:val="99"/>
              </w:rPr>
              <w:t>Inc.</w:t>
            </w:r>
          </w:p>
        </w:tc>
        <w:tc>
          <w:tcPr>
            <w:tcW w:w="0" w:type="dxa"/>
            <w:vAlign w:val="bottom"/>
          </w:tcPr>
          <w:p>
            <w:pPr>
              <w:spacing w:after="0"/>
              <w:rPr>
                <w:sz w:val="1"/>
                <w:szCs w:val="1"/>
                <w:color w:val="auto"/>
              </w:rPr>
            </w:pPr>
          </w:p>
        </w:tc>
      </w:tr>
      <w:tr>
        <w:trPr>
          <w:trHeight w:val="229"/>
        </w:trPr>
        <w:tc>
          <w:tcPr>
            <w:tcW w:w="4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January 29, 2022</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33,170,430</w:t>
            </w:r>
          </w:p>
        </w:tc>
        <w:tc>
          <w:tcPr>
            <w:tcW w:w="8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9,258,741</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107,907</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334,364</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w:t>
            </w:r>
          </w:p>
        </w:tc>
        <w:tc>
          <w:tcPr>
            <w:tcW w:w="8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 (114,802)</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327,440</w:t>
            </w:r>
          </w:p>
        </w:tc>
        <w:tc>
          <w:tcPr>
            <w:tcW w:w="0" w:type="dxa"/>
            <w:vAlign w:val="bottom"/>
          </w:tcPr>
          <w:p>
            <w:pPr>
              <w:spacing w:after="0"/>
              <w:rPr>
                <w:sz w:val="1"/>
                <w:szCs w:val="1"/>
                <w:color w:val="auto"/>
              </w:rPr>
            </w:pPr>
          </w:p>
        </w:tc>
      </w:tr>
      <w:tr>
        <w:trPr>
          <w:trHeight w:val="229"/>
        </w:trPr>
        <w:tc>
          <w:tcPr>
            <w:tcW w:w="4240" w:type="dxa"/>
            <w:vAlign w:val="bottom"/>
          </w:tcPr>
          <w:p>
            <w:pPr>
              <w:spacing w:after="0"/>
              <w:rPr>
                <w:sz w:val="20"/>
                <w:szCs w:val="20"/>
                <w:color w:val="auto"/>
              </w:rPr>
            </w:pPr>
            <w:r>
              <w:rPr>
                <w:rFonts w:ascii="Arial" w:cs="Arial" w:eastAsia="Arial" w:hAnsi="Arial"/>
                <w:sz w:val="18"/>
                <w:szCs w:val="18"/>
                <w:color w:val="auto"/>
              </w:rPr>
              <w:t>Net loss attributable to Vera Bradley, Inc.</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(6,974)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(6,974)</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Translation adjustments</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w w:val="99"/>
              </w:rPr>
              <w:t>Restricted shares vested, net of repurchase for taxes</w:t>
            </w:r>
          </w:p>
        </w:tc>
        <w:tc>
          <w:tcPr>
            <w:tcW w:w="960" w:type="dxa"/>
            <w:vAlign w:val="bottom"/>
          </w:tcPr>
          <w:p>
            <w:pPr>
              <w:jc w:val="right"/>
              <w:spacing w:after="0"/>
              <w:rPr>
                <w:sz w:val="20"/>
                <w:szCs w:val="20"/>
                <w:color w:val="auto"/>
              </w:rPr>
            </w:pPr>
            <w:r>
              <w:rPr>
                <w:rFonts w:ascii="Arial" w:cs="Arial" w:eastAsia="Arial" w:hAnsi="Arial"/>
                <w:sz w:val="18"/>
                <w:szCs w:val="18"/>
                <w:color w:val="auto"/>
              </w:rPr>
              <w:t>404,469</w:t>
            </w:r>
          </w:p>
        </w:tc>
        <w:tc>
          <w:tcPr>
            <w:tcW w:w="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(1,410)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(1,410)</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Treasury stock purchased</w:t>
            </w:r>
          </w:p>
        </w:tc>
        <w:tc>
          <w:tcPr>
            <w:tcW w:w="960" w:type="dxa"/>
            <w:vAlign w:val="bottom"/>
          </w:tcPr>
          <w:p>
            <w:pPr>
              <w:jc w:val="right"/>
              <w:spacing w:after="0"/>
              <w:rPr>
                <w:sz w:val="20"/>
                <w:szCs w:val="20"/>
                <w:color w:val="auto"/>
              </w:rPr>
            </w:pPr>
            <w:r>
              <w:rPr>
                <w:rFonts w:ascii="Arial" w:cs="Arial" w:eastAsia="Arial" w:hAnsi="Arial"/>
                <w:sz w:val="18"/>
                <w:szCs w:val="18"/>
                <w:color w:val="auto"/>
                <w:w w:val="99"/>
              </w:rPr>
              <w:t>(1,423,096)</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1,423,096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880" w:type="dxa"/>
            <w:vAlign w:val="bottom"/>
            <w:gridSpan w:val="2"/>
          </w:tcPr>
          <w:p>
            <w:pPr>
              <w:ind w:left="54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(10,454)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(10,454)</w:t>
            </w:r>
          </w:p>
        </w:tc>
        <w:tc>
          <w:tcPr>
            <w:tcW w:w="0" w:type="dxa"/>
            <w:vAlign w:val="bottom"/>
          </w:tcPr>
          <w:p>
            <w:pPr>
              <w:spacing w:after="0"/>
              <w:rPr>
                <w:sz w:val="1"/>
                <w:szCs w:val="1"/>
                <w:color w:val="auto"/>
              </w:rPr>
            </w:pPr>
          </w:p>
        </w:tc>
      </w:tr>
      <w:tr>
        <w:trPr>
          <w:trHeight w:val="248"/>
        </w:trPr>
        <w:tc>
          <w:tcPr>
            <w:tcW w:w="4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April 30, 2022</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32,151,803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10,681,837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107,040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327,390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 xml:space="preserve"> (125,256)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309,114</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Net loss attributable to Vera Bradley, Inc.</w:t>
            </w:r>
          </w:p>
        </w:tc>
        <w:tc>
          <w:tcPr>
            <w:tcW w:w="1040" w:type="dxa"/>
            <w:vAlign w:val="bottom"/>
            <w:tcBorders>
              <w:top w:val="single" w:sz="8" w:color="CCEEFF"/>
            </w:tcBorders>
            <w:gridSpan w:val="2"/>
          </w:tcPr>
          <w:p>
            <w:pPr>
              <w:spacing w:after="0" w:line="20" w:lineRule="exact"/>
              <w:rPr>
                <w:sz w:val="1"/>
                <w:szCs w:val="1"/>
                <w:color w:val="auto"/>
              </w:rPr>
            </w:pPr>
          </w:p>
        </w:tc>
        <w:tc>
          <w:tcPr>
            <w:tcW w:w="106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gridSpan w:val="2"/>
          </w:tcPr>
          <w:p>
            <w:pPr>
              <w:spacing w:after="0" w:line="20" w:lineRule="exact"/>
              <w:rPr>
                <w:sz w:val="1"/>
                <w:szCs w:val="1"/>
                <w:color w:val="auto"/>
              </w:rPr>
            </w:pPr>
          </w:p>
        </w:tc>
        <w:tc>
          <w:tcPr>
            <w:tcW w:w="94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240" w:type="dxa"/>
            <w:vAlign w:val="bottom"/>
            <w:tcBorders>
              <w:top w:val="single" w:sz="8" w:color="CCEEFF"/>
            </w:tcBorders>
            <w:vMerge w:val="continue"/>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(29,767)</w:t>
            </w: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ind w:left="540"/>
              <w:spacing w:after="0" w:line="203"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860" w:type="dxa"/>
            <w:vAlign w:val="bottom"/>
            <w:tcBorders>
              <w:top w:val="single" w:sz="8" w:color="auto"/>
            </w:tcBorders>
          </w:tcPr>
          <w:p>
            <w:pPr>
              <w:ind w:left="600"/>
              <w:spacing w:after="0" w:line="203"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(29,767)</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Translation adjustments</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9"/>
        </w:trPr>
        <w:tc>
          <w:tcPr>
            <w:tcW w:w="4240" w:type="dxa"/>
            <w:vAlign w:val="bottom"/>
          </w:tcPr>
          <w:p>
            <w:pPr>
              <w:spacing w:after="0"/>
              <w:rPr>
                <w:sz w:val="20"/>
                <w:szCs w:val="20"/>
                <w:color w:val="auto"/>
              </w:rPr>
            </w:pPr>
            <w:r>
              <w:rPr>
                <w:rFonts w:ascii="Arial" w:cs="Arial" w:eastAsia="Arial" w:hAnsi="Arial"/>
                <w:sz w:val="18"/>
                <w:szCs w:val="18"/>
                <w:color w:val="auto"/>
                <w:w w:val="99"/>
              </w:rPr>
              <w:t>Restricted shares vested, net of repurchase for taxes</w:t>
            </w:r>
          </w:p>
        </w:tc>
        <w:tc>
          <w:tcPr>
            <w:tcW w:w="960" w:type="dxa"/>
            <w:vAlign w:val="bottom"/>
          </w:tcPr>
          <w:p>
            <w:pPr>
              <w:jc w:val="right"/>
              <w:spacing w:after="0"/>
              <w:rPr>
                <w:sz w:val="20"/>
                <w:szCs w:val="20"/>
                <w:color w:val="auto"/>
              </w:rPr>
            </w:pPr>
            <w:r>
              <w:rPr>
                <w:rFonts w:ascii="Arial" w:cs="Arial" w:eastAsia="Arial" w:hAnsi="Arial"/>
                <w:sz w:val="18"/>
                <w:szCs w:val="18"/>
                <w:color w:val="auto"/>
              </w:rPr>
              <w:t>89</w:t>
            </w:r>
          </w:p>
        </w:tc>
        <w:tc>
          <w:tcPr>
            <w:tcW w:w="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Treasury stock purchased</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(986,023)</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986,023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(6,023)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(6,023)</w:t>
            </w:r>
          </w:p>
        </w:tc>
        <w:tc>
          <w:tcPr>
            <w:tcW w:w="0" w:type="dxa"/>
            <w:vAlign w:val="bottom"/>
          </w:tcPr>
          <w:p>
            <w:pPr>
              <w:spacing w:after="0"/>
              <w:rPr>
                <w:sz w:val="1"/>
                <w:szCs w:val="1"/>
                <w:color w:val="auto"/>
              </w:rPr>
            </w:pPr>
          </w:p>
        </w:tc>
      </w:tr>
      <w:tr>
        <w:trPr>
          <w:trHeight w:val="248"/>
        </w:trPr>
        <w:tc>
          <w:tcPr>
            <w:tcW w:w="4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July 30, 2022</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31,165,869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11,667,860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107,941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297,623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 xml:space="preserve"> (131,279)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274,150</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00" w:type="dxa"/>
            <w:vAlign w:val="bottom"/>
            <w:gridSpan w:val="4"/>
          </w:tcPr>
          <w:p>
            <w:pPr>
              <w:jc w:val="right"/>
              <w:ind w:right="628"/>
              <w:spacing w:after="0"/>
              <w:rPr>
                <w:sz w:val="20"/>
                <w:szCs w:val="20"/>
                <w:color w:val="auto"/>
              </w:rPr>
            </w:pPr>
            <w:r>
              <w:rPr>
                <w:rFonts w:ascii="Arial" w:cs="Arial" w:eastAsia="Arial" w:hAnsi="Arial"/>
                <w:sz w:val="14"/>
                <w:szCs w:val="14"/>
                <w:b w:val="1"/>
                <w:bCs w:val="1"/>
                <w:color w:val="auto"/>
              </w:rPr>
              <w:t>Twenty-Six Weeks Ended</w:t>
            </w:r>
          </w:p>
        </w:tc>
      </w:tr>
      <w:tr>
        <w:trPr>
          <w:trHeight w:val="26"/>
        </w:trPr>
        <w:tc>
          <w:tcPr>
            <w:tcW w:w="8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33"/>
        </w:trPr>
        <w:tc>
          <w:tcPr>
            <w:tcW w:w="8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200"/>
              <w:spacing w:after="0" w:line="133" w:lineRule="exact"/>
              <w:rPr>
                <w:sz w:val="20"/>
                <w:szCs w:val="20"/>
                <w:color w:val="auto"/>
              </w:rPr>
            </w:pPr>
            <w:r>
              <w:rPr>
                <w:rFonts w:ascii="Arial" w:cs="Arial" w:eastAsia="Arial" w:hAnsi="Arial"/>
                <w:sz w:val="14"/>
                <w:szCs w:val="14"/>
                <w:b w:val="1"/>
                <w:bCs w:val="1"/>
                <w:color w:val="auto"/>
              </w:rPr>
              <w:t>July 29,</w:t>
            </w:r>
          </w:p>
        </w:tc>
        <w:tc>
          <w:tcPr>
            <w:tcW w:w="280" w:type="dxa"/>
            <w:vAlign w:val="bottom"/>
          </w:tcPr>
          <w:p>
            <w:pPr>
              <w:spacing w:after="0"/>
              <w:rPr>
                <w:sz w:val="11"/>
                <w:szCs w:val="11"/>
                <w:color w:val="auto"/>
              </w:rPr>
            </w:pPr>
          </w:p>
        </w:tc>
        <w:tc>
          <w:tcPr>
            <w:tcW w:w="1160" w:type="dxa"/>
            <w:vAlign w:val="bottom"/>
          </w:tcPr>
          <w:p>
            <w:pPr>
              <w:jc w:val="right"/>
              <w:ind w:right="408"/>
              <w:spacing w:after="0" w:line="133" w:lineRule="exact"/>
              <w:rPr>
                <w:sz w:val="20"/>
                <w:szCs w:val="20"/>
                <w:color w:val="auto"/>
              </w:rPr>
            </w:pPr>
            <w:r>
              <w:rPr>
                <w:rFonts w:ascii="Arial" w:cs="Arial" w:eastAsia="Arial" w:hAnsi="Arial"/>
                <w:sz w:val="14"/>
                <w:szCs w:val="14"/>
                <w:b w:val="1"/>
                <w:bCs w:val="1"/>
                <w:color w:val="auto"/>
              </w:rPr>
              <w:t>July 30,</w:t>
            </w:r>
          </w:p>
        </w:tc>
      </w:tr>
      <w:tr>
        <w:trPr>
          <w:trHeight w:val="192"/>
        </w:trPr>
        <w:tc>
          <w:tcPr>
            <w:tcW w:w="82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2022</w:t>
            </w:r>
          </w:p>
        </w:tc>
      </w:tr>
      <w:tr>
        <w:trPr>
          <w:trHeight w:val="189"/>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182"/>
        </w:trPr>
        <w:tc>
          <w:tcPr>
            <w:tcW w:w="824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4,575</w:t>
            </w:r>
          </w:p>
        </w:tc>
        <w:tc>
          <w:tcPr>
            <w:tcW w:w="100" w:type="dxa"/>
            <w:vAlign w:val="bottom"/>
          </w:tcPr>
          <w:p>
            <w:pPr>
              <w:spacing w:after="0"/>
              <w:rPr>
                <w:sz w:val="15"/>
                <w:szCs w:val="15"/>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(43,611)</w:t>
            </w:r>
          </w:p>
        </w:tc>
      </w:tr>
      <w:tr>
        <w:trPr>
          <w:trHeight w:val="20"/>
        </w:trPr>
        <w:tc>
          <w:tcPr>
            <w:tcW w:w="8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83"/>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Adjustments to reconcile net income (loss) to net cash provided by (used in) operating activities:</w:t>
            </w:r>
          </w:p>
        </w:tc>
        <w:tc>
          <w:tcPr>
            <w:tcW w:w="28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r>
      <w:tr>
        <w:trPr>
          <w:trHeight w:val="182"/>
        </w:trPr>
        <w:tc>
          <w:tcPr>
            <w:tcW w:w="8240" w:type="dxa"/>
            <w:vAlign w:val="bottom"/>
          </w:tcPr>
          <w:p>
            <w:pPr>
              <w:ind w:left="220"/>
              <w:spacing w:after="0"/>
              <w:rPr>
                <w:sz w:val="20"/>
                <w:szCs w:val="20"/>
                <w:color w:val="auto"/>
              </w:rPr>
            </w:pPr>
            <w:r>
              <w:rPr>
                <w:rFonts w:ascii="Arial" w:cs="Arial" w:eastAsia="Arial" w:hAnsi="Arial"/>
                <w:sz w:val="14"/>
                <w:szCs w:val="14"/>
                <w:color w:val="auto"/>
              </w:rPr>
              <w:t>Depreciation of property, plant, and equipment</w:t>
            </w: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4,070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4,371</w:t>
            </w:r>
          </w:p>
        </w:tc>
      </w:tr>
      <w:tr>
        <w:trPr>
          <w:trHeight w:val="20"/>
        </w:trPr>
        <w:tc>
          <w:tcPr>
            <w:tcW w:w="8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83"/>
        </w:trPr>
        <w:tc>
          <w:tcPr>
            <w:tcW w:w="8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Amortization of operating right-of-use assets</w:t>
            </w:r>
          </w:p>
        </w:tc>
        <w:tc>
          <w:tcPr>
            <w:tcW w:w="28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10,501</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10,621</w:t>
            </w:r>
          </w:p>
        </w:tc>
      </w:tr>
      <w:tr>
        <w:trPr>
          <w:trHeight w:val="182"/>
        </w:trPr>
        <w:tc>
          <w:tcPr>
            <w:tcW w:w="8240" w:type="dxa"/>
            <w:vAlign w:val="bottom"/>
          </w:tcPr>
          <w:p>
            <w:pPr>
              <w:ind w:left="220"/>
              <w:spacing w:after="0"/>
              <w:rPr>
                <w:sz w:val="20"/>
                <w:szCs w:val="20"/>
                <w:color w:val="auto"/>
              </w:rPr>
            </w:pPr>
            <w:r>
              <w:rPr>
                <w:rFonts w:ascii="Arial" w:cs="Arial" w:eastAsia="Arial" w:hAnsi="Arial"/>
                <w:sz w:val="14"/>
                <w:szCs w:val="14"/>
                <w:color w:val="auto"/>
              </w:rPr>
              <w:t>Goodwill and intangible asset impairment</w:t>
            </w:r>
          </w:p>
        </w:tc>
        <w:tc>
          <w:tcPr>
            <w:tcW w:w="28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29,338</w:t>
            </w:r>
          </w:p>
        </w:tc>
      </w:tr>
      <w:tr>
        <w:trPr>
          <w:trHeight w:val="20"/>
        </w:trPr>
        <w:tc>
          <w:tcPr>
            <w:tcW w:w="8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83"/>
        </w:trPr>
        <w:tc>
          <w:tcPr>
            <w:tcW w:w="8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Other impairment charges</w:t>
            </w:r>
          </w:p>
        </w:tc>
        <w:tc>
          <w:tcPr>
            <w:tcW w:w="2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1,351</w:t>
            </w:r>
          </w:p>
        </w:tc>
      </w:tr>
      <w:tr>
        <w:trPr>
          <w:trHeight w:val="182"/>
        </w:trPr>
        <w:tc>
          <w:tcPr>
            <w:tcW w:w="8240" w:type="dxa"/>
            <w:vAlign w:val="bottom"/>
          </w:tcPr>
          <w:p>
            <w:pPr>
              <w:ind w:left="220"/>
              <w:spacing w:after="0"/>
              <w:rPr>
                <w:sz w:val="20"/>
                <w:szCs w:val="20"/>
                <w:color w:val="auto"/>
              </w:rPr>
            </w:pPr>
            <w:r>
              <w:rPr>
                <w:rFonts w:ascii="Arial" w:cs="Arial" w:eastAsia="Arial" w:hAnsi="Arial"/>
                <w:sz w:val="14"/>
                <w:szCs w:val="14"/>
                <w:color w:val="auto"/>
              </w:rPr>
              <w:t>Amortization of intangible assets</w:t>
            </w: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1,458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1,537</w:t>
            </w:r>
          </w:p>
        </w:tc>
      </w:tr>
      <w:tr>
        <w:trPr>
          <w:trHeight w:val="20"/>
        </w:trPr>
        <w:tc>
          <w:tcPr>
            <w:tcW w:w="8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83"/>
        </w:trPr>
        <w:tc>
          <w:tcPr>
            <w:tcW w:w="8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Provision for doubtful accounts</w:t>
            </w:r>
          </w:p>
        </w:tc>
        <w:tc>
          <w:tcPr>
            <w:tcW w:w="28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(119)</w:t>
            </w:r>
          </w:p>
        </w:tc>
      </w:tr>
      <w:tr>
        <w:trPr>
          <w:trHeight w:val="182"/>
        </w:trPr>
        <w:tc>
          <w:tcPr>
            <w:tcW w:w="8240" w:type="dxa"/>
            <w:vAlign w:val="bottom"/>
          </w:tcPr>
          <w:p>
            <w:pPr>
              <w:ind w:left="220"/>
              <w:spacing w:after="0"/>
              <w:rPr>
                <w:sz w:val="20"/>
                <w:szCs w:val="20"/>
                <w:color w:val="auto"/>
              </w:rPr>
            </w:pPr>
            <w:r>
              <w:rPr>
                <w:rFonts w:ascii="Arial" w:cs="Arial" w:eastAsia="Arial" w:hAnsi="Arial"/>
                <w:sz w:val="14"/>
                <w:szCs w:val="14"/>
                <w:color w:val="auto"/>
              </w:rPr>
              <w:t>Stock-based compensation</w:t>
            </w: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1,601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1,444</w:t>
            </w:r>
          </w:p>
        </w:tc>
      </w:tr>
      <w:tr>
        <w:trPr>
          <w:trHeight w:val="20"/>
        </w:trPr>
        <w:tc>
          <w:tcPr>
            <w:tcW w:w="8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83"/>
        </w:trPr>
        <w:tc>
          <w:tcPr>
            <w:tcW w:w="8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Deferred income taxes</w:t>
            </w:r>
          </w:p>
        </w:tc>
        <w:tc>
          <w:tcPr>
            <w:tcW w:w="28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2,102</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(5,419)</w:t>
            </w:r>
          </w:p>
        </w:tc>
      </w:tr>
      <w:tr>
        <w:trPr>
          <w:trHeight w:val="182"/>
        </w:trPr>
        <w:tc>
          <w:tcPr>
            <w:tcW w:w="8240" w:type="dxa"/>
            <w:vAlign w:val="bottom"/>
          </w:tcPr>
          <w:p>
            <w:pPr>
              <w:ind w:left="220"/>
              <w:spacing w:after="0"/>
              <w:rPr>
                <w:sz w:val="20"/>
                <w:szCs w:val="20"/>
                <w:color w:val="auto"/>
              </w:rPr>
            </w:pPr>
            <w:r>
              <w:rPr>
                <w:rFonts w:ascii="Arial" w:cs="Arial" w:eastAsia="Arial" w:hAnsi="Arial"/>
                <w:sz w:val="14"/>
                <w:szCs w:val="14"/>
                <w:color w:val="auto"/>
              </w:rPr>
              <w:t>Other non-cash loss, net</w:t>
            </w: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8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82"/>
        </w:trPr>
        <w:tc>
          <w:tcPr>
            <w:tcW w:w="8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Changes in assets and liabilities:</w:t>
            </w:r>
          </w:p>
        </w:tc>
        <w:tc>
          <w:tcPr>
            <w:tcW w:w="28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r>
      <w:tr>
        <w:trPr>
          <w:trHeight w:val="182"/>
        </w:trPr>
        <w:tc>
          <w:tcPr>
            <w:tcW w:w="8240" w:type="dxa"/>
            <w:vAlign w:val="bottom"/>
          </w:tcPr>
          <w:p>
            <w:pPr>
              <w:ind w:left="480"/>
              <w:spacing w:after="0"/>
              <w:rPr>
                <w:sz w:val="20"/>
                <w:szCs w:val="20"/>
                <w:color w:val="auto"/>
              </w:rPr>
            </w:pPr>
            <w:r>
              <w:rPr>
                <w:rFonts w:ascii="Arial" w:cs="Arial" w:eastAsia="Arial" w:hAnsi="Arial"/>
                <w:sz w:val="14"/>
                <w:szCs w:val="14"/>
                <w:color w:val="auto"/>
              </w:rPr>
              <w:t>Accounts receivable</w:t>
            </w: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(1,856)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(4,793)</w:t>
            </w:r>
          </w:p>
        </w:tc>
      </w:tr>
      <w:tr>
        <w:trPr>
          <w:trHeight w:val="20"/>
        </w:trPr>
        <w:tc>
          <w:tcPr>
            <w:tcW w:w="8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83"/>
        </w:trPr>
        <w:tc>
          <w:tcPr>
            <w:tcW w:w="82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Inventories</w:t>
            </w:r>
          </w:p>
        </w:tc>
        <w:tc>
          <w:tcPr>
            <w:tcW w:w="28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2,974</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(34,676)</w:t>
            </w:r>
          </w:p>
        </w:tc>
      </w:tr>
      <w:tr>
        <w:trPr>
          <w:trHeight w:val="182"/>
        </w:trPr>
        <w:tc>
          <w:tcPr>
            <w:tcW w:w="8240" w:type="dxa"/>
            <w:vAlign w:val="bottom"/>
          </w:tcPr>
          <w:p>
            <w:pPr>
              <w:ind w:left="480"/>
              <w:spacing w:after="0"/>
              <w:rPr>
                <w:sz w:val="20"/>
                <w:szCs w:val="20"/>
                <w:color w:val="auto"/>
              </w:rPr>
            </w:pPr>
            <w:r>
              <w:rPr>
                <w:rFonts w:ascii="Arial" w:cs="Arial" w:eastAsia="Arial" w:hAnsi="Arial"/>
                <w:sz w:val="14"/>
                <w:szCs w:val="14"/>
                <w:color w:val="auto"/>
              </w:rPr>
              <w:t>Prepaid expenses and other assets</w:t>
            </w: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1,107</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348</w:t>
            </w:r>
          </w:p>
        </w:tc>
      </w:tr>
      <w:tr>
        <w:trPr>
          <w:trHeight w:val="20"/>
        </w:trPr>
        <w:tc>
          <w:tcPr>
            <w:tcW w:w="8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83"/>
        </w:trPr>
        <w:tc>
          <w:tcPr>
            <w:tcW w:w="82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Accounts payable</w:t>
            </w:r>
          </w:p>
        </w:tc>
        <w:tc>
          <w:tcPr>
            <w:tcW w:w="28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1,403</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12,759</w:t>
            </w:r>
          </w:p>
        </w:tc>
      </w:tr>
      <w:tr>
        <w:trPr>
          <w:trHeight w:val="182"/>
        </w:trPr>
        <w:tc>
          <w:tcPr>
            <w:tcW w:w="8240" w:type="dxa"/>
            <w:vAlign w:val="bottom"/>
          </w:tcPr>
          <w:p>
            <w:pPr>
              <w:ind w:left="480"/>
              <w:spacing w:after="0"/>
              <w:rPr>
                <w:sz w:val="20"/>
                <w:szCs w:val="20"/>
                <w:color w:val="auto"/>
              </w:rPr>
            </w:pPr>
            <w:r>
              <w:rPr>
                <w:rFonts w:ascii="Arial" w:cs="Arial" w:eastAsia="Arial" w:hAnsi="Arial"/>
                <w:sz w:val="14"/>
                <w:szCs w:val="14"/>
                <w:color w:val="auto"/>
              </w:rPr>
              <w:t>Income taxes</w:t>
            </w: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(899)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4,652</w:t>
            </w:r>
          </w:p>
        </w:tc>
      </w:tr>
      <w:tr>
        <w:trPr>
          <w:trHeight w:val="20"/>
        </w:trPr>
        <w:tc>
          <w:tcPr>
            <w:tcW w:w="8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83"/>
        </w:trPr>
        <w:tc>
          <w:tcPr>
            <w:tcW w:w="82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Operating lease liabilities, net</w:t>
            </w:r>
          </w:p>
        </w:tc>
        <w:tc>
          <w:tcPr>
            <w:tcW w:w="28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(10,552)</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(12,910)</w:t>
            </w:r>
          </w:p>
        </w:tc>
      </w:tr>
      <w:tr>
        <w:trPr>
          <w:trHeight w:val="182"/>
        </w:trPr>
        <w:tc>
          <w:tcPr>
            <w:tcW w:w="8240" w:type="dxa"/>
            <w:vAlign w:val="bottom"/>
          </w:tcPr>
          <w:p>
            <w:pPr>
              <w:ind w:left="480"/>
              <w:spacing w:after="0"/>
              <w:rPr>
                <w:sz w:val="20"/>
                <w:szCs w:val="20"/>
                <w:color w:val="auto"/>
              </w:rPr>
            </w:pPr>
            <w:r>
              <w:rPr>
                <w:rFonts w:ascii="Arial" w:cs="Arial" w:eastAsia="Arial" w:hAnsi="Arial"/>
                <w:sz w:val="14"/>
                <w:szCs w:val="14"/>
                <w:color w:val="auto"/>
              </w:rPr>
              <w:t>Accrued and other liabilities</w:t>
            </w: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(566)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7,989</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96"/>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cash provided by (used in) operating activities</w:t>
            </w:r>
          </w:p>
        </w:tc>
        <w:tc>
          <w:tcPr>
            <w:tcW w:w="2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15,975</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(27,118)</w:t>
            </w:r>
          </w:p>
        </w:tc>
      </w:tr>
      <w:tr>
        <w:trPr>
          <w:trHeight w:val="174"/>
        </w:trPr>
        <w:tc>
          <w:tcPr>
            <w:tcW w:w="8240" w:type="dxa"/>
            <w:vAlign w:val="bottom"/>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28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r>
      <w:tr>
        <w:trPr>
          <w:trHeight w:val="191"/>
        </w:trPr>
        <w:tc>
          <w:tcPr>
            <w:tcW w:w="8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Purchases of property, plant, and equipment</w:t>
            </w:r>
          </w:p>
        </w:tc>
        <w:tc>
          <w:tcPr>
            <w:tcW w:w="28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(1,727)</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(4,391)</w:t>
            </w:r>
          </w:p>
        </w:tc>
      </w:tr>
      <w:tr>
        <w:trPr>
          <w:trHeight w:val="182"/>
        </w:trPr>
        <w:tc>
          <w:tcPr>
            <w:tcW w:w="8240" w:type="dxa"/>
            <w:vAlign w:val="bottom"/>
          </w:tcPr>
          <w:p>
            <w:pPr>
              <w:ind w:left="220"/>
              <w:spacing w:after="0"/>
              <w:rPr>
                <w:sz w:val="20"/>
                <w:szCs w:val="20"/>
                <w:color w:val="auto"/>
              </w:rPr>
            </w:pPr>
            <w:r>
              <w:rPr>
                <w:rFonts w:ascii="Arial" w:cs="Arial" w:eastAsia="Arial" w:hAnsi="Arial"/>
                <w:sz w:val="14"/>
                <w:szCs w:val="14"/>
                <w:color w:val="auto"/>
              </w:rPr>
              <w:t>Cash paid for business acquisition</w:t>
            </w: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(10,000)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96"/>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cash used in investing activities</w:t>
            </w:r>
          </w:p>
        </w:tc>
        <w:tc>
          <w:tcPr>
            <w:tcW w:w="2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(11,727)</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(4,391)</w:t>
            </w:r>
          </w:p>
        </w:tc>
      </w:tr>
      <w:tr>
        <w:trPr>
          <w:trHeight w:val="174"/>
        </w:trPr>
        <w:tc>
          <w:tcPr>
            <w:tcW w:w="8240" w:type="dxa"/>
            <w:vAlign w:val="bottom"/>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28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r>
      <w:tr>
        <w:trPr>
          <w:trHeight w:val="191"/>
        </w:trPr>
        <w:tc>
          <w:tcPr>
            <w:tcW w:w="8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Tax withholdings for equity compensation</w:t>
            </w:r>
          </w:p>
        </w:tc>
        <w:tc>
          <w:tcPr>
            <w:tcW w:w="28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(942)</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(1,410)</w:t>
            </w:r>
          </w:p>
        </w:tc>
      </w:tr>
      <w:tr>
        <w:trPr>
          <w:trHeight w:val="182"/>
        </w:trPr>
        <w:tc>
          <w:tcPr>
            <w:tcW w:w="8240" w:type="dxa"/>
            <w:vAlign w:val="bottom"/>
          </w:tcPr>
          <w:p>
            <w:pPr>
              <w:ind w:left="220"/>
              <w:spacing w:after="0"/>
              <w:rPr>
                <w:sz w:val="20"/>
                <w:szCs w:val="20"/>
                <w:color w:val="auto"/>
              </w:rPr>
            </w:pPr>
            <w:r>
              <w:rPr>
                <w:rFonts w:ascii="Arial" w:cs="Arial" w:eastAsia="Arial" w:hAnsi="Arial"/>
                <w:sz w:val="14"/>
                <w:szCs w:val="14"/>
                <w:color w:val="auto"/>
              </w:rPr>
              <w:t>Repurchase of common stock</w:t>
            </w: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(1,415)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(16,477)</w:t>
            </w:r>
          </w:p>
        </w:tc>
      </w:tr>
      <w:tr>
        <w:trPr>
          <w:trHeight w:val="20"/>
        </w:trPr>
        <w:tc>
          <w:tcPr>
            <w:tcW w:w="8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03"/>
        </w:trPr>
        <w:tc>
          <w:tcPr>
            <w:tcW w:w="8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Distributions to redeemable noncontrolling interest</w:t>
            </w:r>
          </w:p>
        </w:tc>
        <w:tc>
          <w:tcPr>
            <w:tcW w:w="2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(613)</w:t>
            </w:r>
          </w:p>
        </w:tc>
      </w:tr>
      <w:tr>
        <w:trPr>
          <w:trHeight w:val="176"/>
        </w:trPr>
        <w:tc>
          <w:tcPr>
            <w:tcW w:w="8240" w:type="dxa"/>
            <w:vAlign w:val="bottom"/>
          </w:tcPr>
          <w:p>
            <w:pPr>
              <w:ind w:left="20"/>
              <w:spacing w:after="0"/>
              <w:rPr>
                <w:sz w:val="20"/>
                <w:szCs w:val="20"/>
                <w:color w:val="auto"/>
              </w:rPr>
            </w:pPr>
            <w:r>
              <w:rPr>
                <w:rFonts w:ascii="Arial" w:cs="Arial" w:eastAsia="Arial" w:hAnsi="Arial"/>
                <w:sz w:val="14"/>
                <w:szCs w:val="14"/>
                <w:color w:val="auto"/>
              </w:rPr>
              <w:t>Net cash used in financing activities</w:t>
            </w:r>
          </w:p>
        </w:tc>
        <w:tc>
          <w:tcPr>
            <w:tcW w:w="28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(2,357)</w:t>
            </w: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(18,500)</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96"/>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Effect of exchange rate changes on cash and cash equivalents</w:t>
            </w:r>
          </w:p>
        </w:tc>
        <w:tc>
          <w:tcPr>
            <w:tcW w:w="2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(106)</w:t>
            </w:r>
          </w:p>
        </w:tc>
      </w:tr>
      <w:tr>
        <w:trPr>
          <w:trHeight w:val="176"/>
        </w:trPr>
        <w:tc>
          <w:tcPr>
            <w:tcW w:w="8240" w:type="dxa"/>
            <w:vAlign w:val="bottom"/>
          </w:tcPr>
          <w:p>
            <w:pPr>
              <w:ind w:left="20"/>
              <w:spacing w:after="0"/>
              <w:rPr>
                <w:sz w:val="20"/>
                <w:szCs w:val="20"/>
                <w:color w:val="auto"/>
              </w:rPr>
            </w:pPr>
            <w:r>
              <w:rPr>
                <w:rFonts w:ascii="Arial" w:cs="Arial" w:eastAsia="Arial" w:hAnsi="Arial"/>
                <w:sz w:val="14"/>
                <w:szCs w:val="14"/>
                <w:color w:val="auto"/>
              </w:rPr>
              <w:t>Net increase (decrease) in cash and cash equivalents</w:t>
            </w:r>
          </w:p>
        </w:tc>
        <w:tc>
          <w:tcPr>
            <w:tcW w:w="28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1,927</w:t>
            </w: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(50,115)</w:t>
            </w:r>
          </w:p>
        </w:tc>
      </w:tr>
      <w:tr>
        <w:trPr>
          <w:trHeight w:val="20"/>
        </w:trPr>
        <w:tc>
          <w:tcPr>
            <w:tcW w:w="8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03"/>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 beginning of period</w:t>
            </w:r>
          </w:p>
        </w:tc>
        <w:tc>
          <w:tcPr>
            <w:tcW w:w="2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46,595</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88,436</w:t>
            </w:r>
          </w:p>
        </w:tc>
      </w:tr>
      <w:tr>
        <w:trPr>
          <w:trHeight w:val="176"/>
        </w:trPr>
        <w:tc>
          <w:tcPr>
            <w:tcW w:w="8240" w:type="dxa"/>
            <w:vAlign w:val="bottom"/>
          </w:tcPr>
          <w:p>
            <w:pPr>
              <w:ind w:left="20"/>
              <w:spacing w:after="0"/>
              <w:rPr>
                <w:sz w:val="20"/>
                <w:szCs w:val="20"/>
                <w:color w:val="auto"/>
              </w:rPr>
            </w:pPr>
            <w:r>
              <w:rPr>
                <w:rFonts w:ascii="Arial" w:cs="Arial" w:eastAsia="Arial" w:hAnsi="Arial"/>
                <w:sz w:val="14"/>
                <w:szCs w:val="14"/>
                <w:color w:val="auto"/>
              </w:rPr>
              <w:t>Cash and cash equivalents, end of period</w:t>
            </w:r>
          </w:p>
        </w:tc>
        <w:tc>
          <w:tcPr>
            <w:tcW w:w="28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48,522</w:t>
            </w:r>
          </w:p>
        </w:tc>
        <w:tc>
          <w:tcPr>
            <w:tcW w:w="100" w:type="dxa"/>
            <w:vAlign w:val="bottom"/>
          </w:tcPr>
          <w:p>
            <w:pPr>
              <w:spacing w:after="0"/>
              <w:rPr>
                <w:sz w:val="15"/>
                <w:szCs w:val="15"/>
                <w:color w:val="auto"/>
              </w:rPr>
            </w:pPr>
          </w:p>
        </w:tc>
        <w:tc>
          <w:tcPr>
            <w:tcW w:w="28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38,321</w:t>
            </w:r>
          </w:p>
        </w:tc>
      </w:tr>
      <w:tr>
        <w:trPr>
          <w:trHeight w:val="20"/>
        </w:trPr>
        <w:tc>
          <w:tcPr>
            <w:tcW w:w="8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0"/>
        </w:trPr>
        <w:tc>
          <w:tcPr>
            <w:tcW w:w="8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72"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8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00" w:type="dxa"/>
            <w:vAlign w:val="bottom"/>
            <w:gridSpan w:val="4"/>
          </w:tcPr>
          <w:p>
            <w:pPr>
              <w:jc w:val="right"/>
              <w:ind w:right="648"/>
              <w:spacing w:after="0"/>
              <w:rPr>
                <w:sz w:val="20"/>
                <w:szCs w:val="20"/>
                <w:color w:val="auto"/>
              </w:rPr>
            </w:pPr>
            <w:r>
              <w:rPr>
                <w:rFonts w:ascii="Arial" w:cs="Arial" w:eastAsia="Arial" w:hAnsi="Arial"/>
                <w:sz w:val="14"/>
                <w:szCs w:val="14"/>
                <w:b w:val="1"/>
                <w:bCs w:val="1"/>
                <w:color w:val="auto"/>
              </w:rPr>
              <w:t>Twenty-Six Weeks Ended</w:t>
            </w:r>
          </w:p>
        </w:tc>
      </w:tr>
      <w:tr>
        <w:trPr>
          <w:trHeight w:val="26"/>
        </w:trPr>
        <w:tc>
          <w:tcPr>
            <w:tcW w:w="8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33"/>
        </w:trPr>
        <w:tc>
          <w:tcPr>
            <w:tcW w:w="8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200"/>
              <w:spacing w:after="0" w:line="133" w:lineRule="exact"/>
              <w:rPr>
                <w:sz w:val="20"/>
                <w:szCs w:val="20"/>
                <w:color w:val="auto"/>
              </w:rPr>
            </w:pPr>
            <w:r>
              <w:rPr>
                <w:rFonts w:ascii="Arial" w:cs="Arial" w:eastAsia="Arial" w:hAnsi="Arial"/>
                <w:sz w:val="14"/>
                <w:szCs w:val="14"/>
                <w:b w:val="1"/>
                <w:bCs w:val="1"/>
                <w:color w:val="auto"/>
              </w:rPr>
              <w:t>July 29,</w:t>
            </w:r>
          </w:p>
        </w:tc>
        <w:tc>
          <w:tcPr>
            <w:tcW w:w="280" w:type="dxa"/>
            <w:vAlign w:val="bottom"/>
          </w:tcPr>
          <w:p>
            <w:pPr>
              <w:spacing w:after="0"/>
              <w:rPr>
                <w:sz w:val="11"/>
                <w:szCs w:val="11"/>
                <w:color w:val="auto"/>
              </w:rPr>
            </w:pPr>
          </w:p>
        </w:tc>
        <w:tc>
          <w:tcPr>
            <w:tcW w:w="1160" w:type="dxa"/>
            <w:vAlign w:val="bottom"/>
          </w:tcPr>
          <w:p>
            <w:pPr>
              <w:jc w:val="right"/>
              <w:ind w:right="408"/>
              <w:spacing w:after="0" w:line="133" w:lineRule="exact"/>
              <w:rPr>
                <w:sz w:val="20"/>
                <w:szCs w:val="20"/>
                <w:color w:val="auto"/>
              </w:rPr>
            </w:pPr>
            <w:r>
              <w:rPr>
                <w:rFonts w:ascii="Arial" w:cs="Arial" w:eastAsia="Arial" w:hAnsi="Arial"/>
                <w:sz w:val="14"/>
                <w:szCs w:val="14"/>
                <w:b w:val="1"/>
                <w:bCs w:val="1"/>
                <w:color w:val="auto"/>
              </w:rPr>
              <w:t>July 30,</w:t>
            </w:r>
          </w:p>
        </w:tc>
      </w:tr>
      <w:tr>
        <w:trPr>
          <w:trHeight w:val="192"/>
        </w:trPr>
        <w:tc>
          <w:tcPr>
            <w:tcW w:w="82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2022</w:t>
            </w:r>
          </w:p>
        </w:tc>
      </w:tr>
      <w:tr>
        <w:trPr>
          <w:trHeight w:val="188"/>
        </w:trPr>
        <w:tc>
          <w:tcPr>
            <w:tcW w:w="82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182"/>
        </w:trPr>
        <w:tc>
          <w:tcPr>
            <w:tcW w:w="8200" w:type="dxa"/>
            <w:vAlign w:val="bottom"/>
          </w:tcPr>
          <w:p>
            <w:pPr>
              <w:ind w:left="20"/>
              <w:spacing w:after="0"/>
              <w:rPr>
                <w:sz w:val="20"/>
                <w:szCs w:val="20"/>
                <w:color w:val="auto"/>
              </w:rPr>
            </w:pPr>
            <w:r>
              <w:rPr>
                <w:rFonts w:ascii="Arial" w:cs="Arial" w:eastAsia="Arial" w:hAnsi="Arial"/>
                <w:sz w:val="14"/>
                <w:szCs w:val="14"/>
                <w:color w:val="auto"/>
              </w:rPr>
              <w:t>Cash paid (received) for income taxes, net</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662</w:t>
            </w:r>
          </w:p>
        </w:tc>
        <w:tc>
          <w:tcPr>
            <w:tcW w:w="100" w:type="dxa"/>
            <w:vAlign w:val="bottom"/>
          </w:tcPr>
          <w:p>
            <w:pPr>
              <w:spacing w:after="0"/>
              <w:rPr>
                <w:sz w:val="15"/>
                <w:szCs w:val="15"/>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(6,755)</w:t>
            </w:r>
          </w:p>
        </w:tc>
      </w:tr>
      <w:tr>
        <w:trPr>
          <w:trHeight w:val="20"/>
        </w:trPr>
        <w:tc>
          <w:tcPr>
            <w:tcW w:w="8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0"/>
        </w:trPr>
        <w:tc>
          <w:tcPr>
            <w:tcW w:w="82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70"/>
        </w:trPr>
        <w:tc>
          <w:tcPr>
            <w:tcW w:w="82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disclosure of non-cash activity</w:t>
            </w:r>
          </w:p>
        </w:tc>
        <w:tc>
          <w:tcPr>
            <w:tcW w:w="2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r>
      <w:tr>
        <w:trPr>
          <w:trHeight w:val="182"/>
        </w:trPr>
        <w:tc>
          <w:tcPr>
            <w:tcW w:w="8200" w:type="dxa"/>
            <w:vAlign w:val="bottom"/>
          </w:tcPr>
          <w:p>
            <w:pPr>
              <w:ind w:left="20"/>
              <w:spacing w:after="0"/>
              <w:rPr>
                <w:sz w:val="20"/>
                <w:szCs w:val="20"/>
                <w:color w:val="auto"/>
              </w:rPr>
            </w:pPr>
            <w:r>
              <w:rPr>
                <w:rFonts w:ascii="Arial" w:cs="Arial" w:eastAsia="Arial" w:hAnsi="Arial"/>
                <w:sz w:val="14"/>
                <w:szCs w:val="14"/>
                <w:color w:val="auto"/>
              </w:rPr>
              <w:t>Non-cash operating, investing, and financing activities</w:t>
            </w: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0"/>
        </w:trPr>
        <w:tc>
          <w:tcPr>
            <w:tcW w:w="8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83"/>
        </w:trPr>
        <w:tc>
          <w:tcPr>
            <w:tcW w:w="8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Purchases of property, plant, and equipment</w:t>
            </w:r>
          </w:p>
        </w:tc>
        <w:tc>
          <w:tcPr>
            <w:tcW w:w="28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r>
      <w:tr>
        <w:trPr>
          <w:trHeight w:val="182"/>
        </w:trPr>
        <w:tc>
          <w:tcPr>
            <w:tcW w:w="8200" w:type="dxa"/>
            <w:vAlign w:val="bottom"/>
          </w:tcPr>
          <w:p>
            <w:pPr>
              <w:ind w:left="460"/>
              <w:spacing w:after="0"/>
              <w:rPr>
                <w:sz w:val="20"/>
                <w:szCs w:val="20"/>
                <w:color w:val="auto"/>
              </w:rPr>
            </w:pPr>
            <w:r>
              <w:rPr>
                <w:rFonts w:ascii="Arial" w:cs="Arial" w:eastAsia="Arial" w:hAnsi="Arial"/>
                <w:sz w:val="14"/>
                <w:szCs w:val="14"/>
                <w:color w:val="auto"/>
              </w:rPr>
              <w:t>Expenditures incurred but not yet paid as of July 29, 2023 and July 30, 2022</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199</w:t>
            </w:r>
          </w:p>
        </w:tc>
        <w:tc>
          <w:tcPr>
            <w:tcW w:w="100" w:type="dxa"/>
            <w:vAlign w:val="bottom"/>
          </w:tcPr>
          <w:p>
            <w:pPr>
              <w:spacing w:after="0"/>
              <w:rPr>
                <w:sz w:val="15"/>
                <w:szCs w:val="15"/>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1,353</w:t>
            </w:r>
          </w:p>
        </w:tc>
      </w:tr>
      <w:tr>
        <w:trPr>
          <w:trHeight w:val="20"/>
        </w:trPr>
        <w:tc>
          <w:tcPr>
            <w:tcW w:w="8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0"/>
        </w:trPr>
        <w:tc>
          <w:tcPr>
            <w:tcW w:w="82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2"/>
        </w:trPr>
        <w:tc>
          <w:tcPr>
            <w:tcW w:w="82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Expenditures incurred but not yet paid as of January 28, 2023 and January 29, 2022</w:t>
            </w: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363</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250</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Refer to Note 3 herein for supplemental cash flow information regarding the Company’s leases.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the Company and Basis of Presentation</w:t>
      </w:r>
    </w:p>
    <w:p>
      <w:pPr>
        <w:spacing w:after="0" w:line="107" w:lineRule="exact"/>
        <w:rPr>
          <w:rFonts w:ascii="Arial" w:cs="Arial" w:eastAsia="Arial" w:hAnsi="Arial"/>
          <w:sz w:val="18"/>
          <w:szCs w:val="18"/>
          <w:b w:val="1"/>
          <w:bCs w:val="1"/>
          <w:color w:val="auto"/>
        </w:rPr>
      </w:pPr>
    </w:p>
    <w:p>
      <w:pPr>
        <w:ind w:left="660" w:right="6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term “Company” refers to Vera Bradley, Inc. and its wholly owned subsidiaries, except where the context requires otherwise or where otherwise indicated.</w:t>
      </w:r>
    </w:p>
    <w:p>
      <w:pPr>
        <w:spacing w:after="0" w:line="35" w:lineRule="exact"/>
        <w:rPr>
          <w:rFonts w:ascii="Arial" w:cs="Arial" w:eastAsia="Arial" w:hAnsi="Arial"/>
          <w:sz w:val="18"/>
          <w:szCs w:val="18"/>
          <w:b w:val="1"/>
          <w:bCs w:val="1"/>
          <w:color w:val="auto"/>
        </w:rPr>
      </w:pPr>
    </w:p>
    <w:p>
      <w:pPr>
        <w:ind w:left="660" w:right="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Vera Bradley, Inc. operates two unique lifestyle brands – Vera Bradley and Pura Vida. We believe Vera Bradley and Pura Vida are complementary businesses, both with devoted, emotionally-connected, and multi-generational female customer bases; alignment as causal, comfortable, affordable, and fun brands; positioning as “gifting” and socially-connected brands; strong, entrepreneurial cultures; a keen focus on community, charity, and social consciousness; multi-channel distribution strategies; and talented leadership teams aligned and committed to the long-term success of their brands.</w:t>
      </w:r>
    </w:p>
    <w:p>
      <w:pPr>
        <w:spacing w:after="0" w:line="66" w:lineRule="exact"/>
        <w:rPr>
          <w:rFonts w:ascii="Arial" w:cs="Arial" w:eastAsia="Arial" w:hAnsi="Arial"/>
          <w:sz w:val="18"/>
          <w:szCs w:val="18"/>
          <w:b w:val="1"/>
          <w:bCs w:val="1"/>
          <w:color w:val="auto"/>
        </w:rPr>
      </w:pPr>
    </w:p>
    <w:p>
      <w:pPr>
        <w:ind w:left="660" w:right="8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Vera Bradley is a leading designer of women’s handbags, luggage and travel items, fashion and home accessories, and unique gifts. Founded in 1982 by friends Barbara Bradley Baekgaard and Patricia R. Miller, the brand’s innovative designs, iconic patterns, and brilliant colors continue to inspire and connect women.</w:t>
      </w:r>
    </w:p>
    <w:p>
      <w:pPr>
        <w:spacing w:after="0" w:line="62" w:lineRule="exact"/>
        <w:rPr>
          <w:rFonts w:ascii="Arial" w:cs="Arial" w:eastAsia="Arial" w:hAnsi="Arial"/>
          <w:sz w:val="18"/>
          <w:szCs w:val="18"/>
          <w:b w:val="1"/>
          <w:bCs w:val="1"/>
          <w:color w:val="auto"/>
        </w:rPr>
      </w:pPr>
    </w:p>
    <w:p>
      <w:pPr>
        <w:ind w:left="660" w:right="1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July 2019, Vera Bradley, Inc. acquired a 75% interest in Creative Genius, Inc., which also operates under the name Pura Vida Bracelets (“Pura Vida”). On January 30, 2023, the Company purchased the remaining 25% interest in Pura Vida. Pura Vida, based in La Jolla, California, is a digitally native lifestyle brand that we believe deeply resonates with its loyal consumer following. The Pura Vida brand has a differentiated and expanding offering of bracelets, jewelry, and other lifestyle accessories.</w:t>
      </w:r>
    </w:p>
    <w:p>
      <w:pPr>
        <w:spacing w:after="0" w:line="5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7"/>
          <w:szCs w:val="17"/>
          <w:color w:val="auto"/>
        </w:rPr>
        <w:t>The Company has three reportable segments: Vera Bradley Direct (“VB Direct”), Vera Bradley Indirect (“VB Indirect”), and Pura Vida.</w:t>
      </w:r>
    </w:p>
    <w:p>
      <w:pPr>
        <w:spacing w:after="0" w:line="115" w:lineRule="exact"/>
        <w:rPr>
          <w:rFonts w:ascii="Arial" w:cs="Arial" w:eastAsia="Arial" w:hAnsi="Arial"/>
          <w:sz w:val="18"/>
          <w:szCs w:val="18"/>
          <w:b w:val="1"/>
          <w:bCs w:val="1"/>
          <w:color w:val="auto"/>
        </w:rPr>
      </w:pPr>
    </w:p>
    <w:p>
      <w:pPr>
        <w:ind w:left="980" w:right="180" w:hanging="324"/>
        <w:spacing w:after="0" w:line="259" w:lineRule="auto"/>
        <w:tabs>
          <w:tab w:leader="none" w:pos="975"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VB Direct business consists of sales of Vera Bradley products through Vera Bradley full-line and factory outlet stores in the United States; verabradley.com; the Vera Bradley online outlet site; and the Vera Bradley annual outlet sale in Fort Wayne, Indiana. As of July 29, 2023, the Company operated 45 full-line stores and 80 factory outlet stores. In light of the COVID-19 pandemic, the Company cancelled its calendar year 2022 annual outlet sale. The sale resumed in June 2023.</w:t>
      </w:r>
    </w:p>
    <w:p>
      <w:pPr>
        <w:spacing w:after="0" w:line="65" w:lineRule="exact"/>
        <w:rPr>
          <w:rFonts w:ascii="Arial" w:cs="Arial" w:eastAsia="Arial" w:hAnsi="Arial"/>
          <w:sz w:val="18"/>
          <w:szCs w:val="18"/>
          <w:color w:val="auto"/>
        </w:rPr>
      </w:pPr>
    </w:p>
    <w:p>
      <w:pPr>
        <w:ind w:left="980" w:right="300" w:hanging="324"/>
        <w:spacing w:after="0" w:line="286" w:lineRule="auto"/>
        <w:tabs>
          <w:tab w:leader="none" w:pos="975" w:val="left"/>
        </w:tabs>
        <w:numPr>
          <w:ilvl w:val="1"/>
          <w:numId w:val="4"/>
        </w:numPr>
        <w:rPr>
          <w:rFonts w:ascii="Arial" w:cs="Arial" w:eastAsia="Arial" w:hAnsi="Arial"/>
          <w:sz w:val="17"/>
          <w:szCs w:val="17"/>
          <w:color w:val="auto"/>
        </w:rPr>
      </w:pPr>
      <w:r>
        <w:rPr>
          <w:rFonts w:ascii="Arial" w:cs="Arial" w:eastAsia="Arial" w:hAnsi="Arial"/>
          <w:sz w:val="17"/>
          <w:szCs w:val="17"/>
          <w:color w:val="auto"/>
        </w:rPr>
        <w:t>The VB Indirect business consists of sales of Vera Bradley products to approximately 1,700 specialty retail locations, substantially all of which are located in the United States, as well as department stores, national accounts, third-party e-commerce sites, third-party inventory liquidators, and royalties recognized through licensing agreements related to the Vera Bradley brand.</w:t>
      </w:r>
    </w:p>
    <w:p>
      <w:pPr>
        <w:spacing w:after="0" w:line="30" w:lineRule="exact"/>
        <w:rPr>
          <w:rFonts w:ascii="Arial" w:cs="Arial" w:eastAsia="Arial" w:hAnsi="Arial"/>
          <w:sz w:val="17"/>
          <w:szCs w:val="17"/>
          <w:color w:val="auto"/>
        </w:rPr>
      </w:pPr>
    </w:p>
    <w:p>
      <w:pPr>
        <w:ind w:left="980" w:right="20" w:hanging="324"/>
        <w:spacing w:after="0" w:line="263" w:lineRule="auto"/>
        <w:tabs>
          <w:tab w:leader="none" w:pos="975"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Pura Vida segment represents revenues generated through the Pura Vida websites, www.puravidabracelets.com, puravidabracelets.ca, and www.puravidabracelets.eu; through the distribution of Pura Vida-branded products to wholesale retailers, substantially all of which are located in the United States; and through its five retail stores.</w:t>
      </w:r>
    </w:p>
    <w:p>
      <w:pPr>
        <w:spacing w:after="0" w:line="62" w:lineRule="exact"/>
        <w:rPr>
          <w:sz w:val="20"/>
          <w:szCs w:val="20"/>
          <w:color w:val="auto"/>
        </w:rPr>
      </w:pPr>
    </w:p>
    <w:p>
      <w:pPr>
        <w:ind w:left="660"/>
        <w:spacing w:after="0" w:line="255" w:lineRule="auto"/>
        <w:rPr>
          <w:sz w:val="20"/>
          <w:szCs w:val="20"/>
          <w:color w:val="auto"/>
        </w:rPr>
      </w:pPr>
      <w:r>
        <w:rPr>
          <w:rFonts w:ascii="Arial" w:cs="Arial" w:eastAsia="Arial" w:hAnsi="Arial"/>
          <w:sz w:val="18"/>
          <w:szCs w:val="18"/>
          <w:color w:val="auto"/>
        </w:rPr>
        <w:t>The accompanying unaudited consolidated financial statements have been prepared in accordance with the rules and regulations of the Securities and Exchange Commission (“SEC”). Accordingly, certain information and footnote disclosures normally included in financial statements prepared in accordance with accounting principles generally accepted in the United States (“GAAP”) have been condensed or omitted as permitted by such rules and regulations. These interim condensed consolidated financial statements should be read in conjunction with the audited consolidated financial statements and notes included in the Company’s Annual Report on Form 10-K for the fiscal year ended January 28, 2023, filed with the SEC.</w:t>
      </w:r>
    </w:p>
    <w:p>
      <w:pPr>
        <w:spacing w:after="0" w:line="71" w:lineRule="exact"/>
        <w:rPr>
          <w:sz w:val="20"/>
          <w:szCs w:val="20"/>
          <w:color w:val="auto"/>
        </w:rPr>
      </w:pPr>
    </w:p>
    <w:p>
      <w:pPr>
        <w:ind w:left="660" w:right="160"/>
        <w:spacing w:after="0" w:line="279" w:lineRule="auto"/>
        <w:rPr>
          <w:sz w:val="20"/>
          <w:szCs w:val="20"/>
          <w:color w:val="auto"/>
        </w:rPr>
      </w:pPr>
      <w:r>
        <w:rPr>
          <w:rFonts w:ascii="Arial" w:cs="Arial" w:eastAsia="Arial" w:hAnsi="Arial"/>
          <w:sz w:val="17"/>
          <w:szCs w:val="17"/>
          <w:color w:val="auto"/>
        </w:rPr>
        <w:t>The interim financial statements reflect all adjustments that are, in the opinion of management, necessary to present fairly the results for the interim periods presented. All such adjustments are of a normal, recurring nature. The results of operations for the thirteen and twenty-six weeks ended July 29, 2023, are not necessarily indicative of the results to be expected for the full fiscal year due to, in part, seasonal fluctuations in the business and the uncertainty of macroeconomic factors on future periods, including inflation and other related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Principles of Consolidation</w:t>
      </w:r>
    </w:p>
    <w:p>
      <w:pPr>
        <w:spacing w:after="0" w:line="108" w:lineRule="exact"/>
        <w:rPr>
          <w:sz w:val="20"/>
          <w:szCs w:val="20"/>
          <w:color w:val="auto"/>
        </w:rPr>
      </w:pPr>
    </w:p>
    <w:p>
      <w:pPr>
        <w:ind w:left="660" w:right="100"/>
        <w:spacing w:after="0" w:line="311" w:lineRule="auto"/>
        <w:rPr>
          <w:sz w:val="20"/>
          <w:szCs w:val="20"/>
          <w:color w:val="auto"/>
        </w:rPr>
      </w:pPr>
      <w:r>
        <w:rPr>
          <w:rFonts w:ascii="Arial" w:cs="Arial" w:eastAsia="Arial" w:hAnsi="Arial"/>
          <w:sz w:val="16"/>
          <w:szCs w:val="16"/>
          <w:color w:val="auto"/>
        </w:rPr>
        <w:t>The condensed consolidated financial statements include the accounts of the Company and its wholly owned subsidiaries, including Pura Vida. The Company has eliminated intercompany balances and transactions in consolidation. In the prior year, Pura Vida was a majority owned subsidiary and was included in the consolidated financial statements of the Company. Refer to Notes 4 and 12 herein for additional information.</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Fiscal Periods</w:t>
      </w:r>
    </w:p>
    <w:p>
      <w:pPr>
        <w:spacing w:after="0" w:line="94" w:lineRule="exact"/>
        <w:rPr>
          <w:sz w:val="20"/>
          <w:szCs w:val="20"/>
          <w:color w:val="auto"/>
        </w:rPr>
      </w:pPr>
    </w:p>
    <w:p>
      <w:pPr>
        <w:ind w:left="660" w:right="220"/>
        <w:spacing w:after="0" w:line="277" w:lineRule="auto"/>
        <w:rPr>
          <w:sz w:val="20"/>
          <w:szCs w:val="20"/>
          <w:color w:val="auto"/>
        </w:rPr>
      </w:pPr>
      <w:r>
        <w:rPr>
          <w:rFonts w:ascii="Arial" w:cs="Arial" w:eastAsia="Arial" w:hAnsi="Arial"/>
          <w:sz w:val="18"/>
          <w:szCs w:val="18"/>
          <w:color w:val="auto"/>
        </w:rPr>
        <w:t>The Company’s fiscal year ends on the Saturday closest to January 31. References to the fiscal quarters ended July 29, 2023 and July 30, 2022 refer to the thirteen week periods ended on those dates.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08" w:lineRule="exact"/>
        <w:rPr>
          <w:sz w:val="20"/>
          <w:szCs w:val="20"/>
          <w:color w:val="auto"/>
        </w:rPr>
      </w:pPr>
    </w:p>
    <w:p>
      <w:pPr>
        <w:ind w:left="660" w:right="60"/>
        <w:spacing w:after="0" w:line="277" w:lineRule="auto"/>
        <w:rPr>
          <w:sz w:val="20"/>
          <w:szCs w:val="20"/>
          <w:color w:val="auto"/>
        </w:rPr>
      </w:pPr>
      <w:r>
        <w:rPr>
          <w:rFonts w:ascii="Arial" w:cs="Arial" w:eastAsia="Arial" w:hAnsi="Arial"/>
          <w:sz w:val="18"/>
          <w:szCs w:val="18"/>
          <w:color w:val="auto"/>
        </w:rPr>
        <w:t>There were no new accounting pronouncements issued or which became effective during the thirteen and twenty-six weeks ended July 29, 2023, which had, or are expected to have, a significant impact on the Company's Consolidated Financial Statements.</w:t>
      </w:r>
    </w:p>
    <w:p>
      <w:pPr>
        <w:spacing w:after="0" w:line="193" w:lineRule="exact"/>
        <w:rPr>
          <w:sz w:val="20"/>
          <w:szCs w:val="20"/>
          <w:color w:val="auto"/>
        </w:rPr>
      </w:pPr>
    </w:p>
    <w:p>
      <w:pPr>
        <w:ind w:left="660" w:right="7320" w:hanging="652"/>
        <w:spacing w:after="0" w:line="557" w:lineRule="auto"/>
        <w:tabs>
          <w:tab w:leader="none" w:pos="660"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Revenue from Contracts with Customers Disaggregation of Revenue</w:t>
      </w:r>
    </w:p>
    <w:p>
      <w:pPr>
        <w:spacing w:after="0" w:line="1" w:lineRule="exact"/>
        <w:rPr>
          <w:rFonts w:ascii="Arial" w:cs="Arial" w:eastAsia="Arial" w:hAnsi="Arial"/>
          <w:sz w:val="17"/>
          <w:szCs w:val="17"/>
          <w:b w:val="1"/>
          <w:bCs w:val="1"/>
          <w:color w:val="auto"/>
        </w:rPr>
      </w:pPr>
    </w:p>
    <w:p>
      <w:pPr>
        <w:ind w:left="660"/>
        <w:spacing w:after="0" w:line="246" w:lineRule="auto"/>
        <w:rPr>
          <w:rFonts w:ascii="Arial" w:cs="Arial" w:eastAsia="Arial" w:hAnsi="Arial"/>
          <w:sz w:val="17"/>
          <w:szCs w:val="17"/>
          <w:b w:val="1"/>
          <w:bCs w:val="1"/>
          <w:color w:val="auto"/>
        </w:rPr>
      </w:pPr>
      <w:r>
        <w:rPr>
          <w:rFonts w:ascii="Arial" w:cs="Arial" w:eastAsia="Arial" w:hAnsi="Arial"/>
          <w:sz w:val="18"/>
          <w:szCs w:val="18"/>
          <w:color w:val="auto"/>
        </w:rPr>
        <w:t>The following presents the Company's net revenues disaggregated by product category for the thirteen and twenty-six weeks ended July 29, 2023 and July 30, 2022 (in thousands):</w:t>
      </w:r>
    </w:p>
    <w:p>
      <w:pPr>
        <w:spacing w:after="0" w:line="94" w:lineRule="exact"/>
        <w:rPr>
          <w:sz w:val="20"/>
          <w:szCs w:val="20"/>
          <w:color w:val="auto"/>
        </w:rPr>
      </w:pPr>
    </w:p>
    <w:tbl>
      <w:tblPr>
        <w:tblLayout w:type="fixed"/>
        <w:tblInd w:w="660" w:type="dxa"/>
        <w:tblCellMar>
          <w:top w:w="0" w:type="dxa"/>
          <w:left w:w="0" w:type="dxa"/>
          <w:bottom w:w="0" w:type="dxa"/>
          <w:right w:w="0" w:type="dxa"/>
        </w:tblCellMar>
      </w:tblPr>
      <w:tr>
        <w:trPr>
          <w:trHeight w:val="186"/>
        </w:trPr>
        <w:tc>
          <w:tcPr>
            <w:tcW w:w="3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60" w:type="dxa"/>
            <w:vAlign w:val="bottom"/>
            <w:gridSpan w:val="3"/>
          </w:tcPr>
          <w:p>
            <w:pPr>
              <w:jc w:val="right"/>
              <w:ind w:right="16"/>
              <w:spacing w:after="0"/>
              <w:rPr>
                <w:sz w:val="20"/>
                <w:szCs w:val="20"/>
                <w:color w:val="auto"/>
              </w:rPr>
            </w:pPr>
            <w:r>
              <w:rPr>
                <w:rFonts w:ascii="Arial" w:cs="Arial" w:eastAsia="Arial" w:hAnsi="Arial"/>
                <w:sz w:val="14"/>
                <w:szCs w:val="14"/>
                <w:b w:val="1"/>
                <w:bCs w:val="1"/>
                <w:color w:val="auto"/>
              </w:rPr>
              <w:t>Thirteen Weeks Ended</w:t>
            </w: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7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3"/>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7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316"/>
              <w:spacing w:after="0"/>
              <w:rPr>
                <w:sz w:val="20"/>
                <w:szCs w:val="20"/>
                <w:color w:val="auto"/>
              </w:rPr>
            </w:pPr>
            <w:r>
              <w:rPr>
                <w:rFonts w:ascii="Arial" w:cs="Arial" w:eastAsia="Arial" w:hAnsi="Arial"/>
                <w:sz w:val="14"/>
                <w:szCs w:val="14"/>
                <w:b w:val="1"/>
                <w:bCs w:val="1"/>
                <w:color w:val="auto"/>
              </w:rPr>
              <w:t>July 29, 2023</w:t>
            </w:r>
          </w:p>
        </w:tc>
        <w:tc>
          <w:tcPr>
            <w:tcW w:w="6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700" w:type="dxa"/>
            <w:vAlign w:val="bottom"/>
          </w:tcPr>
          <w:p>
            <w:pPr>
              <w:spacing w:after="0"/>
              <w:rPr>
                <w:sz w:val="11"/>
                <w:szCs w:val="11"/>
                <w:color w:val="auto"/>
              </w:rPr>
            </w:pPr>
          </w:p>
        </w:tc>
        <w:tc>
          <w:tcPr>
            <w:tcW w:w="13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VB Direct Segment</w:t>
            </w: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jc w:val="right"/>
              <w:ind w:right="197"/>
              <w:spacing w:after="0" w:line="135" w:lineRule="exact"/>
              <w:rPr>
                <w:sz w:val="20"/>
                <w:szCs w:val="20"/>
                <w:color w:val="auto"/>
              </w:rPr>
            </w:pPr>
            <w:r>
              <w:rPr>
                <w:rFonts w:ascii="Arial" w:cs="Arial" w:eastAsia="Arial" w:hAnsi="Arial"/>
                <w:sz w:val="14"/>
                <w:szCs w:val="14"/>
                <w:b w:val="1"/>
                <w:bCs w:val="1"/>
                <w:color w:val="auto"/>
              </w:rPr>
              <w:t>VB Indirect</w:t>
            </w:r>
          </w:p>
        </w:tc>
        <w:tc>
          <w:tcPr>
            <w:tcW w:w="320" w:type="dxa"/>
            <w:vAlign w:val="bottom"/>
          </w:tcPr>
          <w:p>
            <w:pPr>
              <w:spacing w:after="0"/>
              <w:rPr>
                <w:sz w:val="11"/>
                <w:szCs w:val="11"/>
                <w:color w:val="auto"/>
              </w:rPr>
            </w:pPr>
          </w:p>
        </w:tc>
        <w:tc>
          <w:tcPr>
            <w:tcW w:w="13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Pura Vida Segment</w:t>
            </w: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70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gridSpan w:val="2"/>
            <w:vMerge w:val="continue"/>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Segment</w:t>
            </w:r>
          </w:p>
        </w:tc>
        <w:tc>
          <w:tcPr>
            <w:tcW w:w="32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gridSpan w:val="2"/>
            <w:vMerge w:val="continue"/>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Product categories</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Arial" w:cs="Arial" w:eastAsia="Arial" w:hAnsi="Arial"/>
                <w:sz w:val="18"/>
                <w:szCs w:val="18"/>
                <w:color w:val="auto"/>
              </w:rPr>
              <w:t>Bags</w:t>
            </w:r>
          </w:p>
        </w:tc>
        <w:tc>
          <w:tcPr>
            <w:tcW w:w="440" w:type="dxa"/>
            <w:vAlign w:val="bottom"/>
          </w:tcPr>
          <w:p>
            <w:pPr>
              <w:jc w:val="right"/>
              <w:ind w:right="256"/>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35,396</w:t>
            </w:r>
          </w:p>
        </w:tc>
        <w:tc>
          <w:tcPr>
            <w:tcW w:w="3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9,628</w:t>
            </w:r>
          </w:p>
        </w:tc>
        <w:tc>
          <w:tcPr>
            <w:tcW w:w="320" w:type="dxa"/>
            <w:vAlign w:val="bottom"/>
          </w:tcPr>
          <w:p>
            <w:pPr>
              <w:spacing w:after="0"/>
              <w:rPr>
                <w:sz w:val="19"/>
                <w:szCs w:val="19"/>
                <w:color w:val="auto"/>
              </w:rPr>
            </w:pPr>
          </w:p>
        </w:tc>
        <w:tc>
          <w:tcPr>
            <w:tcW w:w="640" w:type="dxa"/>
            <w:vAlign w:val="bottom"/>
          </w:tcPr>
          <w:p>
            <w:pPr>
              <w:jc w:val="right"/>
              <w:ind w:right="456"/>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176</w:t>
            </w:r>
          </w:p>
        </w:tc>
        <w:tc>
          <w:tcPr>
            <w:tcW w:w="3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45,200</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Travel</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19,960</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3,479</w:t>
            </w: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23,439</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Arial" w:cs="Arial" w:eastAsia="Arial" w:hAnsi="Arial"/>
                <w:sz w:val="18"/>
                <w:szCs w:val="18"/>
                <w:color w:val="auto"/>
              </w:rPr>
              <w:t>Accessories</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15,140</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1,987</w:t>
            </w: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23,672</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40,799</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Home</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9,138</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w:t>
            </w: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10,091</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Arial" w:cs="Arial" w:eastAsia="Arial" w:hAnsi="Arial"/>
                <w:sz w:val="18"/>
                <w:szCs w:val="18"/>
                <w:color w:val="auto"/>
              </w:rPr>
              <w:t>Apparel/Footwear</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4,043</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323</w:t>
            </w: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470</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4,836</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2,025</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w:t>
            </w: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0"/>
              </w:rPr>
              <w:t>(2)</w:t>
            </w:r>
          </w:p>
        </w:tc>
        <w:tc>
          <w:tcPr>
            <w:tcW w:w="6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3,807</w:t>
            </w:r>
          </w:p>
        </w:tc>
        <w:tc>
          <w:tcPr>
            <w:tcW w:w="0" w:type="dxa"/>
            <w:vAlign w:val="bottom"/>
          </w:tcPr>
          <w:p>
            <w:pPr>
              <w:spacing w:after="0"/>
              <w:rPr>
                <w:sz w:val="1"/>
                <w:szCs w:val="1"/>
                <w:color w:val="auto"/>
              </w:rPr>
            </w:pPr>
          </w:p>
        </w:tc>
      </w:tr>
      <w:tr>
        <w:trPr>
          <w:trHeight w:val="223"/>
        </w:trPr>
        <w:tc>
          <w:tcPr>
            <w:tcW w:w="3700" w:type="dxa"/>
            <w:vAlign w:val="bottom"/>
          </w:tcPr>
          <w:p>
            <w:pPr>
              <w:ind w:left="20"/>
              <w:spacing w:after="0"/>
              <w:rPr>
                <w:sz w:val="20"/>
                <w:szCs w:val="20"/>
                <w:color w:val="auto"/>
              </w:rPr>
            </w:pPr>
            <w:r>
              <w:rPr>
                <w:rFonts w:ascii="Arial" w:cs="Arial" w:eastAsia="Arial" w:hAnsi="Arial"/>
                <w:sz w:val="18"/>
                <w:szCs w:val="18"/>
                <w:color w:val="auto"/>
              </w:rPr>
              <w:t>Total net revenues</w:t>
            </w:r>
          </w:p>
        </w:tc>
        <w:tc>
          <w:tcPr>
            <w:tcW w:w="440" w:type="dxa"/>
            <w:vAlign w:val="bottom"/>
            <w:tcBorders>
              <w:bottom w:val="single" w:sz="8" w:color="auto"/>
            </w:tcBorders>
          </w:tcPr>
          <w:p>
            <w:pPr>
              <w:jc w:val="right"/>
              <w:ind w:right="256"/>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85,702</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17,363</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w w:val="90"/>
              </w:rPr>
              <w:t>(5)</w:t>
            </w:r>
          </w:p>
        </w:tc>
        <w:tc>
          <w:tcPr>
            <w:tcW w:w="640" w:type="dxa"/>
            <w:vAlign w:val="bottom"/>
            <w:tcBorders>
              <w:bottom w:val="single" w:sz="8" w:color="auto"/>
            </w:tcBorders>
          </w:tcPr>
          <w:p>
            <w:pPr>
              <w:jc w:val="right"/>
              <w:ind w:right="456"/>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25,107</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(4)</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128,172</w:t>
            </w:r>
          </w:p>
        </w:tc>
        <w:tc>
          <w:tcPr>
            <w:tcW w:w="0" w:type="dxa"/>
            <w:vAlign w:val="bottom"/>
          </w:tcPr>
          <w:p>
            <w:pPr>
              <w:spacing w:after="0"/>
              <w:rPr>
                <w:sz w:val="1"/>
                <w:szCs w:val="1"/>
                <w:color w:val="auto"/>
              </w:rPr>
            </w:pPr>
          </w:p>
        </w:tc>
      </w:tr>
      <w:tr>
        <w:trPr>
          <w:trHeight w:val="21"/>
        </w:trPr>
        <w:tc>
          <w:tcPr>
            <w:tcW w:w="37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920" w:hanging="246"/>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Primarily includes net revenues from stationery, freight, and gift card breakage.</w:t>
      </w:r>
    </w:p>
    <w:p>
      <w:pPr>
        <w:spacing w:after="0" w:line="23" w:lineRule="exact"/>
        <w:rPr>
          <w:rFonts w:ascii="Arial" w:cs="Arial" w:eastAsia="Arial" w:hAnsi="Arial"/>
          <w:sz w:val="18"/>
          <w:szCs w:val="18"/>
          <w:color w:val="auto"/>
        </w:rPr>
      </w:pPr>
    </w:p>
    <w:p>
      <w:pPr>
        <w:ind w:left="920" w:hanging="246"/>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Primarily includes net revenues from licensing agreements and freight.</w:t>
      </w:r>
    </w:p>
    <w:p>
      <w:pPr>
        <w:spacing w:after="0" w:line="22" w:lineRule="exact"/>
        <w:rPr>
          <w:rFonts w:ascii="Arial" w:cs="Arial" w:eastAsia="Arial" w:hAnsi="Arial"/>
          <w:sz w:val="18"/>
          <w:szCs w:val="18"/>
          <w:color w:val="auto"/>
        </w:rPr>
      </w:pPr>
    </w:p>
    <w:p>
      <w:pPr>
        <w:ind w:left="920" w:hanging="246"/>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Related to freight.</w:t>
      </w:r>
    </w:p>
    <w:p>
      <w:pPr>
        <w:spacing w:after="0" w:line="22" w:lineRule="exact"/>
        <w:rPr>
          <w:rFonts w:ascii="Arial" w:cs="Arial" w:eastAsia="Arial" w:hAnsi="Arial"/>
          <w:sz w:val="18"/>
          <w:szCs w:val="18"/>
          <w:color w:val="auto"/>
        </w:rPr>
      </w:pPr>
    </w:p>
    <w:p>
      <w:pPr>
        <w:ind w:left="920" w:hanging="246"/>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 revenues were related to product sales recognized at a point in time.</w:t>
      </w:r>
    </w:p>
    <w:p>
      <w:pPr>
        <w:spacing w:after="0" w:line="22" w:lineRule="exact"/>
        <w:rPr>
          <w:rFonts w:ascii="Arial" w:cs="Arial" w:eastAsia="Arial" w:hAnsi="Arial"/>
          <w:sz w:val="18"/>
          <w:szCs w:val="18"/>
          <w:color w:val="auto"/>
        </w:rPr>
      </w:pPr>
    </w:p>
    <w:p>
      <w:pPr>
        <w:ind w:left="680" w:right="720" w:hanging="6"/>
        <w:spacing w:after="0" w:line="234" w:lineRule="auto"/>
        <w:tabs>
          <w:tab w:leader="none" w:pos="935" w:val="left"/>
        </w:tabs>
        <w:numPr>
          <w:ilvl w:val="0"/>
          <w:numId w:val="6"/>
        </w:numPr>
        <w:rPr>
          <w:rFonts w:ascii="Arial" w:cs="Arial" w:eastAsia="Arial" w:hAnsi="Arial"/>
          <w:sz w:val="18"/>
          <w:szCs w:val="18"/>
          <w:color w:val="auto"/>
        </w:rPr>
      </w:pPr>
      <w:r>
        <w:rPr>
          <w:rFonts w:ascii="Arial" w:cs="Arial" w:eastAsia="Arial" w:hAnsi="Arial"/>
          <w:sz w:val="18"/>
          <w:szCs w:val="18"/>
          <w:color w:val="auto"/>
        </w:rPr>
        <w:t>$16.7 million of net revenues related to product sales recognized at a point in time and $0.7 million of net revenues related to sales-based royalties recognized over time.</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53" w:lineRule="exact"/>
        <w:rPr>
          <w:sz w:val="20"/>
          <w:szCs w:val="20"/>
          <w:color w:val="auto"/>
        </w:rPr>
      </w:pPr>
    </w:p>
    <w:tbl>
      <w:tblPr>
        <w:tblLayout w:type="fixed"/>
        <w:tblInd w:w="660" w:type="dxa"/>
        <w:tblCellMar>
          <w:top w:w="0" w:type="dxa"/>
          <w:left w:w="0" w:type="dxa"/>
          <w:bottom w:w="0" w:type="dxa"/>
          <w:right w:w="0" w:type="dxa"/>
        </w:tblCellMar>
      </w:tblPr>
      <w:tr>
        <w:trPr>
          <w:trHeight w:val="186"/>
        </w:trPr>
        <w:tc>
          <w:tcPr>
            <w:tcW w:w="35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80" w:type="dxa"/>
            <w:vAlign w:val="bottom"/>
            <w:gridSpan w:val="3"/>
          </w:tcPr>
          <w:p>
            <w:pPr>
              <w:jc w:val="right"/>
              <w:ind w:right="16"/>
              <w:spacing w:after="0"/>
              <w:rPr>
                <w:sz w:val="20"/>
                <w:szCs w:val="20"/>
                <w:color w:val="auto"/>
              </w:rPr>
            </w:pPr>
            <w:r>
              <w:rPr>
                <w:rFonts w:ascii="Arial" w:cs="Arial" w:eastAsia="Arial" w:hAnsi="Arial"/>
                <w:sz w:val="14"/>
                <w:szCs w:val="14"/>
                <w:b w:val="1"/>
                <w:bCs w:val="1"/>
                <w:color w:val="auto"/>
              </w:rPr>
              <w:t>Thirteen Weeks Ended</w:t>
            </w: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5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3"/>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5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jc w:val="right"/>
              <w:ind w:right="316"/>
              <w:spacing w:after="0"/>
              <w:rPr>
                <w:sz w:val="20"/>
                <w:szCs w:val="20"/>
                <w:color w:val="auto"/>
              </w:rPr>
            </w:pPr>
            <w:r>
              <w:rPr>
                <w:rFonts w:ascii="Arial" w:cs="Arial" w:eastAsia="Arial" w:hAnsi="Arial"/>
                <w:sz w:val="14"/>
                <w:szCs w:val="14"/>
                <w:b w:val="1"/>
                <w:bCs w:val="1"/>
                <w:color w:val="auto"/>
              </w:rPr>
              <w:t>July 30, 2022</w:t>
            </w:r>
          </w:p>
        </w:tc>
        <w:tc>
          <w:tcPr>
            <w:tcW w:w="6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560" w:type="dxa"/>
            <w:vAlign w:val="bottom"/>
          </w:tcPr>
          <w:p>
            <w:pPr>
              <w:spacing w:after="0"/>
              <w:rPr>
                <w:sz w:val="11"/>
                <w:szCs w:val="11"/>
                <w:color w:val="auto"/>
              </w:rPr>
            </w:pPr>
          </w:p>
        </w:tc>
        <w:tc>
          <w:tcPr>
            <w:tcW w:w="13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VB Direct Segment</w:t>
            </w: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jc w:val="right"/>
              <w:ind w:right="197"/>
              <w:spacing w:after="0" w:line="135" w:lineRule="exact"/>
              <w:rPr>
                <w:sz w:val="20"/>
                <w:szCs w:val="20"/>
                <w:color w:val="auto"/>
              </w:rPr>
            </w:pPr>
            <w:r>
              <w:rPr>
                <w:rFonts w:ascii="Arial" w:cs="Arial" w:eastAsia="Arial" w:hAnsi="Arial"/>
                <w:sz w:val="14"/>
                <w:szCs w:val="14"/>
                <w:b w:val="1"/>
                <w:bCs w:val="1"/>
                <w:color w:val="auto"/>
              </w:rPr>
              <w:t>VB Indirect</w:t>
            </w:r>
          </w:p>
        </w:tc>
        <w:tc>
          <w:tcPr>
            <w:tcW w:w="340" w:type="dxa"/>
            <w:vAlign w:val="bottom"/>
          </w:tcPr>
          <w:p>
            <w:pPr>
              <w:spacing w:after="0"/>
              <w:rPr>
                <w:sz w:val="11"/>
                <w:szCs w:val="11"/>
                <w:color w:val="auto"/>
              </w:rPr>
            </w:pPr>
          </w:p>
        </w:tc>
        <w:tc>
          <w:tcPr>
            <w:tcW w:w="13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Pura Vida Segment</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56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gridSpan w:val="2"/>
            <w:vMerge w:val="continue"/>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Segment</w:t>
            </w:r>
          </w:p>
        </w:tc>
        <w:tc>
          <w:tcPr>
            <w:tcW w:w="34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gridSpan w:val="2"/>
            <w:vMerge w:val="continue"/>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Product categories</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60" w:type="dxa"/>
            <w:vAlign w:val="bottom"/>
          </w:tcPr>
          <w:p>
            <w:pPr>
              <w:ind w:left="20"/>
              <w:spacing w:after="0"/>
              <w:rPr>
                <w:sz w:val="20"/>
                <w:szCs w:val="20"/>
                <w:color w:val="auto"/>
              </w:rPr>
            </w:pPr>
            <w:r>
              <w:rPr>
                <w:rFonts w:ascii="Arial" w:cs="Arial" w:eastAsia="Arial" w:hAnsi="Arial"/>
                <w:sz w:val="18"/>
                <w:szCs w:val="18"/>
                <w:color w:val="auto"/>
              </w:rPr>
              <w:t>Bags</w:t>
            </w:r>
          </w:p>
        </w:tc>
        <w:tc>
          <w:tcPr>
            <w:tcW w:w="440" w:type="dxa"/>
            <w:vAlign w:val="bottom"/>
          </w:tcPr>
          <w:p>
            <w:pPr>
              <w:jc w:val="right"/>
              <w:ind w:right="256"/>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38,373</w:t>
            </w:r>
          </w:p>
        </w:tc>
        <w:tc>
          <w:tcPr>
            <w:tcW w:w="3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9,603</w:t>
            </w:r>
          </w:p>
        </w:tc>
        <w:tc>
          <w:tcPr>
            <w:tcW w:w="340" w:type="dxa"/>
            <w:vAlign w:val="bottom"/>
          </w:tcPr>
          <w:p>
            <w:pPr>
              <w:spacing w:after="0"/>
              <w:rPr>
                <w:sz w:val="19"/>
                <w:szCs w:val="19"/>
                <w:color w:val="auto"/>
              </w:rPr>
            </w:pPr>
          </w:p>
        </w:tc>
        <w:tc>
          <w:tcPr>
            <w:tcW w:w="640" w:type="dxa"/>
            <w:vAlign w:val="bottom"/>
          </w:tcPr>
          <w:p>
            <w:pPr>
              <w:jc w:val="right"/>
              <w:ind w:right="456"/>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779</w:t>
            </w:r>
          </w:p>
        </w:tc>
        <w:tc>
          <w:tcPr>
            <w:tcW w:w="3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48,755</w:t>
            </w:r>
          </w:p>
        </w:tc>
        <w:tc>
          <w:tcPr>
            <w:tcW w:w="0" w:type="dxa"/>
            <w:vAlign w:val="bottom"/>
          </w:tcPr>
          <w:p>
            <w:pPr>
              <w:spacing w:after="0"/>
              <w:rPr>
                <w:sz w:val="1"/>
                <w:szCs w:val="1"/>
                <w:color w:val="auto"/>
              </w:rPr>
            </w:pPr>
          </w:p>
        </w:tc>
      </w:tr>
      <w:tr>
        <w:trPr>
          <w:trHeight w:val="229"/>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Travel</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20,071</w:t>
            </w: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3,033</w:t>
            </w: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23,104</w:t>
            </w:r>
          </w:p>
        </w:tc>
        <w:tc>
          <w:tcPr>
            <w:tcW w:w="0" w:type="dxa"/>
            <w:vAlign w:val="bottom"/>
          </w:tcPr>
          <w:p>
            <w:pPr>
              <w:spacing w:after="0"/>
              <w:rPr>
                <w:sz w:val="1"/>
                <w:szCs w:val="1"/>
                <w:color w:val="auto"/>
              </w:rPr>
            </w:pPr>
          </w:p>
        </w:tc>
      </w:tr>
      <w:tr>
        <w:trPr>
          <w:trHeight w:val="229"/>
        </w:trPr>
        <w:tc>
          <w:tcPr>
            <w:tcW w:w="3560" w:type="dxa"/>
            <w:vAlign w:val="bottom"/>
          </w:tcPr>
          <w:p>
            <w:pPr>
              <w:ind w:left="20"/>
              <w:spacing w:after="0"/>
              <w:rPr>
                <w:sz w:val="20"/>
                <w:szCs w:val="20"/>
                <w:color w:val="auto"/>
              </w:rPr>
            </w:pPr>
            <w:r>
              <w:rPr>
                <w:rFonts w:ascii="Arial" w:cs="Arial" w:eastAsia="Arial" w:hAnsi="Arial"/>
                <w:sz w:val="18"/>
                <w:szCs w:val="18"/>
                <w:color w:val="auto"/>
              </w:rPr>
              <w:t>Accessories</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15,757</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2,636</w:t>
            </w: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23,269</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41,662</w:t>
            </w: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Home</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8,726</w:t>
            </w: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9,458</w:t>
            </w:r>
          </w:p>
        </w:tc>
        <w:tc>
          <w:tcPr>
            <w:tcW w:w="0" w:type="dxa"/>
            <w:vAlign w:val="bottom"/>
          </w:tcPr>
          <w:p>
            <w:pPr>
              <w:spacing w:after="0"/>
              <w:rPr>
                <w:sz w:val="1"/>
                <w:szCs w:val="1"/>
                <w:color w:val="auto"/>
              </w:rPr>
            </w:pPr>
          </w:p>
        </w:tc>
      </w:tr>
      <w:tr>
        <w:trPr>
          <w:trHeight w:val="229"/>
        </w:trPr>
        <w:tc>
          <w:tcPr>
            <w:tcW w:w="3560" w:type="dxa"/>
            <w:vAlign w:val="bottom"/>
          </w:tcPr>
          <w:p>
            <w:pPr>
              <w:ind w:left="20"/>
              <w:spacing w:after="0" w:line="230" w:lineRule="exact"/>
              <w:rPr>
                <w:sz w:val="20"/>
                <w:szCs w:val="20"/>
                <w:color w:val="auto"/>
              </w:rPr>
            </w:pPr>
            <w:r>
              <w:rPr>
                <w:rFonts w:ascii="Arial" w:cs="Arial" w:eastAsia="Arial" w:hAnsi="Arial"/>
                <w:sz w:val="18"/>
                <w:szCs w:val="18"/>
                <w:color w:val="auto"/>
              </w:rPr>
              <w:t>Apparel/Footwear</w:t>
            </w:r>
            <w:r>
              <w:rPr>
                <w:rFonts w:ascii="Arial" w:cs="Arial" w:eastAsia="Arial" w:hAnsi="Arial"/>
                <w:sz w:val="23"/>
                <w:szCs w:val="23"/>
                <w:color w:val="auto"/>
                <w:vertAlign w:val="superscript"/>
              </w:rPr>
              <w:t>(6)</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2,161</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360</w:t>
            </w: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1,359</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3,880</w:t>
            </w:r>
          </w:p>
        </w:tc>
        <w:tc>
          <w:tcPr>
            <w:tcW w:w="0" w:type="dxa"/>
            <w:vAlign w:val="bottom"/>
          </w:tcPr>
          <w:p>
            <w:pPr>
              <w:spacing w:after="0"/>
              <w:rPr>
                <w:sz w:val="1"/>
                <w:szCs w:val="1"/>
                <w:color w:val="auto"/>
              </w:rPr>
            </w:pPr>
          </w:p>
        </w:tc>
      </w:tr>
      <w:tr>
        <w:trPr>
          <w:trHeight w:val="229"/>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1,925</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0"/>
              </w:rPr>
              <w:t>(1)</w:t>
            </w: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0"/>
              </w:rPr>
              <w:t>(2)</w:t>
            </w:r>
          </w:p>
        </w:tc>
        <w:tc>
          <w:tcPr>
            <w:tcW w:w="6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(3)</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3,512</w:t>
            </w:r>
          </w:p>
        </w:tc>
        <w:tc>
          <w:tcPr>
            <w:tcW w:w="0" w:type="dxa"/>
            <w:vAlign w:val="bottom"/>
          </w:tcPr>
          <w:p>
            <w:pPr>
              <w:spacing w:after="0"/>
              <w:rPr>
                <w:sz w:val="1"/>
                <w:szCs w:val="1"/>
                <w:color w:val="auto"/>
              </w:rPr>
            </w:pPr>
          </w:p>
        </w:tc>
      </w:tr>
      <w:tr>
        <w:trPr>
          <w:trHeight w:val="223"/>
        </w:trPr>
        <w:tc>
          <w:tcPr>
            <w:tcW w:w="3560" w:type="dxa"/>
            <w:vAlign w:val="bottom"/>
          </w:tcPr>
          <w:p>
            <w:pPr>
              <w:ind w:left="20"/>
              <w:spacing w:after="0"/>
              <w:rPr>
                <w:sz w:val="20"/>
                <w:szCs w:val="20"/>
                <w:color w:val="auto"/>
              </w:rPr>
            </w:pPr>
            <w:r>
              <w:rPr>
                <w:rFonts w:ascii="Arial" w:cs="Arial" w:eastAsia="Arial" w:hAnsi="Arial"/>
                <w:sz w:val="18"/>
                <w:szCs w:val="18"/>
                <w:color w:val="auto"/>
              </w:rPr>
              <w:t>Total net revenues</w:t>
            </w:r>
          </w:p>
        </w:tc>
        <w:tc>
          <w:tcPr>
            <w:tcW w:w="440" w:type="dxa"/>
            <w:vAlign w:val="bottom"/>
            <w:tcBorders>
              <w:bottom w:val="single" w:sz="8" w:color="auto"/>
            </w:tcBorders>
          </w:tcPr>
          <w:p>
            <w:pPr>
              <w:jc w:val="right"/>
              <w:ind w:right="256"/>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87,013</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w w:val="90"/>
              </w:rPr>
              <w:t>(4)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17,325</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w w:val="90"/>
              </w:rPr>
              <w:t>(5)</w:t>
            </w:r>
          </w:p>
        </w:tc>
        <w:tc>
          <w:tcPr>
            <w:tcW w:w="640" w:type="dxa"/>
            <w:vAlign w:val="bottom"/>
            <w:tcBorders>
              <w:bottom w:val="single" w:sz="8" w:color="auto"/>
            </w:tcBorders>
          </w:tcPr>
          <w:p>
            <w:pPr>
              <w:jc w:val="right"/>
              <w:ind w:right="456"/>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26,033</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w w:val="99"/>
              </w:rPr>
              <w:t>(4)</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130,371</w:t>
            </w:r>
          </w:p>
        </w:tc>
        <w:tc>
          <w:tcPr>
            <w:tcW w:w="0" w:type="dxa"/>
            <w:vAlign w:val="bottom"/>
          </w:tcPr>
          <w:p>
            <w:pPr>
              <w:spacing w:after="0"/>
              <w:rPr>
                <w:sz w:val="1"/>
                <w:szCs w:val="1"/>
                <w:color w:val="auto"/>
              </w:rPr>
            </w:pPr>
          </w:p>
        </w:tc>
      </w:tr>
      <w:tr>
        <w:trPr>
          <w:trHeight w:val="21"/>
        </w:trPr>
        <w:tc>
          <w:tcPr>
            <w:tcW w:w="35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920" w:hanging="246"/>
        <w:spacing w:after="0"/>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Primarily includes net revenues from stationery, freight, and gift card breakage.</w:t>
      </w:r>
    </w:p>
    <w:p>
      <w:pPr>
        <w:spacing w:after="0" w:line="23" w:lineRule="exact"/>
        <w:rPr>
          <w:rFonts w:ascii="Arial" w:cs="Arial" w:eastAsia="Arial" w:hAnsi="Arial"/>
          <w:sz w:val="18"/>
          <w:szCs w:val="18"/>
          <w:color w:val="auto"/>
        </w:rPr>
      </w:pPr>
    </w:p>
    <w:p>
      <w:pPr>
        <w:ind w:left="920" w:hanging="246"/>
        <w:spacing w:after="0"/>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Primarily includes net revenues from licensing agreements and freight.</w:t>
      </w:r>
    </w:p>
    <w:p>
      <w:pPr>
        <w:spacing w:after="0" w:line="22" w:lineRule="exact"/>
        <w:rPr>
          <w:rFonts w:ascii="Arial" w:cs="Arial" w:eastAsia="Arial" w:hAnsi="Arial"/>
          <w:sz w:val="18"/>
          <w:szCs w:val="18"/>
          <w:color w:val="auto"/>
        </w:rPr>
      </w:pPr>
    </w:p>
    <w:p>
      <w:pPr>
        <w:ind w:left="920" w:hanging="246"/>
        <w:spacing w:after="0"/>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Related to freight.</w:t>
      </w:r>
    </w:p>
    <w:p>
      <w:pPr>
        <w:spacing w:after="0" w:line="22" w:lineRule="exact"/>
        <w:rPr>
          <w:rFonts w:ascii="Arial" w:cs="Arial" w:eastAsia="Arial" w:hAnsi="Arial"/>
          <w:sz w:val="18"/>
          <w:szCs w:val="18"/>
          <w:color w:val="auto"/>
        </w:rPr>
      </w:pPr>
    </w:p>
    <w:p>
      <w:pPr>
        <w:ind w:left="920" w:hanging="246"/>
        <w:spacing w:after="0"/>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Net revenues were related to product sales recognized at a point in time.</w:t>
      </w:r>
    </w:p>
    <w:p>
      <w:pPr>
        <w:spacing w:after="0" w:line="22" w:lineRule="exact"/>
        <w:rPr>
          <w:rFonts w:ascii="Arial" w:cs="Arial" w:eastAsia="Arial" w:hAnsi="Arial"/>
          <w:sz w:val="18"/>
          <w:szCs w:val="18"/>
          <w:color w:val="auto"/>
        </w:rPr>
      </w:pPr>
    </w:p>
    <w:p>
      <w:pPr>
        <w:ind w:left="680" w:right="200" w:hanging="6"/>
        <w:spacing w:after="0" w:line="234" w:lineRule="auto"/>
        <w:tabs>
          <w:tab w:leader="none" w:pos="935" w:val="left"/>
        </w:tabs>
        <w:numPr>
          <w:ilvl w:val="0"/>
          <w:numId w:val="7"/>
        </w:numPr>
        <w:rPr>
          <w:rFonts w:ascii="Arial" w:cs="Arial" w:eastAsia="Arial" w:hAnsi="Arial"/>
          <w:sz w:val="18"/>
          <w:szCs w:val="18"/>
          <w:color w:val="auto"/>
        </w:rPr>
      </w:pPr>
      <w:r>
        <w:rPr>
          <w:rFonts w:ascii="Arial" w:cs="Arial" w:eastAsia="Arial" w:hAnsi="Arial"/>
          <w:sz w:val="18"/>
          <w:szCs w:val="18"/>
          <w:color w:val="auto"/>
        </w:rPr>
        <w:t>$16.6 million of net revenues related to product sales recognized at a point in time and $0.7 million of net revenues related to sales-based royalties recognized over time.</w:t>
      </w:r>
    </w:p>
    <w:p>
      <w:pPr>
        <w:spacing w:after="0" w:line="14" w:lineRule="exact"/>
        <w:rPr>
          <w:rFonts w:ascii="Arial" w:cs="Arial" w:eastAsia="Arial" w:hAnsi="Arial"/>
          <w:sz w:val="18"/>
          <w:szCs w:val="18"/>
          <w:color w:val="auto"/>
        </w:rPr>
      </w:pPr>
    </w:p>
    <w:p>
      <w:pPr>
        <w:ind w:left="920" w:hanging="246"/>
        <w:spacing w:after="0"/>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mask sales.</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86"/>
        </w:trPr>
        <w:tc>
          <w:tcPr>
            <w:tcW w:w="3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00" w:type="dxa"/>
            <w:vAlign w:val="bottom"/>
            <w:gridSpan w:val="3"/>
          </w:tcPr>
          <w:p>
            <w:pPr>
              <w:jc w:val="right"/>
              <w:spacing w:after="0"/>
              <w:rPr>
                <w:sz w:val="20"/>
                <w:szCs w:val="20"/>
                <w:color w:val="auto"/>
              </w:rPr>
            </w:pPr>
            <w:r>
              <w:rPr>
                <w:rFonts w:ascii="Arial" w:cs="Arial" w:eastAsia="Arial" w:hAnsi="Arial"/>
                <w:sz w:val="14"/>
                <w:szCs w:val="14"/>
                <w:b w:val="1"/>
                <w:bCs w:val="1"/>
                <w:color w:val="auto"/>
              </w:rPr>
              <w:t>Twenty-Six Weeks Ended</w:t>
            </w: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7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3"/>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7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tcPr>
          <w:p>
            <w:pPr>
              <w:jc w:val="right"/>
              <w:ind w:right="356"/>
              <w:spacing w:after="0"/>
              <w:rPr>
                <w:sz w:val="20"/>
                <w:szCs w:val="20"/>
                <w:color w:val="auto"/>
              </w:rPr>
            </w:pPr>
            <w:r>
              <w:rPr>
                <w:rFonts w:ascii="Arial" w:cs="Arial" w:eastAsia="Arial" w:hAnsi="Arial"/>
                <w:sz w:val="14"/>
                <w:szCs w:val="14"/>
                <w:b w:val="1"/>
                <w:bCs w:val="1"/>
                <w:color w:val="auto"/>
              </w:rPr>
              <w:t>July 29, 2023</w:t>
            </w:r>
          </w:p>
        </w:tc>
        <w:tc>
          <w:tcPr>
            <w:tcW w:w="6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700" w:type="dxa"/>
            <w:vAlign w:val="bottom"/>
          </w:tcPr>
          <w:p>
            <w:pPr>
              <w:spacing w:after="0"/>
              <w:rPr>
                <w:sz w:val="12"/>
                <w:szCs w:val="12"/>
                <w:color w:val="auto"/>
              </w:rPr>
            </w:pPr>
          </w:p>
        </w:tc>
        <w:tc>
          <w:tcPr>
            <w:tcW w:w="13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VB Direct Segment</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jc w:val="right"/>
              <w:ind w:right="197"/>
              <w:spacing w:after="0" w:line="139" w:lineRule="exact"/>
              <w:rPr>
                <w:sz w:val="20"/>
                <w:szCs w:val="20"/>
                <w:color w:val="auto"/>
              </w:rPr>
            </w:pPr>
            <w:r>
              <w:rPr>
                <w:rFonts w:ascii="Arial" w:cs="Arial" w:eastAsia="Arial" w:hAnsi="Arial"/>
                <w:sz w:val="14"/>
                <w:szCs w:val="14"/>
                <w:b w:val="1"/>
                <w:bCs w:val="1"/>
                <w:color w:val="auto"/>
              </w:rPr>
              <w:t>VB Indirect</w:t>
            </w:r>
          </w:p>
        </w:tc>
        <w:tc>
          <w:tcPr>
            <w:tcW w:w="320" w:type="dxa"/>
            <w:vAlign w:val="bottom"/>
          </w:tcPr>
          <w:p>
            <w:pPr>
              <w:spacing w:after="0"/>
              <w:rPr>
                <w:sz w:val="12"/>
                <w:szCs w:val="12"/>
                <w:color w:val="auto"/>
              </w:rPr>
            </w:pPr>
          </w:p>
        </w:tc>
        <w:tc>
          <w:tcPr>
            <w:tcW w:w="13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Pura Vida Segment</w:t>
            </w: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7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Segment</w:t>
            </w:r>
          </w:p>
        </w:tc>
        <w:tc>
          <w:tcPr>
            <w:tcW w:w="3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Product categories</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Arial" w:cs="Arial" w:eastAsia="Arial" w:hAnsi="Arial"/>
                <w:sz w:val="18"/>
                <w:szCs w:val="18"/>
                <w:color w:val="auto"/>
              </w:rPr>
              <w:t>Bags</w:t>
            </w:r>
          </w:p>
        </w:tc>
        <w:tc>
          <w:tcPr>
            <w:tcW w:w="400" w:type="dxa"/>
            <w:vAlign w:val="bottom"/>
          </w:tcPr>
          <w:p>
            <w:pPr>
              <w:jc w:val="right"/>
              <w:ind w:right="216"/>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58,297</w:t>
            </w:r>
          </w:p>
        </w:tc>
        <w:tc>
          <w:tcPr>
            <w:tcW w:w="3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17,956</w:t>
            </w:r>
          </w:p>
        </w:tc>
        <w:tc>
          <w:tcPr>
            <w:tcW w:w="320" w:type="dxa"/>
            <w:vAlign w:val="bottom"/>
          </w:tcPr>
          <w:p>
            <w:pPr>
              <w:spacing w:after="0"/>
              <w:rPr>
                <w:sz w:val="19"/>
                <w:szCs w:val="19"/>
                <w:color w:val="auto"/>
              </w:rPr>
            </w:pPr>
          </w:p>
        </w:tc>
        <w:tc>
          <w:tcPr>
            <w:tcW w:w="680" w:type="dxa"/>
            <w:vAlign w:val="bottom"/>
          </w:tcPr>
          <w:p>
            <w:pPr>
              <w:jc w:val="right"/>
              <w:ind w:right="496"/>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237</w:t>
            </w:r>
          </w:p>
        </w:tc>
        <w:tc>
          <w:tcPr>
            <w:tcW w:w="3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76,490</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Travel</w:t>
            </w: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35,366</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6,658</w:t>
            </w: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42,024</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Arial" w:cs="Arial" w:eastAsia="Arial" w:hAnsi="Arial"/>
                <w:sz w:val="18"/>
                <w:szCs w:val="18"/>
                <w:color w:val="auto"/>
              </w:rPr>
              <w:t>Accessories</w:t>
            </w: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25,634</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3,945</w:t>
            </w: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42,683</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72,262</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Home</w:t>
            </w: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15,066</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w:t>
            </w: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16,607</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Arial" w:cs="Arial" w:eastAsia="Arial" w:hAnsi="Arial"/>
                <w:sz w:val="18"/>
                <w:szCs w:val="18"/>
                <w:color w:val="auto"/>
              </w:rPr>
              <w:t>Apparel/Footwear</w:t>
            </w: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6,990</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784</w:t>
            </w: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760</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8,534</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3,254</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w:t>
            </w: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1,852</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0"/>
              </w:rPr>
              <w:t>(2)</w:t>
            </w:r>
          </w:p>
        </w:tc>
        <w:tc>
          <w:tcPr>
            <w:tcW w:w="6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1,511</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6,617</w:t>
            </w:r>
          </w:p>
        </w:tc>
        <w:tc>
          <w:tcPr>
            <w:tcW w:w="0" w:type="dxa"/>
            <w:vAlign w:val="bottom"/>
          </w:tcPr>
          <w:p>
            <w:pPr>
              <w:spacing w:after="0"/>
              <w:rPr>
                <w:sz w:val="1"/>
                <w:szCs w:val="1"/>
                <w:color w:val="auto"/>
              </w:rPr>
            </w:pPr>
          </w:p>
        </w:tc>
      </w:tr>
      <w:tr>
        <w:trPr>
          <w:trHeight w:val="223"/>
        </w:trPr>
        <w:tc>
          <w:tcPr>
            <w:tcW w:w="3700" w:type="dxa"/>
            <w:vAlign w:val="bottom"/>
          </w:tcPr>
          <w:p>
            <w:pPr>
              <w:ind w:left="20"/>
              <w:spacing w:after="0"/>
              <w:rPr>
                <w:sz w:val="20"/>
                <w:szCs w:val="20"/>
                <w:color w:val="auto"/>
              </w:rPr>
            </w:pPr>
            <w:r>
              <w:rPr>
                <w:rFonts w:ascii="Arial" w:cs="Arial" w:eastAsia="Arial" w:hAnsi="Arial"/>
                <w:sz w:val="18"/>
                <w:szCs w:val="18"/>
                <w:color w:val="auto"/>
              </w:rPr>
              <w:t>Total net revenues</w:t>
            </w:r>
          </w:p>
        </w:tc>
        <w:tc>
          <w:tcPr>
            <w:tcW w:w="400" w:type="dxa"/>
            <w:vAlign w:val="bottom"/>
            <w:tcBorders>
              <w:bottom w:val="single" w:sz="8" w:color="auto"/>
            </w:tcBorders>
          </w:tcPr>
          <w:p>
            <w:pPr>
              <w:jc w:val="right"/>
              <w:ind w:right="216"/>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144,607</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32,736</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w w:val="90"/>
              </w:rPr>
              <w:t>(5)</w:t>
            </w:r>
          </w:p>
        </w:tc>
        <w:tc>
          <w:tcPr>
            <w:tcW w:w="680" w:type="dxa"/>
            <w:vAlign w:val="bottom"/>
            <w:tcBorders>
              <w:bottom w:val="single" w:sz="8" w:color="auto"/>
            </w:tcBorders>
          </w:tcPr>
          <w:p>
            <w:pPr>
              <w:jc w:val="right"/>
              <w:ind w:right="496"/>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45,191</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(4)</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222,534</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920" w:hanging="246"/>
        <w:spacing w:after="0"/>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Primarily includes net revenues from stationery, freight, and gift card breakage.</w:t>
      </w:r>
    </w:p>
    <w:p>
      <w:pPr>
        <w:spacing w:after="0" w:line="23" w:lineRule="exact"/>
        <w:rPr>
          <w:rFonts w:ascii="Arial" w:cs="Arial" w:eastAsia="Arial" w:hAnsi="Arial"/>
          <w:sz w:val="18"/>
          <w:szCs w:val="18"/>
          <w:color w:val="auto"/>
        </w:rPr>
      </w:pPr>
    </w:p>
    <w:p>
      <w:pPr>
        <w:ind w:left="920" w:hanging="246"/>
        <w:spacing w:after="0"/>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Primarily includes net revenues from licensing agreements and freight.</w:t>
      </w:r>
    </w:p>
    <w:p>
      <w:pPr>
        <w:spacing w:after="0" w:line="22" w:lineRule="exact"/>
        <w:rPr>
          <w:rFonts w:ascii="Arial" w:cs="Arial" w:eastAsia="Arial" w:hAnsi="Arial"/>
          <w:sz w:val="18"/>
          <w:szCs w:val="18"/>
          <w:color w:val="auto"/>
        </w:rPr>
      </w:pPr>
    </w:p>
    <w:p>
      <w:pPr>
        <w:ind w:left="920" w:hanging="246"/>
        <w:spacing w:after="0"/>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Related to freight.</w:t>
      </w:r>
    </w:p>
    <w:p>
      <w:pPr>
        <w:spacing w:after="0" w:line="22" w:lineRule="exact"/>
        <w:rPr>
          <w:rFonts w:ascii="Arial" w:cs="Arial" w:eastAsia="Arial" w:hAnsi="Arial"/>
          <w:sz w:val="18"/>
          <w:szCs w:val="18"/>
          <w:color w:val="auto"/>
        </w:rPr>
      </w:pPr>
    </w:p>
    <w:p>
      <w:pPr>
        <w:ind w:left="920" w:hanging="246"/>
        <w:spacing w:after="0"/>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Net revenues were related to product sales recognized at a point in time.</w:t>
      </w:r>
    </w:p>
    <w:p>
      <w:pPr>
        <w:spacing w:after="0" w:line="22" w:lineRule="exact"/>
        <w:rPr>
          <w:rFonts w:ascii="Arial" w:cs="Arial" w:eastAsia="Arial" w:hAnsi="Arial"/>
          <w:sz w:val="18"/>
          <w:szCs w:val="18"/>
          <w:color w:val="auto"/>
        </w:rPr>
      </w:pPr>
    </w:p>
    <w:p>
      <w:pPr>
        <w:ind w:left="680" w:right="200" w:hanging="6"/>
        <w:spacing w:after="0" w:line="234" w:lineRule="auto"/>
        <w:tabs>
          <w:tab w:leader="none" w:pos="935" w:val="left"/>
        </w:tabs>
        <w:numPr>
          <w:ilvl w:val="0"/>
          <w:numId w:val="8"/>
        </w:numPr>
        <w:rPr>
          <w:rFonts w:ascii="Arial" w:cs="Arial" w:eastAsia="Arial" w:hAnsi="Arial"/>
          <w:sz w:val="18"/>
          <w:szCs w:val="18"/>
          <w:color w:val="auto"/>
        </w:rPr>
      </w:pPr>
      <w:r>
        <w:rPr>
          <w:rFonts w:ascii="Arial" w:cs="Arial" w:eastAsia="Arial" w:hAnsi="Arial"/>
          <w:sz w:val="18"/>
          <w:szCs w:val="18"/>
          <w:color w:val="auto"/>
        </w:rPr>
        <w:t>$31.3 million of net revenues related to product sales recognized at a point in time and $1.4 million of net revenues related to sales-based royalties recognized over time.</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00"/>
          </w:cols>
          <w:pgMar w:left="320" w:top="121" w:right="97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53" w:lineRule="exact"/>
        <w:rPr>
          <w:sz w:val="20"/>
          <w:szCs w:val="20"/>
          <w:color w:val="auto"/>
        </w:rPr>
      </w:pPr>
    </w:p>
    <w:tbl>
      <w:tblPr>
        <w:tblLayout w:type="fixed"/>
        <w:tblInd w:w="660" w:type="dxa"/>
        <w:tblCellMar>
          <w:top w:w="0" w:type="dxa"/>
          <w:left w:w="0" w:type="dxa"/>
          <w:bottom w:w="0" w:type="dxa"/>
          <w:right w:w="0" w:type="dxa"/>
        </w:tblCellMar>
      </w:tblPr>
      <w:tr>
        <w:trPr>
          <w:trHeight w:val="186"/>
        </w:trPr>
        <w:tc>
          <w:tcPr>
            <w:tcW w:w="3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20" w:type="dxa"/>
            <w:vAlign w:val="bottom"/>
            <w:gridSpan w:val="3"/>
          </w:tcPr>
          <w:p>
            <w:pPr>
              <w:jc w:val="right"/>
              <w:spacing w:after="0"/>
              <w:rPr>
                <w:sz w:val="20"/>
                <w:szCs w:val="20"/>
                <w:color w:val="auto"/>
              </w:rPr>
            </w:pPr>
            <w:r>
              <w:rPr>
                <w:rFonts w:ascii="Arial" w:cs="Arial" w:eastAsia="Arial" w:hAnsi="Arial"/>
                <w:sz w:val="14"/>
                <w:szCs w:val="14"/>
                <w:b w:val="1"/>
                <w:bCs w:val="1"/>
                <w:color w:val="auto"/>
              </w:rPr>
              <w:t>Twenty-Six Weeks Ended</w:t>
            </w: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5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3"/>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5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jc w:val="right"/>
              <w:ind w:right="356"/>
              <w:spacing w:after="0"/>
              <w:rPr>
                <w:sz w:val="20"/>
                <w:szCs w:val="20"/>
                <w:color w:val="auto"/>
              </w:rPr>
            </w:pPr>
            <w:r>
              <w:rPr>
                <w:rFonts w:ascii="Arial" w:cs="Arial" w:eastAsia="Arial" w:hAnsi="Arial"/>
                <w:sz w:val="14"/>
                <w:szCs w:val="14"/>
                <w:b w:val="1"/>
                <w:bCs w:val="1"/>
                <w:color w:val="auto"/>
              </w:rPr>
              <w:t>July 30, 2022</w:t>
            </w:r>
          </w:p>
        </w:tc>
        <w:tc>
          <w:tcPr>
            <w:tcW w:w="6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560" w:type="dxa"/>
            <w:vAlign w:val="bottom"/>
          </w:tcPr>
          <w:p>
            <w:pPr>
              <w:spacing w:after="0"/>
              <w:rPr>
                <w:sz w:val="11"/>
                <w:szCs w:val="11"/>
                <w:color w:val="auto"/>
              </w:rPr>
            </w:pPr>
          </w:p>
        </w:tc>
        <w:tc>
          <w:tcPr>
            <w:tcW w:w="13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VB Direct Segment</w:t>
            </w: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jc w:val="right"/>
              <w:ind w:right="197"/>
              <w:spacing w:after="0" w:line="135" w:lineRule="exact"/>
              <w:rPr>
                <w:sz w:val="20"/>
                <w:szCs w:val="20"/>
                <w:color w:val="auto"/>
              </w:rPr>
            </w:pPr>
            <w:r>
              <w:rPr>
                <w:rFonts w:ascii="Arial" w:cs="Arial" w:eastAsia="Arial" w:hAnsi="Arial"/>
                <w:sz w:val="14"/>
                <w:szCs w:val="14"/>
                <w:b w:val="1"/>
                <w:bCs w:val="1"/>
                <w:color w:val="auto"/>
              </w:rPr>
              <w:t>VB Indirect</w:t>
            </w:r>
          </w:p>
        </w:tc>
        <w:tc>
          <w:tcPr>
            <w:tcW w:w="340" w:type="dxa"/>
            <w:vAlign w:val="bottom"/>
          </w:tcPr>
          <w:p>
            <w:pPr>
              <w:spacing w:after="0"/>
              <w:rPr>
                <w:sz w:val="11"/>
                <w:szCs w:val="11"/>
                <w:color w:val="auto"/>
              </w:rPr>
            </w:pPr>
          </w:p>
        </w:tc>
        <w:tc>
          <w:tcPr>
            <w:tcW w:w="13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Pura Vida Segment</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56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gridSpan w:val="2"/>
            <w:vMerge w:val="continue"/>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Segment</w:t>
            </w:r>
          </w:p>
        </w:tc>
        <w:tc>
          <w:tcPr>
            <w:tcW w:w="34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gridSpan w:val="2"/>
            <w:vMerge w:val="continue"/>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Product categories</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60" w:type="dxa"/>
            <w:vAlign w:val="bottom"/>
          </w:tcPr>
          <w:p>
            <w:pPr>
              <w:ind w:left="20"/>
              <w:spacing w:after="0"/>
              <w:rPr>
                <w:sz w:val="20"/>
                <w:szCs w:val="20"/>
                <w:color w:val="auto"/>
              </w:rPr>
            </w:pPr>
            <w:r>
              <w:rPr>
                <w:rFonts w:ascii="Arial" w:cs="Arial" w:eastAsia="Arial" w:hAnsi="Arial"/>
                <w:sz w:val="18"/>
                <w:szCs w:val="18"/>
                <w:color w:val="auto"/>
              </w:rPr>
              <w:t>Bags</w:t>
            </w:r>
          </w:p>
        </w:tc>
        <w:tc>
          <w:tcPr>
            <w:tcW w:w="400" w:type="dxa"/>
            <w:vAlign w:val="bottom"/>
          </w:tcPr>
          <w:p>
            <w:pPr>
              <w:jc w:val="right"/>
              <w:ind w:right="216"/>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64,505</w:t>
            </w:r>
          </w:p>
        </w:tc>
        <w:tc>
          <w:tcPr>
            <w:tcW w:w="3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19,054</w:t>
            </w:r>
          </w:p>
        </w:tc>
        <w:tc>
          <w:tcPr>
            <w:tcW w:w="340" w:type="dxa"/>
            <w:vAlign w:val="bottom"/>
          </w:tcPr>
          <w:p>
            <w:pPr>
              <w:spacing w:after="0"/>
              <w:rPr>
                <w:sz w:val="19"/>
                <w:szCs w:val="19"/>
                <w:color w:val="auto"/>
              </w:rPr>
            </w:pPr>
          </w:p>
        </w:tc>
        <w:tc>
          <w:tcPr>
            <w:tcW w:w="680" w:type="dxa"/>
            <w:vAlign w:val="bottom"/>
          </w:tcPr>
          <w:p>
            <w:pPr>
              <w:jc w:val="right"/>
              <w:ind w:right="496"/>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842</w:t>
            </w:r>
          </w:p>
        </w:tc>
        <w:tc>
          <w:tcPr>
            <w:tcW w:w="3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84,401</w:t>
            </w:r>
          </w:p>
        </w:tc>
        <w:tc>
          <w:tcPr>
            <w:tcW w:w="0" w:type="dxa"/>
            <w:vAlign w:val="bottom"/>
          </w:tcPr>
          <w:p>
            <w:pPr>
              <w:spacing w:after="0"/>
              <w:rPr>
                <w:sz w:val="1"/>
                <w:szCs w:val="1"/>
                <w:color w:val="auto"/>
              </w:rPr>
            </w:pPr>
          </w:p>
        </w:tc>
      </w:tr>
      <w:tr>
        <w:trPr>
          <w:trHeight w:val="229"/>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Travel</w:t>
            </w: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35,159</w:t>
            </w: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6,106</w:t>
            </w: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41,265</w:t>
            </w:r>
          </w:p>
        </w:tc>
        <w:tc>
          <w:tcPr>
            <w:tcW w:w="0" w:type="dxa"/>
            <w:vAlign w:val="bottom"/>
          </w:tcPr>
          <w:p>
            <w:pPr>
              <w:spacing w:after="0"/>
              <w:rPr>
                <w:sz w:val="1"/>
                <w:szCs w:val="1"/>
                <w:color w:val="auto"/>
              </w:rPr>
            </w:pPr>
          </w:p>
        </w:tc>
      </w:tr>
      <w:tr>
        <w:trPr>
          <w:trHeight w:val="229"/>
        </w:trPr>
        <w:tc>
          <w:tcPr>
            <w:tcW w:w="3560" w:type="dxa"/>
            <w:vAlign w:val="bottom"/>
          </w:tcPr>
          <w:p>
            <w:pPr>
              <w:ind w:left="20"/>
              <w:spacing w:after="0"/>
              <w:rPr>
                <w:sz w:val="20"/>
                <w:szCs w:val="20"/>
                <w:color w:val="auto"/>
              </w:rPr>
            </w:pPr>
            <w:r>
              <w:rPr>
                <w:rFonts w:ascii="Arial" w:cs="Arial" w:eastAsia="Arial" w:hAnsi="Arial"/>
                <w:sz w:val="18"/>
                <w:szCs w:val="18"/>
                <w:color w:val="auto"/>
              </w:rPr>
              <w:t>Accessories</w:t>
            </w: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27,256</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4,404</w:t>
            </w: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42,129</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73,789</w:t>
            </w: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Home</w:t>
            </w: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14,448</w:t>
            </w: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1,858</w:t>
            </w: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16,306</w:t>
            </w:r>
          </w:p>
        </w:tc>
        <w:tc>
          <w:tcPr>
            <w:tcW w:w="0" w:type="dxa"/>
            <w:vAlign w:val="bottom"/>
          </w:tcPr>
          <w:p>
            <w:pPr>
              <w:spacing w:after="0"/>
              <w:rPr>
                <w:sz w:val="1"/>
                <w:szCs w:val="1"/>
                <w:color w:val="auto"/>
              </w:rPr>
            </w:pPr>
          </w:p>
        </w:tc>
      </w:tr>
      <w:tr>
        <w:trPr>
          <w:trHeight w:val="229"/>
        </w:trPr>
        <w:tc>
          <w:tcPr>
            <w:tcW w:w="3560" w:type="dxa"/>
            <w:vAlign w:val="bottom"/>
          </w:tcPr>
          <w:p>
            <w:pPr>
              <w:ind w:left="20"/>
              <w:spacing w:after="0" w:line="230" w:lineRule="exact"/>
              <w:rPr>
                <w:sz w:val="20"/>
                <w:szCs w:val="20"/>
                <w:color w:val="auto"/>
              </w:rPr>
            </w:pPr>
            <w:r>
              <w:rPr>
                <w:rFonts w:ascii="Arial" w:cs="Arial" w:eastAsia="Arial" w:hAnsi="Arial"/>
                <w:sz w:val="18"/>
                <w:szCs w:val="18"/>
                <w:color w:val="auto"/>
              </w:rPr>
              <w:t>Apparel/Footwear</w:t>
            </w:r>
            <w:r>
              <w:rPr>
                <w:rFonts w:ascii="Arial" w:cs="Arial" w:eastAsia="Arial" w:hAnsi="Arial"/>
                <w:sz w:val="23"/>
                <w:szCs w:val="23"/>
                <w:color w:val="auto"/>
                <w:vertAlign w:val="superscript"/>
              </w:rPr>
              <w:t>(6)</w:t>
            </w: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4,064</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860</w:t>
            </w: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1,795</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6,719</w:t>
            </w:r>
          </w:p>
        </w:tc>
        <w:tc>
          <w:tcPr>
            <w:tcW w:w="0" w:type="dxa"/>
            <w:vAlign w:val="bottom"/>
          </w:tcPr>
          <w:p>
            <w:pPr>
              <w:spacing w:after="0"/>
              <w:rPr>
                <w:sz w:val="1"/>
                <w:szCs w:val="1"/>
                <w:color w:val="auto"/>
              </w:rPr>
            </w:pPr>
          </w:p>
        </w:tc>
      </w:tr>
      <w:tr>
        <w:trPr>
          <w:trHeight w:val="229"/>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3,217</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0"/>
              </w:rPr>
              <w:t>(1)</w:t>
            </w: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0"/>
              </w:rPr>
              <w:t>(2)</w:t>
            </w:r>
          </w:p>
        </w:tc>
        <w:tc>
          <w:tcPr>
            <w:tcW w:w="6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(3)</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6,350</w:t>
            </w:r>
          </w:p>
        </w:tc>
        <w:tc>
          <w:tcPr>
            <w:tcW w:w="0" w:type="dxa"/>
            <w:vAlign w:val="bottom"/>
          </w:tcPr>
          <w:p>
            <w:pPr>
              <w:spacing w:after="0"/>
              <w:rPr>
                <w:sz w:val="1"/>
                <w:szCs w:val="1"/>
                <w:color w:val="auto"/>
              </w:rPr>
            </w:pPr>
          </w:p>
        </w:tc>
      </w:tr>
      <w:tr>
        <w:trPr>
          <w:trHeight w:val="223"/>
        </w:trPr>
        <w:tc>
          <w:tcPr>
            <w:tcW w:w="3560" w:type="dxa"/>
            <w:vAlign w:val="bottom"/>
          </w:tcPr>
          <w:p>
            <w:pPr>
              <w:ind w:left="20"/>
              <w:spacing w:after="0"/>
              <w:rPr>
                <w:sz w:val="20"/>
                <w:szCs w:val="20"/>
                <w:color w:val="auto"/>
              </w:rPr>
            </w:pPr>
            <w:r>
              <w:rPr>
                <w:rFonts w:ascii="Arial" w:cs="Arial" w:eastAsia="Arial" w:hAnsi="Arial"/>
                <w:sz w:val="18"/>
                <w:szCs w:val="18"/>
                <w:color w:val="auto"/>
              </w:rPr>
              <w:t>Total net revenues</w:t>
            </w:r>
          </w:p>
        </w:tc>
        <w:tc>
          <w:tcPr>
            <w:tcW w:w="400" w:type="dxa"/>
            <w:vAlign w:val="bottom"/>
            <w:tcBorders>
              <w:bottom w:val="single" w:sz="8" w:color="auto"/>
            </w:tcBorders>
          </w:tcPr>
          <w:p>
            <w:pPr>
              <w:jc w:val="right"/>
              <w:ind w:right="216"/>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148,649</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w w:val="90"/>
              </w:rPr>
              <w:t>(4)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34,302</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w w:val="90"/>
              </w:rPr>
              <w:t>(5)</w:t>
            </w:r>
          </w:p>
        </w:tc>
        <w:tc>
          <w:tcPr>
            <w:tcW w:w="680" w:type="dxa"/>
            <w:vAlign w:val="bottom"/>
            <w:tcBorders>
              <w:bottom w:val="single" w:sz="8" w:color="auto"/>
            </w:tcBorders>
          </w:tcPr>
          <w:p>
            <w:pPr>
              <w:jc w:val="right"/>
              <w:ind w:right="496"/>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45,879</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w w:val="99"/>
              </w:rPr>
              <w:t>(4)</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228,830</w:t>
            </w:r>
          </w:p>
        </w:tc>
        <w:tc>
          <w:tcPr>
            <w:tcW w:w="0" w:type="dxa"/>
            <w:vAlign w:val="bottom"/>
          </w:tcPr>
          <w:p>
            <w:pPr>
              <w:spacing w:after="0"/>
              <w:rPr>
                <w:sz w:val="1"/>
                <w:szCs w:val="1"/>
                <w:color w:val="auto"/>
              </w:rPr>
            </w:pPr>
          </w:p>
        </w:tc>
      </w:tr>
      <w:tr>
        <w:trPr>
          <w:trHeight w:val="21"/>
        </w:trPr>
        <w:tc>
          <w:tcPr>
            <w:tcW w:w="35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920" w:hanging="246"/>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Primarily includes net revenues from stationery, freight, and gift card breakage.</w:t>
      </w:r>
    </w:p>
    <w:p>
      <w:pPr>
        <w:spacing w:after="0" w:line="23" w:lineRule="exact"/>
        <w:rPr>
          <w:rFonts w:ascii="Arial" w:cs="Arial" w:eastAsia="Arial" w:hAnsi="Arial"/>
          <w:sz w:val="18"/>
          <w:szCs w:val="18"/>
          <w:color w:val="auto"/>
        </w:rPr>
      </w:pPr>
    </w:p>
    <w:p>
      <w:pPr>
        <w:ind w:left="920" w:hanging="246"/>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Primarily includes net revenues from licensing agreements and freight.</w:t>
      </w:r>
    </w:p>
    <w:p>
      <w:pPr>
        <w:spacing w:after="0" w:line="22" w:lineRule="exact"/>
        <w:rPr>
          <w:rFonts w:ascii="Arial" w:cs="Arial" w:eastAsia="Arial" w:hAnsi="Arial"/>
          <w:sz w:val="18"/>
          <w:szCs w:val="18"/>
          <w:color w:val="auto"/>
        </w:rPr>
      </w:pPr>
    </w:p>
    <w:p>
      <w:pPr>
        <w:ind w:left="920" w:hanging="246"/>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Related to freight.</w:t>
      </w:r>
    </w:p>
    <w:p>
      <w:pPr>
        <w:spacing w:after="0" w:line="22" w:lineRule="exact"/>
        <w:rPr>
          <w:rFonts w:ascii="Arial" w:cs="Arial" w:eastAsia="Arial" w:hAnsi="Arial"/>
          <w:sz w:val="18"/>
          <w:szCs w:val="18"/>
          <w:color w:val="auto"/>
        </w:rPr>
      </w:pPr>
    </w:p>
    <w:p>
      <w:pPr>
        <w:ind w:left="920" w:hanging="246"/>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Net revenues were related to product sales recognized at a point in time.</w:t>
      </w:r>
    </w:p>
    <w:p>
      <w:pPr>
        <w:spacing w:after="0" w:line="22" w:lineRule="exact"/>
        <w:rPr>
          <w:rFonts w:ascii="Arial" w:cs="Arial" w:eastAsia="Arial" w:hAnsi="Arial"/>
          <w:sz w:val="18"/>
          <w:szCs w:val="18"/>
          <w:color w:val="auto"/>
        </w:rPr>
      </w:pPr>
    </w:p>
    <w:p>
      <w:pPr>
        <w:ind w:left="680" w:right="840" w:hanging="6"/>
        <w:spacing w:after="0" w:line="234" w:lineRule="auto"/>
        <w:tabs>
          <w:tab w:leader="none" w:pos="935" w:val="left"/>
        </w:tabs>
        <w:numPr>
          <w:ilvl w:val="0"/>
          <w:numId w:val="9"/>
        </w:numPr>
        <w:rPr>
          <w:rFonts w:ascii="Arial" w:cs="Arial" w:eastAsia="Arial" w:hAnsi="Arial"/>
          <w:sz w:val="18"/>
          <w:szCs w:val="18"/>
          <w:color w:val="auto"/>
        </w:rPr>
      </w:pPr>
      <w:r>
        <w:rPr>
          <w:rFonts w:ascii="Arial" w:cs="Arial" w:eastAsia="Arial" w:hAnsi="Arial"/>
          <w:sz w:val="18"/>
          <w:szCs w:val="18"/>
          <w:color w:val="auto"/>
        </w:rPr>
        <w:t>$32.8 million of net revenues related to product sales recognized at a point in time and $1.5 million of net revenues related to sales-based royalties recognized over time.</w:t>
      </w:r>
    </w:p>
    <w:p>
      <w:pPr>
        <w:spacing w:after="0" w:line="14" w:lineRule="exact"/>
        <w:rPr>
          <w:rFonts w:ascii="Arial" w:cs="Arial" w:eastAsia="Arial" w:hAnsi="Arial"/>
          <w:sz w:val="18"/>
          <w:szCs w:val="18"/>
          <w:color w:val="auto"/>
        </w:rPr>
      </w:pPr>
    </w:p>
    <w:p>
      <w:pPr>
        <w:ind w:left="920" w:hanging="246"/>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mask sales.</w:t>
      </w:r>
    </w:p>
    <w:p>
      <w:pPr>
        <w:spacing w:after="0" w:line="200" w:lineRule="exact"/>
        <w:rPr>
          <w:sz w:val="20"/>
          <w:szCs w:val="20"/>
          <w:color w:val="auto"/>
        </w:rPr>
      </w:pP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Contract Balances</w:t>
      </w:r>
    </w:p>
    <w:p>
      <w:pPr>
        <w:spacing w:after="0" w:line="108" w:lineRule="exact"/>
        <w:rPr>
          <w:sz w:val="20"/>
          <w:szCs w:val="20"/>
          <w:color w:val="auto"/>
        </w:rPr>
      </w:pPr>
    </w:p>
    <w:p>
      <w:pPr>
        <w:ind w:left="660" w:right="40"/>
        <w:spacing w:after="0" w:line="275" w:lineRule="auto"/>
        <w:rPr>
          <w:sz w:val="20"/>
          <w:szCs w:val="20"/>
          <w:color w:val="auto"/>
        </w:rPr>
      </w:pPr>
      <w:r>
        <w:rPr>
          <w:rFonts w:ascii="Arial" w:cs="Arial" w:eastAsia="Arial" w:hAnsi="Arial"/>
          <w:sz w:val="17"/>
          <w:szCs w:val="17"/>
          <w:color w:val="auto"/>
        </w:rPr>
        <w:t>Contract liabilities as of July 29, 2023 and January 28, 2023, were $2.5 million and $3.2 million, respectively. The balance as of July 29, 2023 and January 28, 2023 consisted of unredeemed gift cards, unearned revenue related to the monthly bracelet and jewelry clubs of the Pura Vida segment, Pura Vida loyalty club points, and Pura Vida customer deposits and payments collected before shipment. These contract liabilities are recognized within other accrued liabilities on the Company’s Condensed Consolidated Balance Sheets. Substantially all contract liabilities are recognized within one year. The Company did not have contract assets as of July 29, 2023 and January 28, 2023.</w:t>
      </w:r>
    </w:p>
    <w:p>
      <w:pPr>
        <w:spacing w:after="0" w:line="41" w:lineRule="exact"/>
        <w:rPr>
          <w:sz w:val="20"/>
          <w:szCs w:val="20"/>
          <w:color w:val="auto"/>
        </w:rPr>
      </w:pPr>
    </w:p>
    <w:p>
      <w:pPr>
        <w:ind w:left="660" w:right="140"/>
        <w:spacing w:after="0" w:line="259" w:lineRule="auto"/>
        <w:rPr>
          <w:sz w:val="20"/>
          <w:szCs w:val="20"/>
          <w:color w:val="auto"/>
        </w:rPr>
      </w:pPr>
      <w:r>
        <w:rPr>
          <w:rFonts w:ascii="Arial" w:cs="Arial" w:eastAsia="Arial" w:hAnsi="Arial"/>
          <w:sz w:val="18"/>
          <w:szCs w:val="18"/>
          <w:color w:val="auto"/>
        </w:rPr>
        <w:t>The balance for accounts receivable from contracts with customers, net of allowances, as of July 29, 2023 and January 28, 2023, was $23.4 million and $20.7 million, respectively, which is recognized within accounts receivable, net, on the Company’s Condensed Consolidated Balance Sheets. The provision for doubtful accounts was $0.8 million as of July 29, 2023 and January 28, 2023. The provision for doubtful accounts is based upon the likelihood of default expected during the life of the receivable.</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Performance Obligations</w:t>
      </w:r>
    </w:p>
    <w:p>
      <w:pPr>
        <w:spacing w:after="0" w:line="108" w:lineRule="exact"/>
        <w:rPr>
          <w:sz w:val="20"/>
          <w:szCs w:val="20"/>
          <w:color w:val="auto"/>
        </w:rPr>
      </w:pPr>
    </w:p>
    <w:p>
      <w:pPr>
        <w:ind w:left="660"/>
        <w:spacing w:after="0" w:line="342" w:lineRule="auto"/>
        <w:rPr>
          <w:sz w:val="20"/>
          <w:szCs w:val="20"/>
          <w:color w:val="auto"/>
        </w:rPr>
      </w:pPr>
      <w:r>
        <w:rPr>
          <w:rFonts w:ascii="Arial" w:cs="Arial" w:eastAsia="Arial" w:hAnsi="Arial"/>
          <w:sz w:val="16"/>
          <w:szCs w:val="16"/>
          <w:color w:val="auto"/>
        </w:rPr>
        <w:t>The performance obligations for the VB Direct, VB Indirect, and Pura Vida segments include the promise to transfer distinct goods (or a bundle of distinct goods). The VB Indirect segment also includes the right to access intellectual property (“IP”) related to the Vera Bradley brand.</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Remaining Performance Obligations</w:t>
      </w:r>
    </w:p>
    <w:p>
      <w:pPr>
        <w:spacing w:after="0" w:line="94"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 Company does not have remaining performance obligations in excess of one year or contracts that it does not have the right to invoice as of July 29, 2023.</w:t>
      </w:r>
    </w:p>
    <w:p>
      <w:pPr>
        <w:spacing w:after="0" w:line="193" w:lineRule="exact"/>
        <w:rPr>
          <w:sz w:val="20"/>
          <w:szCs w:val="20"/>
          <w:color w:val="auto"/>
        </w:rPr>
      </w:pPr>
    </w:p>
    <w:p>
      <w:pPr>
        <w:ind w:left="660" w:right="9560" w:hanging="652"/>
        <w:spacing w:after="0" w:line="407" w:lineRule="auto"/>
        <w:tabs>
          <w:tab w:leader="none" w:pos="660"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Leases </w:t>
      </w:r>
      <w:r>
        <w:rPr>
          <w:rFonts w:ascii="Arial" w:cs="Arial" w:eastAsia="Arial" w:hAnsi="Arial"/>
          <w:sz w:val="16"/>
          <w:szCs w:val="16"/>
          <w:i w:val="1"/>
          <w:iCs w:val="1"/>
          <w:color w:val="auto"/>
        </w:rPr>
        <w:t>Discount Rate</w:t>
      </w:r>
    </w:p>
    <w:p>
      <w:pPr>
        <w:ind w:left="660" w:right="500"/>
        <w:spacing w:after="0" w:line="277" w:lineRule="auto"/>
        <w:rPr>
          <w:rFonts w:ascii="Arial" w:cs="Arial" w:eastAsia="Arial" w:hAnsi="Arial"/>
          <w:sz w:val="16"/>
          <w:szCs w:val="16"/>
          <w:b w:val="1"/>
          <w:bCs w:val="1"/>
          <w:color w:val="auto"/>
        </w:rPr>
      </w:pPr>
      <w:r>
        <w:rPr>
          <w:rFonts w:ascii="Arial" w:cs="Arial" w:eastAsia="Arial" w:hAnsi="Arial"/>
          <w:sz w:val="18"/>
          <w:szCs w:val="18"/>
          <w:color w:val="auto"/>
        </w:rPr>
        <w:t>The weighted-average discount rate as of July 29, 2023, and July 30, 2022 was 4.7% and 4.6%, respectively. The discount rate is not readily determinable in the lease; therefore, the Company estimated the incremental borrowing</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1" w:lineRule="exact"/>
        <w:rPr>
          <w:sz w:val="20"/>
          <w:szCs w:val="20"/>
          <w:color w:val="auto"/>
        </w:rPr>
      </w:pPr>
    </w:p>
    <w:p>
      <w:pPr>
        <w:ind w:left="660" w:right="280"/>
        <w:spacing w:after="0" w:line="277" w:lineRule="auto"/>
        <w:rPr>
          <w:sz w:val="20"/>
          <w:szCs w:val="20"/>
          <w:color w:val="auto"/>
        </w:rPr>
      </w:pPr>
      <w:r>
        <w:rPr>
          <w:rFonts w:ascii="Arial" w:cs="Arial" w:eastAsia="Arial" w:hAnsi="Arial"/>
          <w:sz w:val="18"/>
          <w:szCs w:val="18"/>
          <w:color w:val="auto"/>
        </w:rPr>
        <w:t>rate, at the commencement date of each lease, which is the rate of interest it would have to borrow on a collateralized basis over a similar term with similar payments.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Leases Not Yet Commenced</w:t>
      </w:r>
    </w:p>
    <w:p>
      <w:pPr>
        <w:spacing w:after="0" w:line="94" w:lineRule="exact"/>
        <w:rPr>
          <w:sz w:val="20"/>
          <w:szCs w:val="20"/>
          <w:color w:val="auto"/>
        </w:rPr>
      </w:pPr>
    </w:p>
    <w:p>
      <w:pPr>
        <w:ind w:left="660"/>
        <w:spacing w:after="0" w:line="259" w:lineRule="auto"/>
        <w:rPr>
          <w:sz w:val="20"/>
          <w:szCs w:val="20"/>
          <w:color w:val="auto"/>
        </w:rPr>
      </w:pPr>
      <w:r>
        <w:rPr>
          <w:rFonts w:ascii="Arial" w:cs="Arial" w:eastAsia="Arial" w:hAnsi="Arial"/>
          <w:sz w:val="18"/>
          <w:szCs w:val="18"/>
          <w:color w:val="auto"/>
        </w:rPr>
        <w:t>As of July 29, 2023, the Company had one Vera Bradley retail store lease which was executed, but it did not have control of the underlying asset; therefore, the lease liability and right-of-use asset are not recorded on the Condensed Consolidated Balance Sheet. This lease contains undiscounted lease payments, which will be included in the determination of the lease liability, totaling approximately $2.4 million and has a term of approximately 10 years commencing in fiscal year 2024.</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Amounts Recognized in the Condensed Consolidated Financial Statements</w:t>
      </w:r>
    </w:p>
    <w:p>
      <w:pPr>
        <w:spacing w:after="0" w:line="108" w:lineRule="exact"/>
        <w:rPr>
          <w:sz w:val="20"/>
          <w:szCs w:val="20"/>
          <w:color w:val="auto"/>
        </w:rPr>
      </w:pPr>
    </w:p>
    <w:p>
      <w:pPr>
        <w:jc w:val="both"/>
        <w:ind w:left="660" w:right="60"/>
        <w:spacing w:after="0" w:line="263" w:lineRule="auto"/>
        <w:rPr>
          <w:sz w:val="20"/>
          <w:szCs w:val="20"/>
          <w:color w:val="auto"/>
        </w:rPr>
      </w:pPr>
      <w:r>
        <w:rPr>
          <w:rFonts w:ascii="Arial" w:cs="Arial" w:eastAsia="Arial" w:hAnsi="Arial"/>
          <w:sz w:val="18"/>
          <w:szCs w:val="18"/>
          <w:color w:val="auto"/>
        </w:rPr>
        <w:t>The following lease expense is recorded within cost of sales for the Asia sourcing office and certain equipment leases and within selling, general, and administrative expenses for all other leases, including retail store leases, in the Company's Condensed Consolidated Statement of Operations for the thirteen and twenty-six weeks ended July 29, 2023 and July 30, 2022 (in thousands):</w:t>
      </w:r>
    </w:p>
    <w:p>
      <w:pPr>
        <w:spacing w:after="0" w:line="94" w:lineRule="exact"/>
        <w:rPr>
          <w:sz w:val="20"/>
          <w:szCs w:val="20"/>
          <w:color w:val="auto"/>
        </w:rPr>
      </w:pPr>
    </w:p>
    <w:tbl>
      <w:tblPr>
        <w:tblLayout w:type="fixed"/>
        <w:tblInd w:w="660" w:type="dxa"/>
        <w:tblCellMar>
          <w:top w:w="0" w:type="dxa"/>
          <w:left w:w="0" w:type="dxa"/>
          <w:bottom w:w="0" w:type="dxa"/>
          <w:right w:w="0" w:type="dxa"/>
        </w:tblCellMar>
      </w:tblPr>
      <w:tr>
        <w:trPr>
          <w:trHeight w:val="186"/>
        </w:trPr>
        <w:tc>
          <w:tcPr>
            <w:tcW w:w="2340" w:type="dxa"/>
            <w:vAlign w:val="bottom"/>
          </w:tcPr>
          <w:p>
            <w:pPr>
              <w:spacing w:after="0"/>
              <w:rPr>
                <w:sz w:val="16"/>
                <w:szCs w:val="16"/>
                <w:color w:val="auto"/>
              </w:rPr>
            </w:pPr>
          </w:p>
        </w:tc>
        <w:tc>
          <w:tcPr>
            <w:tcW w:w="3200" w:type="dxa"/>
            <w:vAlign w:val="bottom"/>
            <w:gridSpan w:val="4"/>
          </w:tcPr>
          <w:p>
            <w:pPr>
              <w:jc w:val="right"/>
              <w:ind w:right="556"/>
              <w:spacing w:after="0"/>
              <w:rPr>
                <w:sz w:val="20"/>
                <w:szCs w:val="20"/>
                <w:color w:val="auto"/>
              </w:rPr>
            </w:pPr>
            <w:r>
              <w:rPr>
                <w:rFonts w:ascii="Arial" w:cs="Arial" w:eastAsia="Arial" w:hAnsi="Arial"/>
                <w:sz w:val="14"/>
                <w:szCs w:val="14"/>
                <w:b w:val="1"/>
                <w:bCs w:val="1"/>
                <w:color w:val="auto"/>
              </w:rPr>
              <w:t>Thirteen Weeks Ended</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380" w:type="dxa"/>
            <w:vAlign w:val="bottom"/>
            <w:gridSpan w:val="4"/>
          </w:tcPr>
          <w:p>
            <w:pPr>
              <w:jc w:val="right"/>
              <w:ind w:right="973"/>
              <w:spacing w:after="0"/>
              <w:rPr>
                <w:sz w:val="20"/>
                <w:szCs w:val="20"/>
                <w:color w:val="auto"/>
              </w:rPr>
            </w:pPr>
            <w:r>
              <w:rPr>
                <w:rFonts w:ascii="Arial" w:cs="Arial" w:eastAsia="Arial" w:hAnsi="Arial"/>
                <w:sz w:val="14"/>
                <w:szCs w:val="14"/>
                <w:b w:val="1"/>
                <w:bCs w:val="1"/>
                <w:color w:val="auto"/>
              </w:rPr>
              <w:t>Twenty-Six Weeks Ended</w:t>
            </w:r>
          </w:p>
        </w:tc>
      </w:tr>
      <w:tr>
        <w:trPr>
          <w:trHeight w:val="26"/>
        </w:trPr>
        <w:tc>
          <w:tcPr>
            <w:tcW w:w="234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89"/>
        </w:trPr>
        <w:tc>
          <w:tcPr>
            <w:tcW w:w="23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July 29, 2023</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July 30, 2022</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80" w:type="dxa"/>
            <w:vAlign w:val="bottom"/>
            <w:gridSpan w:val="2"/>
          </w:tcPr>
          <w:p>
            <w:pPr>
              <w:ind w:left="200"/>
              <w:spacing w:after="0"/>
              <w:rPr>
                <w:sz w:val="20"/>
                <w:szCs w:val="20"/>
                <w:color w:val="auto"/>
              </w:rPr>
            </w:pPr>
            <w:r>
              <w:rPr>
                <w:rFonts w:ascii="Arial" w:cs="Arial" w:eastAsia="Arial" w:hAnsi="Arial"/>
                <w:sz w:val="14"/>
                <w:szCs w:val="14"/>
                <w:b w:val="1"/>
                <w:bCs w:val="1"/>
                <w:color w:val="auto"/>
              </w:rPr>
              <w:t>July 29, 2023</w:t>
            </w:r>
          </w:p>
        </w:tc>
        <w:tc>
          <w:tcPr>
            <w:tcW w:w="320" w:type="dxa"/>
            <w:vAlign w:val="bottom"/>
          </w:tcPr>
          <w:p>
            <w:pPr>
              <w:spacing w:after="0"/>
              <w:rPr>
                <w:sz w:val="16"/>
                <w:szCs w:val="16"/>
                <w:color w:val="auto"/>
              </w:rPr>
            </w:pPr>
          </w:p>
        </w:tc>
        <w:tc>
          <w:tcPr>
            <w:tcW w:w="1480" w:type="dxa"/>
            <w:vAlign w:val="bottom"/>
          </w:tcPr>
          <w:p>
            <w:pPr>
              <w:jc w:val="right"/>
              <w:ind w:right="413"/>
              <w:spacing w:after="0"/>
              <w:rPr>
                <w:sz w:val="20"/>
                <w:szCs w:val="20"/>
                <w:color w:val="auto"/>
              </w:rPr>
            </w:pPr>
            <w:r>
              <w:rPr>
                <w:rFonts w:ascii="Arial" w:cs="Arial" w:eastAsia="Arial" w:hAnsi="Arial"/>
                <w:sz w:val="14"/>
                <w:szCs w:val="14"/>
                <w:b w:val="1"/>
                <w:bCs w:val="1"/>
                <w:color w:val="auto"/>
              </w:rPr>
              <w:t>July 30, 2022</w:t>
            </w:r>
          </w:p>
        </w:tc>
      </w:tr>
      <w:tr>
        <w:trPr>
          <w:trHeight w:val="229"/>
        </w:trPr>
        <w:tc>
          <w:tcPr>
            <w:tcW w:w="2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1320" w:type="dxa"/>
            <w:vAlign w:val="bottom"/>
            <w:tcBorders>
              <w:top w:val="single" w:sz="8" w:color="auto"/>
            </w:tcBorders>
            <w:shd w:val="clear" w:color="auto" w:fill="CCEEFF"/>
          </w:tcPr>
          <w:p>
            <w:pPr>
              <w:jc w:val="right"/>
              <w:ind w:right="1119"/>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6,502</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ind w:right="1116"/>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6,114</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13,067</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12,364</w:t>
            </w:r>
          </w:p>
        </w:tc>
      </w:tr>
      <w:tr>
        <w:trPr>
          <w:trHeight w:val="230"/>
        </w:trPr>
        <w:tc>
          <w:tcPr>
            <w:tcW w:w="2340" w:type="dxa"/>
            <w:vAlign w:val="bottom"/>
          </w:tcPr>
          <w:p>
            <w:pPr>
              <w:ind w:left="20"/>
              <w:spacing w:after="0"/>
              <w:rPr>
                <w:sz w:val="20"/>
                <w:szCs w:val="20"/>
                <w:color w:val="auto"/>
              </w:rPr>
            </w:pPr>
            <w:r>
              <w:rPr>
                <w:rFonts w:ascii="Arial" w:cs="Arial" w:eastAsia="Arial" w:hAnsi="Arial"/>
                <w:sz w:val="18"/>
                <w:szCs w:val="18"/>
                <w:color w:val="auto"/>
              </w:rPr>
              <w:t>Variable lease cost</w:t>
            </w:r>
          </w:p>
        </w:tc>
        <w:tc>
          <w:tcPr>
            <w:tcW w:w="13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4"/>
              </w:rPr>
              <w:t>1,401</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1,564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2,757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2,982</w:t>
            </w:r>
          </w:p>
        </w:tc>
      </w:tr>
      <w:tr>
        <w:trPr>
          <w:trHeight w:val="229"/>
        </w:trPr>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lease cost</w:t>
            </w:r>
          </w:p>
        </w:tc>
        <w:tc>
          <w:tcPr>
            <w:tcW w:w="13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r>
      <w:tr>
        <w:trPr>
          <w:trHeight w:val="230"/>
        </w:trPr>
        <w:tc>
          <w:tcPr>
            <w:tcW w:w="234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Less: Sublease income </w:t>
            </w:r>
            <w:r>
              <w:rPr>
                <w:rFonts w:ascii="Arial" w:cs="Arial" w:eastAsia="Arial" w:hAnsi="Arial"/>
                <w:sz w:val="23"/>
                <w:szCs w:val="23"/>
                <w:color w:val="auto"/>
                <w:vertAlign w:val="superscript"/>
              </w:rPr>
              <w:t>(1)</w:t>
            </w:r>
          </w:p>
        </w:tc>
        <w:tc>
          <w:tcPr>
            <w:tcW w:w="13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2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lease cost</w:t>
            </w:r>
          </w:p>
        </w:tc>
        <w:tc>
          <w:tcPr>
            <w:tcW w:w="1320" w:type="dxa"/>
            <w:vAlign w:val="bottom"/>
            <w:tcBorders>
              <w:bottom w:val="single" w:sz="8" w:color="auto"/>
            </w:tcBorders>
            <w:shd w:val="clear" w:color="auto" w:fill="CCEEFF"/>
          </w:tcPr>
          <w:p>
            <w:pPr>
              <w:jc w:val="right"/>
              <w:ind w:right="1119"/>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8,031</w:t>
            </w: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ind w:right="1116"/>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7,756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15,969</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15,638</w:t>
            </w:r>
          </w:p>
        </w:tc>
      </w:tr>
    </w:tbl>
    <w:p>
      <w:pPr>
        <w:ind w:left="680"/>
        <w:spacing w:after="0"/>
        <w:rPr>
          <w:sz w:val="20"/>
          <w:szCs w:val="20"/>
          <w:color w:val="auto"/>
        </w:rPr>
      </w:pPr>
      <w:r>
        <w:rPr>
          <w:rFonts w:ascii="Arial" w:cs="Arial" w:eastAsia="Arial" w:hAnsi="Arial"/>
          <w:sz w:val="18"/>
          <w:szCs w:val="18"/>
          <w:color w:val="auto"/>
        </w:rPr>
        <w:t>(1) Related to the sublease of a former Company 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1908175</wp:posOffset>
            </wp:positionH>
            <wp:positionV relativeFrom="paragraph">
              <wp:posOffset>-121920</wp:posOffset>
            </wp:positionV>
            <wp:extent cx="474916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749165" cy="8890"/>
                    </a:xfrm>
                    <a:prstGeom prst="rect">
                      <a:avLst/>
                    </a:prstGeom>
                    <a:noFill/>
                  </pic:spPr>
                </pic:pic>
              </a:graphicData>
            </a:graphic>
          </wp:anchor>
        </w:drawing>
      </w:r>
    </w:p>
    <w:p>
      <w:pPr>
        <w:spacing w:after="0" w:line="3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weighted-average remaining lease term as of July 29, 2023 and July 30, 2022 was 5.4 years.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Supplemental operating cash flow information was as follows (in thousands):</w:t>
      </w:r>
    </w:p>
    <w:p>
      <w:pPr>
        <w:spacing w:after="0" w:line="41" w:lineRule="exact"/>
        <w:rPr>
          <w:sz w:val="20"/>
          <w:szCs w:val="20"/>
          <w:color w:val="auto"/>
        </w:rPr>
      </w:pPr>
    </w:p>
    <w:tbl>
      <w:tblPr>
        <w:tblLayout w:type="fixed"/>
        <w:tblInd w:w="660" w:type="dxa"/>
        <w:tblCellMar>
          <w:top w:w="0" w:type="dxa"/>
          <w:left w:w="0" w:type="dxa"/>
          <w:bottom w:w="0" w:type="dxa"/>
          <w:right w:w="0" w:type="dxa"/>
        </w:tblCellMar>
      </w:tblPr>
      <w:tr>
        <w:trPr>
          <w:trHeight w:val="186"/>
        </w:trPr>
        <w:tc>
          <w:tcPr>
            <w:tcW w:w="6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40" w:type="dxa"/>
            <w:vAlign w:val="bottom"/>
            <w:gridSpan w:val="4"/>
          </w:tcPr>
          <w:p>
            <w:pPr>
              <w:jc w:val="right"/>
              <w:ind w:right="1016"/>
              <w:spacing w:after="0"/>
              <w:rPr>
                <w:sz w:val="20"/>
                <w:szCs w:val="20"/>
                <w:color w:val="auto"/>
              </w:rPr>
            </w:pPr>
            <w:r>
              <w:rPr>
                <w:rFonts w:ascii="Arial" w:cs="Arial" w:eastAsia="Arial" w:hAnsi="Arial"/>
                <w:sz w:val="14"/>
                <w:szCs w:val="14"/>
                <w:b w:val="1"/>
                <w:bCs w:val="1"/>
                <w:color w:val="auto"/>
              </w:rPr>
              <w:t>Twenty-Six Weeks Ended</w:t>
            </w:r>
          </w:p>
        </w:tc>
      </w:tr>
      <w:tr>
        <w:trPr>
          <w:trHeight w:val="25"/>
        </w:trPr>
        <w:tc>
          <w:tcPr>
            <w:tcW w:w="6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90"/>
        </w:trPr>
        <w:tc>
          <w:tcPr>
            <w:tcW w:w="6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0" w:type="dxa"/>
            <w:vAlign w:val="bottom"/>
            <w:gridSpan w:val="2"/>
          </w:tcPr>
          <w:p>
            <w:pPr>
              <w:ind w:left="200"/>
              <w:spacing w:after="0"/>
              <w:rPr>
                <w:sz w:val="20"/>
                <w:szCs w:val="20"/>
                <w:color w:val="auto"/>
              </w:rPr>
            </w:pPr>
            <w:r>
              <w:rPr>
                <w:rFonts w:ascii="Arial" w:cs="Arial" w:eastAsia="Arial" w:hAnsi="Arial"/>
                <w:sz w:val="14"/>
                <w:szCs w:val="14"/>
                <w:b w:val="1"/>
                <w:bCs w:val="1"/>
                <w:color w:val="auto"/>
              </w:rPr>
              <w:t>July 29, 2023</w:t>
            </w:r>
          </w:p>
        </w:tc>
        <w:tc>
          <w:tcPr>
            <w:tcW w:w="320" w:type="dxa"/>
            <w:vAlign w:val="bottom"/>
          </w:tcPr>
          <w:p>
            <w:pPr>
              <w:spacing w:after="0"/>
              <w:rPr>
                <w:sz w:val="16"/>
                <w:szCs w:val="16"/>
                <w:color w:val="auto"/>
              </w:rPr>
            </w:pPr>
          </w:p>
        </w:tc>
        <w:tc>
          <w:tcPr>
            <w:tcW w:w="1520" w:type="dxa"/>
            <w:vAlign w:val="bottom"/>
          </w:tcPr>
          <w:p>
            <w:pPr>
              <w:jc w:val="right"/>
              <w:ind w:right="436"/>
              <w:spacing w:after="0"/>
              <w:rPr>
                <w:sz w:val="20"/>
                <w:szCs w:val="20"/>
                <w:color w:val="auto"/>
              </w:rPr>
            </w:pPr>
            <w:r>
              <w:rPr>
                <w:rFonts w:ascii="Arial" w:cs="Arial" w:eastAsia="Arial" w:hAnsi="Arial"/>
                <w:sz w:val="14"/>
                <w:szCs w:val="14"/>
                <w:b w:val="1"/>
                <w:bCs w:val="1"/>
                <w:color w:val="auto"/>
              </w:rPr>
              <w:t>July 30, 2022</w:t>
            </w:r>
          </w:p>
        </w:tc>
      </w:tr>
      <w:tr>
        <w:trPr>
          <w:trHeight w:val="229"/>
        </w:trPr>
        <w:tc>
          <w:tcPr>
            <w:tcW w:w="6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5"/>
              </w:rPr>
              <w:t>Cash paid for amounts included in the measurement of operating lease liabilities</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14,803</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14,910</w:t>
            </w:r>
          </w:p>
        </w:tc>
      </w:tr>
      <w:tr>
        <w:trPr>
          <w:trHeight w:val="188"/>
        </w:trPr>
        <w:tc>
          <w:tcPr>
            <w:tcW w:w="6120" w:type="dxa"/>
            <w:vAlign w:val="bottom"/>
          </w:tcPr>
          <w:p>
            <w:pPr>
              <w:ind w:left="20"/>
              <w:spacing w:after="0" w:line="189" w:lineRule="exact"/>
              <w:rPr>
                <w:sz w:val="20"/>
                <w:szCs w:val="20"/>
                <w:color w:val="auto"/>
              </w:rPr>
            </w:pPr>
            <w:r>
              <w:rPr>
                <w:rFonts w:ascii="Arial" w:cs="Arial" w:eastAsia="Arial" w:hAnsi="Arial"/>
                <w:sz w:val="18"/>
                <w:szCs w:val="18"/>
                <w:color w:val="auto"/>
                <w:w w:val="99"/>
              </w:rPr>
              <w:t>Right-of-use assets increase as a result of new and modified operating lease</w:t>
            </w:r>
          </w:p>
        </w:tc>
        <w:tc>
          <w:tcPr>
            <w:tcW w:w="3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30"/>
        </w:trPr>
        <w:tc>
          <w:tcPr>
            <w:tcW w:w="6120" w:type="dxa"/>
            <w:vAlign w:val="bottom"/>
          </w:tcPr>
          <w:p>
            <w:pPr>
              <w:ind w:left="20"/>
              <w:spacing w:after="0"/>
              <w:rPr>
                <w:sz w:val="20"/>
                <w:szCs w:val="20"/>
                <w:color w:val="auto"/>
              </w:rPr>
            </w:pPr>
            <w:r>
              <w:rPr>
                <w:rFonts w:ascii="Arial" w:cs="Arial" w:eastAsia="Arial" w:hAnsi="Arial"/>
                <w:sz w:val="18"/>
                <w:szCs w:val="18"/>
                <w:color w:val="auto"/>
              </w:rPr>
              <w:t>liabilities, net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2,499</w:t>
            </w:r>
          </w:p>
        </w:tc>
        <w:tc>
          <w:tcPr>
            <w:tcW w:w="8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17,225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07" w:lineRule="exact"/>
        <w:rPr>
          <w:rFonts w:ascii="Arial" w:cs="Arial" w:eastAsia="Arial" w:hAnsi="Arial"/>
          <w:sz w:val="18"/>
          <w:szCs w:val="18"/>
          <w:b w:val="1"/>
          <w:bCs w:val="1"/>
          <w:color w:val="auto"/>
        </w:rPr>
      </w:pPr>
    </w:p>
    <w:p>
      <w:pPr>
        <w:ind w:left="660" w:right="12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Basic earnings per share is computed based on the weighted-average number of common shares outstanding during the period. Diluted earnings per share is computed based on the weighted-average number of common shares outstanding, plus the effect of dilutive potential common shares outstanding during the period using the treasury stock method. Dilutive potential common shares represent outstanding restricted stock units.</w:t>
      </w:r>
    </w:p>
    <w:p>
      <w:pPr>
        <w:spacing w:after="0" w:line="13" w:lineRule="exact"/>
        <w:rPr>
          <w:rFonts w:ascii="Arial" w:cs="Arial" w:eastAsia="Arial" w:hAnsi="Arial"/>
          <w:sz w:val="18"/>
          <w:szCs w:val="18"/>
          <w:b w:val="1"/>
          <w:bCs w:val="1"/>
          <w:color w:val="auto"/>
        </w:rPr>
      </w:pPr>
    </w:p>
    <w:p>
      <w:pPr>
        <w:ind w:left="66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As a result of the redemption feature related to the Put/Call Agreement in the prior year, the Company recorded the prior year 25% noncontrolling interest as redeemable and classified it in temporary equity within its Condensed Consolidated Balance Sheets initially at its acquisition-date fair value. The noncontrolling interest was adjusted each reporting period for income (or loss) attributable to the noncontrolling interest. A measurement period adjustment, if any, was then made to adjust the noncontrolling interest to the higher of the redemption value or carrying value each reporting period. These adjustments were recognized through retained earnings and were not reflected in net income or net income attributable to Vera Bradley, Inc. When calculating earnings per share attributable to Vera Bradley, Inc., the Company adjusted the net income attributable to Vera Bradley, Inc. for the measurement period adjustment to the extent the redemption value exceeds the fair value of the noncontrolling interest on a cumulative basis. Refer to Note 12 for additional information regarding the purchase of the remaining 25% interest on January 30, 2023.</w:t>
      </w:r>
    </w:p>
    <w:p>
      <w:pPr>
        <w:spacing w:after="0" w:line="5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components of basic and diluted earnings per share were as follows (in thousands, except per share data):</w:t>
      </w:r>
    </w:p>
    <w:p>
      <w:pPr>
        <w:spacing w:after="0" w:line="136" w:lineRule="exact"/>
        <w:rPr>
          <w:sz w:val="20"/>
          <w:szCs w:val="20"/>
          <w:color w:val="auto"/>
        </w:rPr>
      </w:pPr>
    </w:p>
    <w:tbl>
      <w:tblPr>
        <w:tblLayout w:type="fixed"/>
        <w:tblInd w:w="700" w:type="dxa"/>
        <w:tblCellMar>
          <w:top w:w="0" w:type="dxa"/>
          <w:left w:w="0" w:type="dxa"/>
          <w:bottom w:w="0" w:type="dxa"/>
          <w:right w:w="0" w:type="dxa"/>
        </w:tblCellMar>
      </w:tblPr>
      <w:tr>
        <w:trPr>
          <w:trHeight w:val="186"/>
        </w:trPr>
        <w:tc>
          <w:tcPr>
            <w:tcW w:w="5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60" w:type="dxa"/>
            <w:vAlign w:val="bottom"/>
            <w:gridSpan w:val="5"/>
          </w:tcPr>
          <w:p>
            <w:pPr>
              <w:ind w:left="220"/>
              <w:spacing w:after="0"/>
              <w:rPr>
                <w:sz w:val="20"/>
                <w:szCs w:val="20"/>
                <w:color w:val="auto"/>
              </w:rPr>
            </w:pPr>
            <w:r>
              <w:rPr>
                <w:rFonts w:ascii="Arial" w:cs="Arial" w:eastAsia="Arial" w:hAnsi="Arial"/>
                <w:sz w:val="14"/>
                <w:szCs w:val="14"/>
                <w:b w:val="1"/>
                <w:bCs w:val="1"/>
                <w:color w:val="auto"/>
              </w:rPr>
              <w:t>Thirteen Weeks Ended</w:t>
            </w:r>
          </w:p>
        </w:tc>
        <w:tc>
          <w:tcPr>
            <w:tcW w:w="220" w:type="dxa"/>
            <w:vAlign w:val="bottom"/>
          </w:tcPr>
          <w:p>
            <w:pPr>
              <w:spacing w:after="0"/>
              <w:rPr>
                <w:sz w:val="16"/>
                <w:szCs w:val="16"/>
                <w:color w:val="auto"/>
              </w:rPr>
            </w:pPr>
          </w:p>
        </w:tc>
        <w:tc>
          <w:tcPr>
            <w:tcW w:w="2220" w:type="dxa"/>
            <w:vAlign w:val="bottom"/>
            <w:gridSpan w:val="4"/>
          </w:tcPr>
          <w:p>
            <w:pPr>
              <w:jc w:val="right"/>
              <w:ind w:right="354"/>
              <w:spacing w:after="0"/>
              <w:rPr>
                <w:sz w:val="20"/>
                <w:szCs w:val="20"/>
                <w:color w:val="auto"/>
              </w:rPr>
            </w:pPr>
            <w:r>
              <w:rPr>
                <w:rFonts w:ascii="Arial" w:cs="Arial" w:eastAsia="Arial" w:hAnsi="Arial"/>
                <w:sz w:val="14"/>
                <w:szCs w:val="14"/>
                <w:b w:val="1"/>
                <w:bCs w:val="1"/>
                <w:color w:val="auto"/>
              </w:rPr>
              <w:t>Twenty-Six Weeks Ended</w:t>
            </w:r>
          </w:p>
        </w:tc>
      </w:tr>
      <w:tr>
        <w:trPr>
          <w:trHeight w:val="26"/>
        </w:trPr>
        <w:tc>
          <w:tcPr>
            <w:tcW w:w="5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28"/>
        </w:trPr>
        <w:tc>
          <w:tcPr>
            <w:tcW w:w="50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2"/>
          </w:tcPr>
          <w:p>
            <w:pPr>
              <w:ind w:left="80"/>
              <w:spacing w:after="0" w:line="129" w:lineRule="exact"/>
              <w:rPr>
                <w:sz w:val="20"/>
                <w:szCs w:val="20"/>
                <w:color w:val="auto"/>
              </w:rPr>
            </w:pPr>
            <w:r>
              <w:rPr>
                <w:rFonts w:ascii="Arial" w:cs="Arial" w:eastAsia="Arial" w:hAnsi="Arial"/>
                <w:sz w:val="14"/>
                <w:szCs w:val="14"/>
                <w:b w:val="1"/>
                <w:bCs w:val="1"/>
                <w:color w:val="auto"/>
              </w:rPr>
              <w:t>July 29,</w:t>
            </w:r>
          </w:p>
        </w:tc>
        <w:tc>
          <w:tcPr>
            <w:tcW w:w="2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234"/>
              <w:spacing w:after="0" w:line="129" w:lineRule="exact"/>
              <w:rPr>
                <w:sz w:val="20"/>
                <w:szCs w:val="20"/>
                <w:color w:val="auto"/>
              </w:rPr>
            </w:pPr>
            <w:r>
              <w:rPr>
                <w:rFonts w:ascii="Arial" w:cs="Arial" w:eastAsia="Arial" w:hAnsi="Arial"/>
                <w:sz w:val="14"/>
                <w:szCs w:val="14"/>
                <w:b w:val="1"/>
                <w:bCs w:val="1"/>
                <w:color w:val="auto"/>
              </w:rPr>
              <w:t>July 30,</w:t>
            </w: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ind w:left="100"/>
              <w:spacing w:after="0" w:line="129" w:lineRule="exact"/>
              <w:rPr>
                <w:sz w:val="20"/>
                <w:szCs w:val="20"/>
                <w:color w:val="auto"/>
              </w:rPr>
            </w:pPr>
            <w:r>
              <w:rPr>
                <w:rFonts w:ascii="Arial" w:cs="Arial" w:eastAsia="Arial" w:hAnsi="Arial"/>
                <w:sz w:val="14"/>
                <w:szCs w:val="14"/>
                <w:b w:val="1"/>
                <w:bCs w:val="1"/>
                <w:color w:val="auto"/>
              </w:rPr>
              <w:t>July 29,</w:t>
            </w:r>
          </w:p>
        </w:tc>
        <w:tc>
          <w:tcPr>
            <w:tcW w:w="2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ind w:right="274"/>
              <w:spacing w:after="0" w:line="129" w:lineRule="exact"/>
              <w:rPr>
                <w:sz w:val="20"/>
                <w:szCs w:val="20"/>
                <w:color w:val="auto"/>
              </w:rPr>
            </w:pPr>
            <w:r>
              <w:rPr>
                <w:rFonts w:ascii="Arial" w:cs="Arial" w:eastAsia="Arial" w:hAnsi="Arial"/>
                <w:sz w:val="14"/>
                <w:szCs w:val="14"/>
                <w:b w:val="1"/>
                <w:bCs w:val="1"/>
                <w:color w:val="auto"/>
              </w:rPr>
              <w:t>July 30,</w:t>
            </w:r>
          </w:p>
        </w:tc>
      </w:tr>
      <w:tr>
        <w:trPr>
          <w:trHeight w:val="196"/>
        </w:trPr>
        <w:tc>
          <w:tcPr>
            <w:tcW w:w="50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2022</w:t>
            </w:r>
          </w:p>
        </w:tc>
      </w:tr>
      <w:tr>
        <w:trPr>
          <w:trHeight w:val="216"/>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Numerator:</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29"/>
        </w:trPr>
        <w:tc>
          <w:tcPr>
            <w:tcW w:w="502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9,254</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(36,901)</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4,575</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(43,611)</w:t>
            </w:r>
          </w:p>
        </w:tc>
      </w:tr>
      <w:tr>
        <w:trPr>
          <w:trHeight w:val="22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Less: Net loss attributable to redeemable noncontrolling interest</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(6,870)</w:t>
            </w:r>
          </w:p>
        </w:tc>
      </w:tr>
      <w:tr>
        <w:trPr>
          <w:trHeight w:val="196"/>
        </w:trPr>
        <w:tc>
          <w:tcPr>
            <w:tcW w:w="5020" w:type="dxa"/>
            <w:vAlign w:val="bottom"/>
          </w:tcPr>
          <w:p>
            <w:pPr>
              <w:ind w:left="140"/>
              <w:spacing w:after="0" w:line="196" w:lineRule="exact"/>
              <w:rPr>
                <w:sz w:val="20"/>
                <w:szCs w:val="20"/>
                <w:color w:val="auto"/>
              </w:rPr>
            </w:pPr>
            <w:r>
              <w:rPr>
                <w:rFonts w:ascii="Arial" w:cs="Arial" w:eastAsia="Arial" w:hAnsi="Arial"/>
                <w:sz w:val="18"/>
                <w:szCs w:val="18"/>
                <w:color w:val="auto"/>
              </w:rPr>
              <w:t>Net income (loss) attributable to Vera Bradley, Inc.</w:t>
            </w:r>
          </w:p>
        </w:tc>
        <w:tc>
          <w:tcPr>
            <w:tcW w:w="20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9,254</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(29,767)</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4,575</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(36,741)</w:t>
            </w: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7"/>
        </w:trPr>
        <w:tc>
          <w:tcPr>
            <w:tcW w:w="50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i w:val="1"/>
                <w:iCs w:val="1"/>
                <w:color w:val="auto"/>
              </w:rPr>
              <w:t>Denominator:</w:t>
            </w: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number of common shares (basic)</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30,847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32,051</w:t>
            </w: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color w:val="auto"/>
              </w:rPr>
              <w:t>Dilutive effect of stock-based awards</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5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number of common shares (diluted)</w:t>
            </w: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32,051</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175"/>
        </w:trPr>
        <w:tc>
          <w:tcPr>
            <w:tcW w:w="50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i w:val="1"/>
                <w:iCs w:val="1"/>
                <w:color w:val="auto"/>
              </w:rPr>
              <w:t>Net income (loss) per share available to Vera Bradley, Inc.</w:t>
            </w: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43"/>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common shareholders:</w:t>
            </w:r>
          </w:p>
        </w:tc>
        <w:tc>
          <w:tcPr>
            <w:tcW w:w="2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color w:val="auto"/>
              </w:rPr>
              <w:t>Basic</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(0.95)</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3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r>
    </w:tbl>
    <w:p>
      <w:pPr>
        <w:spacing w:after="0" w:line="67" w:lineRule="exact"/>
        <w:rPr>
          <w:sz w:val="20"/>
          <w:szCs w:val="20"/>
          <w:color w:val="auto"/>
        </w:rPr>
      </w:pPr>
    </w:p>
    <w:p>
      <w:pPr>
        <w:ind w:left="660" w:right="360"/>
        <w:spacing w:after="0" w:line="246" w:lineRule="auto"/>
        <w:rPr>
          <w:sz w:val="20"/>
          <w:szCs w:val="20"/>
          <w:color w:val="auto"/>
        </w:rPr>
      </w:pPr>
      <w:r>
        <w:rPr>
          <w:rFonts w:ascii="Arial" w:cs="Arial" w:eastAsia="Arial" w:hAnsi="Arial"/>
          <w:sz w:val="18"/>
          <w:szCs w:val="18"/>
          <w:color w:val="auto"/>
        </w:rPr>
        <w:t>For the thirteen and twenty-six weeks ended July 29, 2023, there were an immaterial number of additional shares issuable upon the vesting of restricted stock units that were excluded from the diluted share calculations because they were anti-dilutive.</w:t>
      </w:r>
    </w:p>
    <w:p>
      <w:pPr>
        <w:spacing w:after="0" w:line="197" w:lineRule="exact"/>
        <w:rPr>
          <w:sz w:val="20"/>
          <w:szCs w:val="20"/>
          <w:color w:val="auto"/>
        </w:rPr>
      </w:pPr>
    </w:p>
    <w:p>
      <w:pPr>
        <w:ind w:left="660" w:right="60"/>
        <w:spacing w:after="0" w:line="246" w:lineRule="auto"/>
        <w:rPr>
          <w:sz w:val="20"/>
          <w:szCs w:val="20"/>
          <w:color w:val="auto"/>
        </w:rPr>
      </w:pPr>
      <w:r>
        <w:rPr>
          <w:rFonts w:ascii="Arial" w:cs="Arial" w:eastAsia="Arial" w:hAnsi="Arial"/>
          <w:sz w:val="18"/>
          <w:szCs w:val="18"/>
          <w:color w:val="auto"/>
        </w:rPr>
        <w:t>For the thirteen and twenty-six weeks ended July 30, 2022, all potential common shares were excluded from the diluted share calculation because they were anti-dilutive due to the net loss in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107" w:lineRule="exact"/>
        <w:rPr>
          <w:rFonts w:ascii="Arial" w:cs="Arial" w:eastAsia="Arial" w:hAnsi="Arial"/>
          <w:sz w:val="18"/>
          <w:szCs w:val="18"/>
          <w:b w:val="1"/>
          <w:bCs w:val="1"/>
          <w:color w:val="auto"/>
        </w:rPr>
      </w:pPr>
    </w:p>
    <w:p>
      <w:pPr>
        <w:ind w:left="66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Assets and liabilities measured at fair value are classified using the following hierarchy, which is based upon the transparency of inputs to the valuation as of the measurement date:</w:t>
      </w:r>
    </w:p>
    <w:p>
      <w:pPr>
        <w:spacing w:after="0" w:line="48" w:lineRule="exact"/>
        <w:rPr>
          <w:rFonts w:ascii="Arial" w:cs="Arial" w:eastAsia="Arial" w:hAnsi="Arial"/>
          <w:sz w:val="18"/>
          <w:szCs w:val="18"/>
          <w:b w:val="1"/>
          <w:bCs w:val="1"/>
          <w:color w:val="auto"/>
        </w:rPr>
      </w:pPr>
    </w:p>
    <w:p>
      <w:pPr>
        <w:ind w:left="980" w:hanging="324"/>
        <w:spacing w:after="0"/>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or liabilities;</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Level 2 – Inputs, other than the quoted prices in active markets, that are observable either directly or indirectly;</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Level 3 – Unobservable inputs based on the Company’s own assumptions.</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classification of fair value measurements within the hierarchy is based upon the lowest level of input that is significant to the measurement.</w:t>
      </w:r>
    </w:p>
    <w:p>
      <w:pPr>
        <w:spacing w:after="0" w:line="127" w:lineRule="exact"/>
        <w:rPr>
          <w:sz w:val="20"/>
          <w:szCs w:val="20"/>
          <w:color w:val="auto"/>
        </w:rPr>
      </w:pPr>
    </w:p>
    <w:p>
      <w:pPr>
        <w:ind w:left="660" w:right="160"/>
        <w:spacing w:after="0" w:line="277" w:lineRule="auto"/>
        <w:rPr>
          <w:sz w:val="20"/>
          <w:szCs w:val="20"/>
          <w:color w:val="auto"/>
        </w:rPr>
      </w:pPr>
      <w:r>
        <w:rPr>
          <w:rFonts w:ascii="Arial" w:cs="Arial" w:eastAsia="Arial" w:hAnsi="Arial"/>
          <w:sz w:val="18"/>
          <w:szCs w:val="18"/>
          <w:color w:val="auto"/>
        </w:rPr>
        <w:t>The carrying amounts reflected on the Condensed Consolidated Balance Sheets for cash and cash equivalents, accounts receivable, other current assets, and accounts payable as of July 29, 2023 and January 28, 2023, approximated their fair values.</w:t>
      </w:r>
    </w:p>
    <w:p>
      <w:pPr>
        <w:spacing w:after="0" w:line="4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details the fair value measurements of the Company's investments as of July 29, 2023 and January 28, 2023 (in thousands):</w:t>
      </w:r>
    </w:p>
    <w:p>
      <w:pPr>
        <w:spacing w:after="0" w:line="64" w:lineRule="exact"/>
        <w:rPr>
          <w:sz w:val="20"/>
          <w:szCs w:val="20"/>
          <w:color w:val="auto"/>
        </w:rPr>
      </w:pPr>
    </w:p>
    <w:tbl>
      <w:tblPr>
        <w:tblLayout w:type="fixed"/>
        <w:tblInd w:w="660" w:type="dxa"/>
        <w:tblCellMar>
          <w:top w:w="0" w:type="dxa"/>
          <w:left w:w="0" w:type="dxa"/>
          <w:bottom w:w="0" w:type="dxa"/>
          <w:right w:w="0" w:type="dxa"/>
        </w:tblCellMar>
      </w:tblPr>
      <w:tr>
        <w:trPr>
          <w:trHeight w:val="186"/>
        </w:trPr>
        <w:tc>
          <w:tcPr>
            <w:tcW w:w="3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20" w:type="dxa"/>
            <w:vAlign w:val="bottom"/>
            <w:gridSpan w:val="5"/>
          </w:tcPr>
          <w:p>
            <w:pPr>
              <w:ind w:left="440"/>
              <w:spacing w:after="0"/>
              <w:rPr>
                <w:sz w:val="20"/>
                <w:szCs w:val="20"/>
                <w:color w:val="auto"/>
              </w:rPr>
            </w:pPr>
            <w:r>
              <w:rPr>
                <w:rFonts w:ascii="Arial" w:cs="Arial" w:eastAsia="Arial" w:hAnsi="Arial"/>
                <w:sz w:val="14"/>
                <w:szCs w:val="14"/>
                <w:b w:val="1"/>
                <w:bCs w:val="1"/>
                <w:color w:val="auto"/>
              </w:rPr>
              <w:t>Level 1</w:t>
            </w:r>
          </w:p>
        </w:tc>
        <w:tc>
          <w:tcPr>
            <w:tcW w:w="420" w:type="dxa"/>
            <w:vAlign w:val="bottom"/>
          </w:tcPr>
          <w:p>
            <w:pPr>
              <w:spacing w:after="0"/>
              <w:rPr>
                <w:sz w:val="16"/>
                <w:szCs w:val="16"/>
                <w:color w:val="auto"/>
              </w:rPr>
            </w:pPr>
          </w:p>
        </w:tc>
        <w:tc>
          <w:tcPr>
            <w:tcW w:w="1780" w:type="dxa"/>
            <w:vAlign w:val="bottom"/>
            <w:gridSpan w:val="5"/>
          </w:tcPr>
          <w:p>
            <w:pPr>
              <w:ind w:left="400"/>
              <w:spacing w:after="0"/>
              <w:rPr>
                <w:sz w:val="20"/>
                <w:szCs w:val="20"/>
                <w:color w:val="auto"/>
              </w:rPr>
            </w:pPr>
            <w:r>
              <w:rPr>
                <w:rFonts w:ascii="Arial" w:cs="Arial" w:eastAsia="Arial" w:hAnsi="Arial"/>
                <w:sz w:val="14"/>
                <w:szCs w:val="14"/>
                <w:b w:val="1"/>
                <w:bCs w:val="1"/>
                <w:color w:val="auto"/>
              </w:rPr>
              <w:t>Level 2</w:t>
            </w:r>
          </w:p>
        </w:tc>
        <w:tc>
          <w:tcPr>
            <w:tcW w:w="420" w:type="dxa"/>
            <w:vAlign w:val="bottom"/>
          </w:tcPr>
          <w:p>
            <w:pPr>
              <w:spacing w:after="0"/>
              <w:rPr>
                <w:sz w:val="16"/>
                <w:szCs w:val="16"/>
                <w:color w:val="auto"/>
              </w:rPr>
            </w:pPr>
          </w:p>
        </w:tc>
        <w:tc>
          <w:tcPr>
            <w:tcW w:w="1680" w:type="dxa"/>
            <w:vAlign w:val="bottom"/>
            <w:gridSpan w:val="4"/>
          </w:tcPr>
          <w:p>
            <w:pPr>
              <w:ind w:left="40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6"/>
        </w:trPr>
        <w:tc>
          <w:tcPr>
            <w:tcW w:w="3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300" w:type="dxa"/>
            <w:vAlign w:val="bottom"/>
          </w:tcPr>
          <w:p>
            <w:pPr>
              <w:spacing w:after="0"/>
              <w:rPr>
                <w:sz w:val="11"/>
                <w:szCs w:val="11"/>
                <w:color w:val="auto"/>
              </w:rPr>
            </w:pPr>
          </w:p>
        </w:tc>
        <w:tc>
          <w:tcPr>
            <w:tcW w:w="1100" w:type="dxa"/>
            <w:vAlign w:val="bottom"/>
            <w:tcBorders>
              <w:top w:val="single" w:sz="8" w:color="auto"/>
            </w:tcBorders>
            <w:gridSpan w:val="3"/>
            <w:vMerge w:val="restart"/>
          </w:tcPr>
          <w:p>
            <w:pPr>
              <w:ind w:left="100"/>
              <w:spacing w:after="0"/>
              <w:rPr>
                <w:sz w:val="20"/>
                <w:szCs w:val="20"/>
                <w:color w:val="auto"/>
              </w:rPr>
            </w:pPr>
            <w:r>
              <w:rPr>
                <w:rFonts w:ascii="Arial" w:cs="Arial" w:eastAsia="Arial" w:hAnsi="Arial"/>
                <w:sz w:val="14"/>
                <w:szCs w:val="14"/>
                <w:b w:val="1"/>
                <w:bCs w:val="1"/>
                <w:color w:val="auto"/>
              </w:rPr>
              <w:t>July 29, 2023</w:t>
            </w: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center"/>
              <w:ind w:right="42"/>
              <w:spacing w:after="0" w:line="129" w:lineRule="exact"/>
              <w:rPr>
                <w:sz w:val="20"/>
                <w:szCs w:val="20"/>
                <w:color w:val="auto"/>
              </w:rPr>
            </w:pPr>
            <w:r>
              <w:rPr>
                <w:rFonts w:ascii="Arial" w:cs="Arial" w:eastAsia="Arial" w:hAnsi="Arial"/>
                <w:sz w:val="14"/>
                <w:szCs w:val="14"/>
                <w:b w:val="1"/>
                <w:bCs w:val="1"/>
                <w:color w:val="auto"/>
                <w:w w:val="93"/>
              </w:rPr>
              <w:t>January 28,</w:t>
            </w:r>
          </w:p>
        </w:tc>
        <w:tc>
          <w:tcPr>
            <w:tcW w:w="100" w:type="dxa"/>
            <w:vAlign w:val="bottom"/>
          </w:tcPr>
          <w:p>
            <w:pPr>
              <w:spacing w:after="0"/>
              <w:rPr>
                <w:sz w:val="11"/>
                <w:szCs w:val="11"/>
                <w:color w:val="auto"/>
              </w:rPr>
            </w:pPr>
          </w:p>
        </w:tc>
        <w:tc>
          <w:tcPr>
            <w:tcW w:w="1220" w:type="dxa"/>
            <w:vAlign w:val="bottom"/>
            <w:tcBorders>
              <w:top w:val="single" w:sz="8" w:color="auto"/>
            </w:tcBorders>
            <w:gridSpan w:val="4"/>
            <w:vMerge w:val="restart"/>
          </w:tcPr>
          <w:p>
            <w:pPr>
              <w:jc w:val="right"/>
              <w:ind w:right="230"/>
              <w:spacing w:after="0"/>
              <w:rPr>
                <w:sz w:val="20"/>
                <w:szCs w:val="20"/>
                <w:color w:val="auto"/>
              </w:rPr>
            </w:pPr>
            <w:r>
              <w:rPr>
                <w:rFonts w:ascii="Arial" w:cs="Arial" w:eastAsia="Arial" w:hAnsi="Arial"/>
                <w:sz w:val="14"/>
                <w:szCs w:val="14"/>
                <w:b w:val="1"/>
                <w:bCs w:val="1"/>
                <w:color w:val="auto"/>
              </w:rPr>
              <w:t>July 29, 2023</w:t>
            </w:r>
          </w:p>
        </w:tc>
        <w:tc>
          <w:tcPr>
            <w:tcW w:w="880" w:type="dxa"/>
            <w:vAlign w:val="bottom"/>
            <w:tcBorders>
              <w:top w:val="single" w:sz="8" w:color="auto"/>
            </w:tcBorders>
          </w:tcPr>
          <w:p>
            <w:pPr>
              <w:jc w:val="center"/>
              <w:ind w:right="42"/>
              <w:spacing w:after="0" w:line="129" w:lineRule="exact"/>
              <w:rPr>
                <w:sz w:val="20"/>
                <w:szCs w:val="20"/>
                <w:color w:val="auto"/>
              </w:rPr>
            </w:pPr>
            <w:r>
              <w:rPr>
                <w:rFonts w:ascii="Arial" w:cs="Arial" w:eastAsia="Arial" w:hAnsi="Arial"/>
                <w:sz w:val="14"/>
                <w:szCs w:val="14"/>
                <w:b w:val="1"/>
                <w:bCs w:val="1"/>
                <w:color w:val="auto"/>
                <w:w w:val="93"/>
              </w:rPr>
              <w:t>January 28,</w:t>
            </w:r>
          </w:p>
        </w:tc>
        <w:tc>
          <w:tcPr>
            <w:tcW w:w="100" w:type="dxa"/>
            <w:vAlign w:val="bottom"/>
          </w:tcPr>
          <w:p>
            <w:pPr>
              <w:spacing w:after="0"/>
              <w:rPr>
                <w:sz w:val="11"/>
                <w:szCs w:val="11"/>
                <w:color w:val="auto"/>
              </w:rPr>
            </w:pPr>
          </w:p>
        </w:tc>
        <w:tc>
          <w:tcPr>
            <w:tcW w:w="1220" w:type="dxa"/>
            <w:vAlign w:val="bottom"/>
            <w:tcBorders>
              <w:top w:val="single" w:sz="8" w:color="auto"/>
            </w:tcBorders>
            <w:gridSpan w:val="4"/>
            <w:vMerge w:val="restart"/>
          </w:tcPr>
          <w:p>
            <w:pPr>
              <w:jc w:val="right"/>
              <w:ind w:right="230"/>
              <w:spacing w:after="0"/>
              <w:rPr>
                <w:sz w:val="20"/>
                <w:szCs w:val="20"/>
                <w:color w:val="auto"/>
              </w:rPr>
            </w:pPr>
            <w:r>
              <w:rPr>
                <w:rFonts w:ascii="Arial" w:cs="Arial" w:eastAsia="Arial" w:hAnsi="Arial"/>
                <w:sz w:val="14"/>
                <w:szCs w:val="14"/>
                <w:b w:val="1"/>
                <w:bCs w:val="1"/>
                <w:color w:val="auto"/>
              </w:rPr>
              <w:t>July 29, 2023</w:t>
            </w:r>
          </w:p>
        </w:tc>
        <w:tc>
          <w:tcPr>
            <w:tcW w:w="880" w:type="dxa"/>
            <w:vAlign w:val="bottom"/>
            <w:tcBorders>
              <w:top w:val="single" w:sz="8" w:color="auto"/>
            </w:tcBorders>
          </w:tcPr>
          <w:p>
            <w:pPr>
              <w:jc w:val="center"/>
              <w:ind w:right="42"/>
              <w:spacing w:after="0" w:line="129" w:lineRule="exact"/>
              <w:rPr>
                <w:sz w:val="20"/>
                <w:szCs w:val="20"/>
                <w:color w:val="auto"/>
              </w:rPr>
            </w:pPr>
            <w:r>
              <w:rPr>
                <w:rFonts w:ascii="Arial" w:cs="Arial" w:eastAsia="Arial" w:hAnsi="Arial"/>
                <w:sz w:val="14"/>
                <w:szCs w:val="14"/>
                <w:b w:val="1"/>
                <w:bCs w:val="1"/>
                <w:color w:val="auto"/>
                <w:w w:val="93"/>
              </w:rPr>
              <w:t>January 28,</w:t>
            </w:r>
          </w:p>
        </w:tc>
        <w:tc>
          <w:tcPr>
            <w:tcW w:w="0" w:type="dxa"/>
            <w:vAlign w:val="bottom"/>
          </w:tcPr>
          <w:p>
            <w:pPr>
              <w:spacing w:after="0"/>
              <w:rPr>
                <w:sz w:val="1"/>
                <w:szCs w:val="1"/>
                <w:color w:val="auto"/>
              </w:rPr>
            </w:pPr>
          </w:p>
        </w:tc>
      </w:tr>
      <w:tr>
        <w:trPr>
          <w:trHeight w:val="196"/>
        </w:trPr>
        <w:tc>
          <w:tcPr>
            <w:tcW w:w="3300" w:type="dxa"/>
            <w:vAlign w:val="bottom"/>
          </w:tcPr>
          <w:p>
            <w:pPr>
              <w:spacing w:after="0"/>
              <w:rPr>
                <w:sz w:val="17"/>
                <w:szCs w:val="17"/>
                <w:color w:val="auto"/>
              </w:rPr>
            </w:pPr>
          </w:p>
        </w:tc>
        <w:tc>
          <w:tcPr>
            <w:tcW w:w="110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28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1220" w:type="dxa"/>
            <w:vAlign w:val="bottom"/>
            <w:gridSpan w:val="4"/>
            <w:vMerge w:val="continue"/>
          </w:tcPr>
          <w:p>
            <w:pPr>
              <w:spacing w:after="0"/>
              <w:rPr>
                <w:sz w:val="17"/>
                <w:szCs w:val="17"/>
                <w:color w:val="auto"/>
              </w:rPr>
            </w:pPr>
          </w:p>
        </w:tc>
        <w:tc>
          <w:tcPr>
            <w:tcW w:w="880" w:type="dxa"/>
            <w:vAlign w:val="bottom"/>
          </w:tcPr>
          <w:p>
            <w:pPr>
              <w:jc w:val="right"/>
              <w:ind w:right="28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1220" w:type="dxa"/>
            <w:vAlign w:val="bottom"/>
            <w:gridSpan w:val="4"/>
            <w:vMerge w:val="continue"/>
          </w:tcPr>
          <w:p>
            <w:pPr>
              <w:spacing w:after="0"/>
              <w:rPr>
                <w:sz w:val="17"/>
                <w:szCs w:val="17"/>
                <w:color w:val="auto"/>
              </w:rPr>
            </w:pPr>
          </w:p>
        </w:tc>
        <w:tc>
          <w:tcPr>
            <w:tcW w:w="880" w:type="dxa"/>
            <w:vAlign w:val="bottom"/>
          </w:tcPr>
          <w:p>
            <w:pPr>
              <w:jc w:val="right"/>
              <w:ind w:right="282"/>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29"/>
        </w:trPr>
        <w:tc>
          <w:tcPr>
            <w:tcW w:w="3300" w:type="dxa"/>
            <w:vAlign w:val="bottom"/>
            <w:tcBorders>
              <w:top w:val="single" w:sz="8" w:color="CCEEFF"/>
            </w:tcBorders>
            <w:shd w:val="clear" w:color="auto" w:fill="CCEEFF"/>
          </w:tcPr>
          <w:p>
            <w:pPr>
              <w:ind w:left="20"/>
              <w:spacing w:after="0" w:line="230" w:lineRule="exact"/>
              <w:rPr>
                <w:sz w:val="20"/>
                <w:szCs w:val="20"/>
                <w:color w:val="auto"/>
              </w:rPr>
            </w:pPr>
            <w:r>
              <w:rPr>
                <w:rFonts w:ascii="Arial" w:cs="Arial" w:eastAsia="Arial" w:hAnsi="Arial"/>
                <w:sz w:val="18"/>
                <w:szCs w:val="18"/>
                <w:color w:val="auto"/>
              </w:rPr>
              <w:t>Cash equivalents</w:t>
            </w:r>
            <w:r>
              <w:rPr>
                <w:rFonts w:ascii="Arial" w:cs="Arial" w:eastAsia="Arial" w:hAnsi="Arial"/>
                <w:sz w:val="23"/>
                <w:szCs w:val="23"/>
                <w:color w:val="auto"/>
                <w:vertAlign w:val="superscript"/>
              </w:rPr>
              <w:t>(1)</w:t>
            </w:r>
          </w:p>
        </w:tc>
        <w:tc>
          <w:tcPr>
            <w:tcW w:w="38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360</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9"/>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9"/>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680" w:right="940" w:hanging="6"/>
        <w:spacing w:after="0" w:line="235" w:lineRule="auto"/>
        <w:tabs>
          <w:tab w:leader="none" w:pos="9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Cash equivalents primarily represent a money market fund that has a maturity of three months or less at the date of purchase. Due to the short maturity, the Company believes the carrying value approximates fair value.</w:t>
      </w:r>
    </w:p>
    <w:p>
      <w:pPr>
        <w:spacing w:after="0" w:line="175" w:lineRule="exact"/>
        <w:rPr>
          <w:sz w:val="20"/>
          <w:szCs w:val="20"/>
          <w:color w:val="auto"/>
        </w:rPr>
      </w:pPr>
    </w:p>
    <w:p>
      <w:pPr>
        <w:ind w:left="660" w:right="80"/>
        <w:spacing w:after="0" w:line="290" w:lineRule="auto"/>
        <w:rPr>
          <w:sz w:val="20"/>
          <w:szCs w:val="20"/>
          <w:color w:val="auto"/>
        </w:rPr>
      </w:pPr>
      <w:r>
        <w:rPr>
          <w:rFonts w:ascii="Arial" w:cs="Arial" w:eastAsia="Arial" w:hAnsi="Arial"/>
          <w:sz w:val="16"/>
          <w:szCs w:val="16"/>
          <w:color w:val="auto"/>
        </w:rPr>
        <w:t>The Company assesses potential impairments to its long-lived assets, which includes property, plant, and equipment and lease right-of-use assets, on a quarterly basis or whenever events or circumstances indicate that the carrying amount of an asset may not be recoverable. Store-level assets and right-of-use assets are grouped at the individual store-level for the purpose of the impairment assessment. Recoverability of an asset group is measured by a comparison of the carrying amount of an asset group to its estimated undiscounted future cash flows expected to be generated by the asset group. If the carrying amount of the asset group exceeds its estimated undiscounted future cash flows, an impairment charge is recognized as the amount by which the carrying amount of the asset group exceeds the fair value of the asset group. The fair value of the store assets is determined using the discounted future cash flow method of anticipated cash flows through the store’s lease-end date using fair value measurement inputs classified as Level 3. The fair value of right-of-use assets is estimated using market comparative information for similar properties. Level 3 inputs are derived from valuation techniques in which one or more significant inputs or significant value drivers are unobservable. There were no long-lived asset impairment charges for the thirteen and twenty-six weeks ended July 29, 2023. The Company recorded $0.8 million and $1.4 million for store property, plant, and equipment impairment charges and a corporate lease right-of-use asset impairment charge for the thirteen and twenty-six weeks ended July 30, 2022, respectively.</w:t>
      </w:r>
    </w:p>
    <w:p>
      <w:pPr>
        <w:spacing w:after="0" w:line="32" w:lineRule="exact"/>
        <w:rPr>
          <w:sz w:val="20"/>
          <w:szCs w:val="20"/>
          <w:color w:val="auto"/>
        </w:rPr>
      </w:pPr>
    </w:p>
    <w:p>
      <w:pPr>
        <w:ind w:left="660"/>
        <w:spacing w:after="0" w:line="273" w:lineRule="auto"/>
        <w:rPr>
          <w:sz w:val="20"/>
          <w:szCs w:val="20"/>
          <w:color w:val="auto"/>
        </w:rPr>
      </w:pPr>
      <w:r>
        <w:rPr>
          <w:rFonts w:ascii="Arial" w:cs="Arial" w:eastAsia="Arial" w:hAnsi="Arial"/>
          <w:sz w:val="17"/>
          <w:szCs w:val="17"/>
          <w:color w:val="auto"/>
        </w:rPr>
        <w:t>The discounted cash flow models used to estimate the applicable fair values involve numerous estimates and assumptions that are highly subjective. Changes to these estimates and assumptions could materially impact the fair value estimates. The estimates and assumptions critical to the overall fair value estimates include: (1) estimated future cash flow generated at the store level; (2) discount rates used to derive the present value factors used in determining the fair values; and (3) market rentals at the retail store. These and other estimates and assumptions are impacted by economic conditions and our expectations and may change in the future based on period-specific facts and circumstances. If economic conditions were to deteriorate, future impairment charges may be required which may be material.</w:t>
      </w:r>
    </w:p>
    <w:p>
      <w:pPr>
        <w:spacing w:after="0" w:line="56" w:lineRule="exact"/>
        <w:rPr>
          <w:sz w:val="20"/>
          <w:szCs w:val="20"/>
          <w:color w:val="auto"/>
        </w:rPr>
      </w:pPr>
    </w:p>
    <w:p>
      <w:pPr>
        <w:ind w:left="660" w:right="20"/>
        <w:spacing w:after="0" w:line="257" w:lineRule="auto"/>
        <w:rPr>
          <w:sz w:val="20"/>
          <w:szCs w:val="20"/>
          <w:color w:val="auto"/>
        </w:rPr>
      </w:pPr>
      <w:r>
        <w:rPr>
          <w:rFonts w:ascii="Arial" w:cs="Arial" w:eastAsia="Arial" w:hAnsi="Arial"/>
          <w:sz w:val="18"/>
          <w:szCs w:val="18"/>
          <w:color w:val="auto"/>
        </w:rPr>
        <w:t>On a nonrecurring basis, assets recognized or disclosed at fair value on the consolidated financial statements include items such as property, plant, and equipment, including leasehold improvements, and operating lease assets, as well as assets related to the Pura Vida acquisition including goodwill (in the prior year) and intangible assets. These assets are measured at fair value if determined to be impaired. There were no goodwill or intangible asset impairment charges recorded during the thirteen and twenty-six weeks ended July 29, 2023. During the thirteen and twenty-six weeks</w:t>
      </w: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1" w:lineRule="exact"/>
        <w:rPr>
          <w:sz w:val="20"/>
          <w:szCs w:val="20"/>
          <w:color w:val="auto"/>
        </w:rPr>
      </w:pPr>
    </w:p>
    <w:p>
      <w:pPr>
        <w:ind w:left="660" w:right="100"/>
        <w:spacing w:after="0" w:line="277" w:lineRule="auto"/>
        <w:rPr>
          <w:sz w:val="20"/>
          <w:szCs w:val="20"/>
          <w:color w:val="auto"/>
        </w:rPr>
      </w:pPr>
      <w:r>
        <w:rPr>
          <w:rFonts w:ascii="Arial" w:cs="Arial" w:eastAsia="Arial" w:hAnsi="Arial"/>
          <w:sz w:val="18"/>
          <w:szCs w:val="18"/>
          <w:color w:val="auto"/>
        </w:rPr>
        <w:t>ended July 30, 2022, the Company recorded a $29.3 million impairment charge related to goodwill and the indefinite-lived Pura Vida brand asset in conjunction with its second quarter annual quantitative test. Refer to Note 13 herein for additional information.</w:t>
      </w:r>
    </w:p>
    <w:p>
      <w:pPr>
        <w:spacing w:after="0" w:line="274"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07" w:lineRule="exact"/>
        <w:rPr>
          <w:rFonts w:ascii="Arial" w:cs="Arial" w:eastAsia="Arial" w:hAnsi="Arial"/>
          <w:sz w:val="18"/>
          <w:szCs w:val="18"/>
          <w:b w:val="1"/>
          <w:bCs w:val="1"/>
          <w:color w:val="auto"/>
        </w:rPr>
      </w:pPr>
    </w:p>
    <w:p>
      <w:pPr>
        <w:ind w:left="66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On September 7, 2018, Vera Bradley Designs, Inc. (“VBD”), a wholly-owned subsidiary of the Company, entered into an asset-based revolving Credit Agreement (the “Credit Agreement”) among VBD, JPMorgan Chase Bank, N.A., as administrative agent, and the lenders from time to time party thereto. The Credit Agreement provides for certain credit facilities to VBD in an aggregate principal amount not to initially exceed the lesser of $75.0 million or the amount of borrowing availability determined in accordance with a borrowing base of certain assets. Any proceeds of the credit facilities will be used to finance general corporate purposes of VBD and its subsidiaries, including but not limited to Vera Bradley International, LLC and Vera Bradley Sales, LLC (collectively, the “Named Subsidiaries”). The Credit Agreement also contains an option for VBD to arrange with lenders to increase the aggregate principal amount by up to $25.0 million.</w:t>
      </w:r>
    </w:p>
    <w:p>
      <w:pPr>
        <w:spacing w:after="0" w:line="55" w:lineRule="exact"/>
        <w:rPr>
          <w:rFonts w:ascii="Arial" w:cs="Arial" w:eastAsia="Arial" w:hAnsi="Arial"/>
          <w:sz w:val="18"/>
          <w:szCs w:val="18"/>
          <w:b w:val="1"/>
          <w:bCs w:val="1"/>
          <w:color w:val="auto"/>
        </w:rPr>
      </w:pPr>
    </w:p>
    <w:p>
      <w:pPr>
        <w:ind w:left="660" w:right="10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Amounts outstanding under the Credit Agreement bear interest at a per annum rate equal to either (i) for CBFR borrowings (including swingline loans), the CB Floating Rate, where the CB Floating Rate is the prime rate which shall never be less than the adjusted one month LIBOR rate on such day, plus the Applicable Rate, where the Applicable Rate is a percentage spread ranging from -1.00% to -1.50% or (ii) for each eurodollar borrowing, the Adjusted LIBO Rate, where the Adjusted LIBO Rate is the LIBO rate for such interest period multiplied by the statutory reserve rate, for the interest period in effect for such borrowing, plus the Applicable Rate, where the Applicable Rate is a percentage ranging from 1.00% to 1.30%. The applicable CB Floating Rate, Adjusted LIBO Rate, or LIBO Rate shall be determined by the administrative agent. The Credit Agreement also requires VBD to pay a commitment fee for the unused portion of the revolving facility of up to 0.20% per annum.</w:t>
      </w:r>
    </w:p>
    <w:p>
      <w:pPr>
        <w:spacing w:after="0" w:line="31" w:lineRule="exact"/>
        <w:rPr>
          <w:rFonts w:ascii="Arial" w:cs="Arial" w:eastAsia="Arial" w:hAnsi="Arial"/>
          <w:sz w:val="18"/>
          <w:szCs w:val="18"/>
          <w:b w:val="1"/>
          <w:bCs w:val="1"/>
          <w:color w:val="auto"/>
        </w:rPr>
      </w:pPr>
    </w:p>
    <w:p>
      <w:pPr>
        <w:ind w:left="660" w:right="20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VBD’s obligations under the Credit Agreement are guaranteed by the Company and the Named Subsidiaries. The obligations of VBD under the Credit Agreement are secured by substantially all of the respective assets of VBD, the Company, and the Named Subsidiaries and are further secured by the equity interests in VBD and the Named Subsidiaries.</w:t>
      </w:r>
    </w:p>
    <w:p>
      <w:pPr>
        <w:spacing w:after="0" w:line="62" w:lineRule="exact"/>
        <w:rPr>
          <w:rFonts w:ascii="Arial" w:cs="Arial" w:eastAsia="Arial" w:hAnsi="Arial"/>
          <w:sz w:val="18"/>
          <w:szCs w:val="18"/>
          <w:b w:val="1"/>
          <w:bCs w:val="1"/>
          <w:color w:val="auto"/>
        </w:rPr>
      </w:pPr>
    </w:p>
    <w:p>
      <w:pPr>
        <w:ind w:left="660" w:right="20"/>
        <w:spacing w:after="0" w:line="275" w:lineRule="auto"/>
        <w:rPr>
          <w:rFonts w:ascii="Arial" w:cs="Arial" w:eastAsia="Arial" w:hAnsi="Arial"/>
          <w:sz w:val="18"/>
          <w:szCs w:val="18"/>
          <w:b w:val="1"/>
          <w:bCs w:val="1"/>
          <w:color w:val="auto"/>
        </w:rPr>
      </w:pPr>
      <w:r>
        <w:rPr>
          <w:rFonts w:ascii="Arial" w:cs="Arial" w:eastAsia="Arial" w:hAnsi="Arial"/>
          <w:sz w:val="17"/>
          <w:szCs w:val="17"/>
          <w:color w:val="auto"/>
        </w:rPr>
        <w:t>The Credit Agreement contains various affirmative and negative covenants, including restrictions on the Company's ability to incur debt or liens; engage in mergers or consolidations; make certain investments, acquisitions, loans, and advances; sell assets; enter into certain swap agreements; pay dividends or make distributions or make other restricted payments; engage in certain transactions with affiliates; and amend, modify, or waive any of its rights related to subordinated indebtedness and certain charter and other organizational, governing, and material agreements. The Company may avoid certain of such restrictions by meeting payment conditions defined in the Credit Agreement.</w:t>
      </w:r>
    </w:p>
    <w:p>
      <w:pPr>
        <w:spacing w:after="0" w:line="54" w:lineRule="exact"/>
        <w:rPr>
          <w:rFonts w:ascii="Arial" w:cs="Arial" w:eastAsia="Arial" w:hAnsi="Arial"/>
          <w:sz w:val="18"/>
          <w:szCs w:val="18"/>
          <w:b w:val="1"/>
          <w:bCs w:val="1"/>
          <w:color w:val="auto"/>
        </w:rPr>
      </w:pPr>
    </w:p>
    <w:p>
      <w:pPr>
        <w:ind w:left="6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Credit Agreement also requires the Loan Parties to maintain a minimum fixed charge coverage ratio of 1.00 during periods when borrowing availability is less than the greater of (A) approximately $7.5 million, and (B) 10% of the lesser of (i) the aggregate revolving commitment, and (ii) the borrowing base. The fixed charge coverage ratio, availability, aggregate revolving commitment, and the borrowing base are further defined in the Credit Agreement.</w:t>
      </w:r>
    </w:p>
    <w:p>
      <w:pPr>
        <w:spacing w:after="0" w:line="52" w:lineRule="exact"/>
        <w:rPr>
          <w:sz w:val="20"/>
          <w:szCs w:val="20"/>
          <w:color w:val="auto"/>
        </w:rPr>
      </w:pPr>
    </w:p>
    <w:p>
      <w:pPr>
        <w:ind w:left="660" w:right="80"/>
        <w:spacing w:after="0" w:line="287" w:lineRule="auto"/>
        <w:rPr>
          <w:sz w:val="20"/>
          <w:szCs w:val="20"/>
          <w:color w:val="auto"/>
        </w:rPr>
      </w:pPr>
      <w:r>
        <w:rPr>
          <w:rFonts w:ascii="Arial" w:cs="Arial" w:eastAsia="Arial" w:hAnsi="Arial"/>
          <w:sz w:val="16"/>
          <w:szCs w:val="16"/>
          <w:color w:val="auto"/>
        </w:rPr>
        <w:t>The Credit Agreement contains customary events of default, including, among other things: (i) the failure to pay any principal, interest, or other fees under the Credit Agreement; (ii) the making of any materially incorrect representation or warranty; (iii) the failure to observe or perform any covenant, condition, or agreement in the Credit Agreement or related agreements; (iv) a cross default with respect to other material indebtedness;</w:t>
      </w:r>
    </w:p>
    <w:p>
      <w:pPr>
        <w:spacing w:after="0" w:line="2" w:lineRule="exact"/>
        <w:rPr>
          <w:sz w:val="20"/>
          <w:szCs w:val="20"/>
          <w:color w:val="auto"/>
        </w:rPr>
      </w:pPr>
    </w:p>
    <w:p>
      <w:pPr>
        <w:ind w:left="660" w:right="420" w:hanging="4"/>
        <w:spacing w:after="0" w:line="255" w:lineRule="auto"/>
        <w:tabs>
          <w:tab w:leader="none" w:pos="915"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bankruptcy and insolvency events; (vi) unsatisfied material final judgments; (vii) Employee Retirement Income Security Act of 1974 (“ERISA”) events that could reasonably be expected to have a material adverse effect; and (viii) a change in control (as defined in the Credit Agreement).</w:t>
      </w:r>
    </w:p>
    <w:p>
      <w:pPr>
        <w:spacing w:after="0" w:line="68" w:lineRule="exact"/>
        <w:rPr>
          <w:sz w:val="20"/>
          <w:szCs w:val="20"/>
          <w:color w:val="auto"/>
        </w:rPr>
      </w:pPr>
    </w:p>
    <w:p>
      <w:pPr>
        <w:ind w:left="660" w:right="620"/>
        <w:spacing w:after="0" w:line="277" w:lineRule="auto"/>
        <w:rPr>
          <w:sz w:val="20"/>
          <w:szCs w:val="20"/>
          <w:color w:val="auto"/>
        </w:rPr>
      </w:pPr>
      <w:r>
        <w:rPr>
          <w:rFonts w:ascii="Arial" w:cs="Arial" w:eastAsia="Arial" w:hAnsi="Arial"/>
          <w:sz w:val="18"/>
          <w:szCs w:val="18"/>
          <w:color w:val="auto"/>
        </w:rPr>
        <w:t>As of July 29, 2023 and January 28, 2023, the Company had no borrowings outstanding and availability of $75.0 million under the Credit Agreement.</w:t>
      </w:r>
    </w:p>
    <w:p>
      <w:pPr>
        <w:spacing w:after="0" w:line="4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Subsequent Event</w:t>
      </w:r>
    </w:p>
    <w:p>
      <w:pPr>
        <w:spacing w:after="0" w:line="90" w:lineRule="exact"/>
        <w:rPr>
          <w:sz w:val="20"/>
          <w:szCs w:val="20"/>
          <w:color w:val="auto"/>
        </w:rPr>
      </w:pPr>
    </w:p>
    <w:p>
      <w:pPr>
        <w:jc w:val="both"/>
        <w:ind w:left="660" w:right="580"/>
        <w:spacing w:after="0" w:line="263" w:lineRule="auto"/>
        <w:rPr>
          <w:sz w:val="20"/>
          <w:szCs w:val="20"/>
          <w:color w:val="auto"/>
        </w:rPr>
      </w:pPr>
      <w:r>
        <w:rPr>
          <w:rFonts w:ascii="Arial" w:cs="Arial" w:eastAsia="Arial" w:hAnsi="Arial"/>
          <w:sz w:val="18"/>
          <w:szCs w:val="18"/>
          <w:color w:val="auto"/>
        </w:rPr>
        <w:t>Subsequent to the end of the second quarter, on August 3, 2023, certain subsidiaries of the Company, JP Morgan Chase Bank, N.A., as the administrative agent, and lenders from time to time party thereto, entered into a Third Amendment (the “Third Amendment”) to the Credit Agreement dated September 7, 2018.</w:t>
      </w: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1" w:lineRule="exact"/>
        <w:rPr>
          <w:sz w:val="20"/>
          <w:szCs w:val="20"/>
          <w:color w:val="auto"/>
        </w:rPr>
      </w:pPr>
    </w:p>
    <w:p>
      <w:pPr>
        <w:ind w:left="660" w:right="100"/>
        <w:spacing w:after="0" w:line="254" w:lineRule="auto"/>
        <w:rPr>
          <w:sz w:val="20"/>
          <w:szCs w:val="20"/>
          <w:color w:val="auto"/>
        </w:rPr>
      </w:pPr>
      <w:r>
        <w:rPr>
          <w:rFonts w:ascii="Arial" w:cs="Arial" w:eastAsia="Arial" w:hAnsi="Arial"/>
          <w:sz w:val="18"/>
          <w:szCs w:val="18"/>
          <w:color w:val="auto"/>
        </w:rPr>
        <w:t>The Third Amendment amended the Credit Agreement to, among other things: extend the maturity date to May 2028; add Creative Genius, LLC as a borrower; increase an option for the borrowers to arrange with lenders to increase the aggregate principal amount by up to $50.0 million; update the commitment fee rate to 0.20% or 0.30% depending on the average quarterly utilization; update the interest rate per annum for the CB Floating Rate to the greater of the prime rate or 2.5% and remove references to the London Interbank Offered Rate (“LIBOR”) (in the case of a CBFR borrowings including swingline loans); remove references to eurodollar borrowings and replace with term benchmark borrowings where the interest rate per annum is the adjusted term Secured Overnight Financing Rate (“SOFR”), as defined in the Third Amendment to the Credit Agreement; and add RFR borrowings where the interest rate per annum is the adjusted daily simple SOFR, as defined in the Third Amendment to the Credit Agreement.</w:t>
      </w:r>
    </w:p>
    <w:p>
      <w:pPr>
        <w:spacing w:after="0" w:line="57" w:lineRule="exact"/>
        <w:rPr>
          <w:sz w:val="20"/>
          <w:szCs w:val="20"/>
          <w:color w:val="auto"/>
        </w:rPr>
      </w:pPr>
    </w:p>
    <w:p>
      <w:pPr>
        <w:ind w:left="660" w:right="460"/>
        <w:spacing w:after="0" w:line="291" w:lineRule="auto"/>
        <w:rPr>
          <w:sz w:val="20"/>
          <w:szCs w:val="20"/>
          <w:color w:val="auto"/>
        </w:rPr>
      </w:pPr>
      <w:r>
        <w:rPr>
          <w:rFonts w:ascii="Arial" w:cs="Arial" w:eastAsia="Arial" w:hAnsi="Arial"/>
          <w:sz w:val="16"/>
          <w:szCs w:val="16"/>
          <w:color w:val="auto"/>
        </w:rPr>
        <w:t>The Third Amendment also modified the periods that the fixed charge coverage ratio is not permitted to be less than 1.00. The borrowers are required to maintain the fixed charge coverage ratio for periods when borrowing availability is less than the greater of (A) approximately</w:t>
      </w:r>
    </w:p>
    <w:p>
      <w:pPr>
        <w:ind w:left="660" w:right="80"/>
        <w:spacing w:after="0" w:line="260" w:lineRule="auto"/>
        <w:rPr>
          <w:sz w:val="20"/>
          <w:szCs w:val="20"/>
          <w:color w:val="auto"/>
        </w:rPr>
      </w:pPr>
      <w:r>
        <w:rPr>
          <w:rFonts w:ascii="Arial" w:cs="Arial" w:eastAsia="Arial" w:hAnsi="Arial"/>
          <w:sz w:val="18"/>
          <w:szCs w:val="18"/>
          <w:color w:val="auto"/>
        </w:rPr>
        <w:t>$9.4 million, and (B) 12.5% of the lesser of (i) the aggregate revolving commitment, and (ii) the borrowing base. The fixed charge coverage ratio, availability, aggregate revolving commitment, and the borrowing base are further defined in the Credit Agreement.</w:t>
      </w:r>
    </w:p>
    <w:p>
      <w:pPr>
        <w:spacing w:after="0" w:line="208"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07" w:lineRule="exact"/>
        <w:rPr>
          <w:rFonts w:ascii="Arial" w:cs="Arial" w:eastAsia="Arial" w:hAnsi="Arial"/>
          <w:sz w:val="18"/>
          <w:szCs w:val="18"/>
          <w:b w:val="1"/>
          <w:bCs w:val="1"/>
          <w:color w:val="auto"/>
        </w:rPr>
      </w:pPr>
    </w:p>
    <w:p>
      <w:pPr>
        <w:ind w:left="660" w:right="8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The provision for income taxes for interim periods is based on an estimate of the annual effective tax rate adjusted to reflect the impact of discrete items. Management judgment is required in projecting ordinary income to estimate the Company’s annual effective tax rate.</w:t>
      </w:r>
    </w:p>
    <w:p>
      <w:pPr>
        <w:spacing w:after="0" w:line="24" w:lineRule="exact"/>
        <w:rPr>
          <w:rFonts w:ascii="Arial" w:cs="Arial" w:eastAsia="Arial" w:hAnsi="Arial"/>
          <w:sz w:val="18"/>
          <w:szCs w:val="18"/>
          <w:b w:val="1"/>
          <w:bCs w:val="1"/>
          <w:color w:val="auto"/>
        </w:rPr>
      </w:pPr>
    </w:p>
    <w:p>
      <w:pPr>
        <w:ind w:left="660" w:right="10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The effective tax rate for the thirteen weeks ended July 29, 2023, was 28.0%, compared to 13.9% for the thirteen weeks ended July 30, 2022. The year-over-year effective tax rate increase was primarily due to the relative impact of permanent items in the current-year period compared to the prior-year period, primarily as a result of noncontrolling interest in the prior-year period and non-deductible executive compensation.</w:t>
      </w:r>
    </w:p>
    <w:p>
      <w:pPr>
        <w:spacing w:after="0" w:line="13" w:lineRule="exact"/>
        <w:rPr>
          <w:rFonts w:ascii="Arial" w:cs="Arial" w:eastAsia="Arial" w:hAnsi="Arial"/>
          <w:sz w:val="18"/>
          <w:szCs w:val="18"/>
          <w:b w:val="1"/>
          <w:bCs w:val="1"/>
          <w:color w:val="auto"/>
        </w:rPr>
      </w:pPr>
    </w:p>
    <w:p>
      <w:pPr>
        <w:ind w:left="6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effective tax rate for the twenty-six weeks ended July 29, 2023, was 29.0%, compared to 14.7% for the twenty-six weeks ended July 30, 2022. The year-over-year effective tax rate increase was primarily due to the relative impact of permanent and discrete items in the current-year period compared to the prior-year period, primarily as a result of stock-based compensation, noncontrolling interest in the prior-year period, and non-deductible executive compensation.</w:t>
      </w:r>
    </w:p>
    <w:p>
      <w:pPr>
        <w:spacing w:after="0" w:line="65" w:lineRule="exact"/>
        <w:rPr>
          <w:rFonts w:ascii="Arial" w:cs="Arial" w:eastAsia="Arial" w:hAnsi="Arial"/>
          <w:sz w:val="18"/>
          <w:szCs w:val="18"/>
          <w:b w:val="1"/>
          <w:bCs w:val="1"/>
          <w:color w:val="auto"/>
        </w:rPr>
      </w:pPr>
    </w:p>
    <w:p>
      <w:pPr>
        <w:ind w:left="660" w:right="1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Refer to Note 12 herein for information regarding the deferred income tax adjustment associated with the purchase of the remaining 25% interest in Pura Vida on January 30, 2023.</w:t>
      </w:r>
    </w:p>
    <w:p>
      <w:pPr>
        <w:spacing w:after="0" w:line="287" w:lineRule="exact"/>
        <w:rPr>
          <w:rFonts w:ascii="Arial" w:cs="Arial" w:eastAsia="Arial" w:hAnsi="Arial"/>
          <w:sz w:val="18"/>
          <w:szCs w:val="18"/>
          <w:b w:val="1"/>
          <w:bCs w:val="1"/>
          <w:color w:val="auto"/>
        </w:rPr>
      </w:pPr>
    </w:p>
    <w:p>
      <w:pPr>
        <w:ind w:left="660" w:hanging="652"/>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94"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recognizes stock-based compensation expense, for its awards of restricted stock units, in an amount equal to the fair market value of the underlying stock on the grant date of the respective award.</w:t>
      </w:r>
    </w:p>
    <w:p>
      <w:pPr>
        <w:spacing w:after="0" w:line="48" w:lineRule="exact"/>
        <w:rPr>
          <w:rFonts w:ascii="Arial" w:cs="Arial" w:eastAsia="Arial" w:hAnsi="Arial"/>
          <w:sz w:val="18"/>
          <w:szCs w:val="18"/>
          <w:b w:val="1"/>
          <w:bCs w:val="1"/>
          <w:color w:val="auto"/>
        </w:rPr>
      </w:pPr>
    </w:p>
    <w:p>
      <w:pPr>
        <w:jc w:val="both"/>
        <w:ind w:left="660" w:right="1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Company reserved 6,000,000 shares of common stock for issuance or transfer under the 2020 Equity and Incentive Plan, as amended, which allows for grants of restricted stock units, as well as other equity awards. The Company maintains the 2010 Equity and Incentive Plan for awards granted prior to the effectiveness of the 2020 Equity and Incentive Plan.</w:t>
      </w:r>
    </w:p>
    <w:p>
      <w:pPr>
        <w:spacing w:after="0" w:line="224"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Awards of Restricted Stock Units</w:t>
      </w:r>
    </w:p>
    <w:p>
      <w:pPr>
        <w:spacing w:after="0" w:line="333" w:lineRule="exact"/>
        <w:rPr>
          <w:rFonts w:ascii="Arial" w:cs="Arial" w:eastAsia="Arial" w:hAnsi="Arial"/>
          <w:sz w:val="18"/>
          <w:szCs w:val="18"/>
          <w:b w:val="1"/>
          <w:bCs w:val="1"/>
          <w:color w:val="auto"/>
        </w:rPr>
      </w:pPr>
    </w:p>
    <w:p>
      <w:pPr>
        <w:jc w:val="both"/>
        <w:ind w:left="660" w:right="28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During the thirteen weeks ended July 29, 2023, the Company granted 195,617 time-based and performance-based restricted stock units with an aggregate fair value of $1.1 million to certain employees under the 2020 Equity and Incentive Plan. The company did not grant restricted stock units during the thirteen weeks ended July 30, 2022.</w:t>
      </w:r>
    </w:p>
    <w:p>
      <w:pPr>
        <w:spacing w:after="0" w:line="224" w:lineRule="exact"/>
        <w:rPr>
          <w:rFonts w:ascii="Arial" w:cs="Arial" w:eastAsia="Arial" w:hAnsi="Arial"/>
          <w:sz w:val="18"/>
          <w:szCs w:val="18"/>
          <w:b w:val="1"/>
          <w:bCs w:val="1"/>
          <w:color w:val="auto"/>
        </w:rPr>
      </w:pPr>
    </w:p>
    <w:p>
      <w:pPr>
        <w:ind w:left="660" w:right="8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During the twenty-six weeks ended July 29, 2023, the Company granted 738,187 time-based and performance-based restricted stock units with an aggregate fair value of $4.3 million to certain employees and non-employee directors under the 2020 Equity and Incentive Plan compared to 841,369 time-based and performance-based restricted stock units with an aggregate fair value of $6.3 million in the same period of the prior year.</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9" w:lineRule="exact"/>
        <w:rPr>
          <w:sz w:val="20"/>
          <w:szCs w:val="20"/>
          <w:color w:val="auto"/>
        </w:rPr>
      </w:pPr>
    </w:p>
    <w:p>
      <w:pPr>
        <w:ind w:left="660" w:right="120"/>
        <w:spacing w:after="0" w:line="259" w:lineRule="auto"/>
        <w:rPr>
          <w:sz w:val="20"/>
          <w:szCs w:val="20"/>
          <w:color w:val="auto"/>
        </w:rPr>
      </w:pPr>
      <w:r>
        <w:rPr>
          <w:rFonts w:ascii="Arial" w:cs="Arial" w:eastAsia="Arial" w:hAnsi="Arial"/>
          <w:sz w:val="18"/>
          <w:szCs w:val="18"/>
          <w:color w:val="auto"/>
        </w:rPr>
        <w:t>The majority of the time-based restricted stock units vest and settle in shares of the Company’s common stock, on a one-for-one basis, in equal installments on each of the first three anniversaries of the grant date. Restricted stock units issued to non-employee directors vest after a one-year period from the grant date. The Company recognizes the expense relating to these units, net of estimated forfeitures, on a straight-line basis over the vesting period.</w:t>
      </w:r>
    </w:p>
    <w:p>
      <w:pPr>
        <w:spacing w:after="0" w:line="133" w:lineRule="exact"/>
        <w:rPr>
          <w:sz w:val="20"/>
          <w:szCs w:val="20"/>
          <w:color w:val="auto"/>
        </w:rPr>
      </w:pPr>
    </w:p>
    <w:p>
      <w:pPr>
        <w:ind w:left="660" w:right="140"/>
        <w:spacing w:after="0" w:line="279" w:lineRule="auto"/>
        <w:rPr>
          <w:sz w:val="20"/>
          <w:szCs w:val="20"/>
          <w:color w:val="auto"/>
        </w:rPr>
      </w:pPr>
      <w:r>
        <w:rPr>
          <w:rFonts w:ascii="Arial" w:cs="Arial" w:eastAsia="Arial" w:hAnsi="Arial"/>
          <w:sz w:val="17"/>
          <w:szCs w:val="17"/>
          <w:color w:val="auto"/>
        </w:rPr>
        <w:t>Performance-based restricted stock units vest upon the completion of a three-year period of time (cliff vesting), subject to the employee’s continuing employment throughout and the Company’s achievement of annual earnings per share targets, or other Company performance targets, during the three-year performance period. The Company recognizes the expense relating to these units, net of estimated forfeitures, based on the probable outcome of achievement of the financial targets, on a straight-line basis over three years.</w:t>
      </w:r>
    </w:p>
    <w:p>
      <w:pPr>
        <w:spacing w:after="0" w:line="5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sets forth a summary of restricted stock unit activity for the twenty-six weeks ended July 29, 2023 (units in thousands):</w:t>
      </w:r>
    </w:p>
    <w:p>
      <w:pPr>
        <w:spacing w:after="0" w:line="36"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1720" w:type="dxa"/>
            <w:vAlign w:val="bottom"/>
            <w:gridSpan w:val="3"/>
          </w:tcPr>
          <w:p>
            <w:pPr>
              <w:jc w:val="center"/>
              <w:ind w:left="918"/>
              <w:spacing w:after="0"/>
              <w:rPr>
                <w:sz w:val="20"/>
                <w:szCs w:val="20"/>
                <w:color w:val="auto"/>
              </w:rPr>
            </w:pPr>
            <w:r>
              <w:rPr>
                <w:rFonts w:ascii="Arial" w:cs="Arial" w:eastAsia="Arial" w:hAnsi="Arial"/>
                <w:sz w:val="14"/>
                <w:szCs w:val="14"/>
                <w:b w:val="1"/>
                <w:bCs w:val="1"/>
                <w:color w:val="auto"/>
                <w:w w:val="92"/>
              </w:rPr>
              <w:t>Time-based</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Performance-based</w:t>
            </w:r>
          </w:p>
        </w:tc>
        <w:tc>
          <w:tcPr>
            <w:tcW w:w="0" w:type="dxa"/>
            <w:vAlign w:val="bottom"/>
          </w:tcPr>
          <w:p>
            <w:pPr>
              <w:spacing w:after="0"/>
              <w:rPr>
                <w:sz w:val="1"/>
                <w:szCs w:val="1"/>
                <w:color w:val="auto"/>
              </w:rPr>
            </w:pPr>
          </w:p>
        </w:tc>
      </w:tr>
      <w:tr>
        <w:trPr>
          <w:trHeight w:val="196"/>
        </w:trPr>
        <w:tc>
          <w:tcPr>
            <w:tcW w:w="4380" w:type="dxa"/>
            <w:vAlign w:val="bottom"/>
          </w:tcPr>
          <w:p>
            <w:pPr>
              <w:spacing w:after="0"/>
              <w:rPr>
                <w:sz w:val="17"/>
                <w:szCs w:val="17"/>
                <w:color w:val="auto"/>
              </w:rPr>
            </w:pPr>
          </w:p>
        </w:tc>
        <w:tc>
          <w:tcPr>
            <w:tcW w:w="282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2"/>
              </w:rPr>
              <w:t>Restricted Stock Units</w:t>
            </w:r>
          </w:p>
        </w:tc>
        <w:tc>
          <w:tcPr>
            <w:tcW w:w="27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Restricted Stock Units</w:t>
            </w:r>
          </w:p>
        </w:tc>
        <w:tc>
          <w:tcPr>
            <w:tcW w:w="0" w:type="dxa"/>
            <w:vAlign w:val="bottom"/>
          </w:tcPr>
          <w:p>
            <w:pPr>
              <w:spacing w:after="0"/>
              <w:rPr>
                <w:sz w:val="1"/>
                <w:szCs w:val="1"/>
                <w:color w:val="auto"/>
              </w:rPr>
            </w:pPr>
          </w:p>
        </w:tc>
      </w:tr>
      <w:tr>
        <w:trPr>
          <w:trHeight w:val="135"/>
        </w:trPr>
        <w:tc>
          <w:tcPr>
            <w:tcW w:w="4380" w:type="dxa"/>
            <w:vAlign w:val="bottom"/>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ind w:right="280"/>
              <w:spacing w:after="0" w:line="135" w:lineRule="exact"/>
              <w:rPr>
                <w:sz w:val="20"/>
                <w:szCs w:val="20"/>
                <w:color w:val="auto"/>
              </w:rPr>
            </w:pPr>
            <w:r>
              <w:rPr>
                <w:rFonts w:ascii="Arial" w:cs="Arial" w:eastAsia="Arial" w:hAnsi="Arial"/>
                <w:sz w:val="14"/>
                <w:szCs w:val="14"/>
                <w:b w:val="1"/>
                <w:bCs w:val="1"/>
                <w:color w:val="auto"/>
                <w:w w:val="94"/>
              </w:rPr>
              <w:t>Weighted-</w:t>
            </w:r>
          </w:p>
        </w:tc>
        <w:tc>
          <w:tcPr>
            <w:tcW w:w="100" w:type="dxa"/>
            <w:vAlign w:val="bottom"/>
          </w:tcPr>
          <w:p>
            <w:pPr>
              <w:spacing w:after="0"/>
              <w:rPr>
                <w:sz w:val="11"/>
                <w:szCs w:val="11"/>
                <w:color w:val="auto"/>
              </w:rPr>
            </w:pPr>
          </w:p>
        </w:tc>
        <w:tc>
          <w:tcPr>
            <w:tcW w:w="12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center"/>
              <w:ind w:right="160"/>
              <w:spacing w:after="0" w:line="135" w:lineRule="exact"/>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39"/>
        </w:trPr>
        <w:tc>
          <w:tcPr>
            <w:tcW w:w="43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gridSpan w:val="2"/>
          </w:tcPr>
          <w:p>
            <w:pPr>
              <w:jc w:val="center"/>
              <w:ind w:right="440"/>
              <w:spacing w:after="0" w:line="139" w:lineRule="exact"/>
              <w:rPr>
                <w:sz w:val="20"/>
                <w:szCs w:val="20"/>
                <w:color w:val="auto"/>
              </w:rPr>
            </w:pPr>
            <w:r>
              <w:rPr>
                <w:rFonts w:ascii="Arial" w:cs="Arial" w:eastAsia="Arial" w:hAnsi="Arial"/>
                <w:sz w:val="14"/>
                <w:szCs w:val="14"/>
                <w:b w:val="1"/>
                <w:bCs w:val="1"/>
                <w:color w:val="auto"/>
                <w:w w:val="90"/>
              </w:rPr>
              <w:t>Average</w:t>
            </w: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ind w:right="180"/>
              <w:spacing w:after="0" w:line="13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43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rPr>
              <w:t>Grant</w:t>
            </w: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ind w:right="180"/>
              <w:spacing w:after="0" w:line="149" w:lineRule="exact"/>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144"/>
        </w:trPr>
        <w:tc>
          <w:tcPr>
            <w:tcW w:w="4380" w:type="dxa"/>
            <w:vAlign w:val="bottom"/>
          </w:tcPr>
          <w:p>
            <w:pPr>
              <w:spacing w:after="0"/>
              <w:rPr>
                <w:sz w:val="12"/>
                <w:szCs w:val="12"/>
                <w:color w:val="auto"/>
              </w:rPr>
            </w:pP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gridSpan w:val="2"/>
          </w:tcPr>
          <w:p>
            <w:pPr>
              <w:jc w:val="center"/>
              <w:ind w:right="460"/>
              <w:spacing w:after="0" w:line="145" w:lineRule="exact"/>
              <w:rPr>
                <w:sz w:val="20"/>
                <w:szCs w:val="20"/>
                <w:color w:val="auto"/>
              </w:rPr>
            </w:pPr>
            <w:r>
              <w:rPr>
                <w:rFonts w:ascii="Arial" w:cs="Arial" w:eastAsia="Arial" w:hAnsi="Arial"/>
                <w:sz w:val="14"/>
                <w:szCs w:val="14"/>
                <w:b w:val="1"/>
                <w:bCs w:val="1"/>
                <w:color w:val="auto"/>
              </w:rPr>
              <w:t>Date Fair</w:t>
            </w:r>
          </w:p>
        </w:tc>
        <w:tc>
          <w:tcPr>
            <w:tcW w:w="128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ind w:right="160"/>
              <w:spacing w:after="0" w:line="145" w:lineRule="exact"/>
              <w:rPr>
                <w:sz w:val="20"/>
                <w:szCs w:val="20"/>
                <w:color w:val="auto"/>
              </w:rPr>
            </w:pPr>
            <w:r>
              <w:rPr>
                <w:rFonts w:ascii="Arial" w:cs="Arial" w:eastAsia="Arial" w:hAnsi="Arial"/>
                <w:sz w:val="14"/>
                <w:szCs w:val="14"/>
                <w:b w:val="1"/>
                <w:bCs w:val="1"/>
                <w:color w:val="auto"/>
              </w:rPr>
              <w:t>Date Fair</w:t>
            </w:r>
          </w:p>
        </w:tc>
        <w:tc>
          <w:tcPr>
            <w:tcW w:w="0" w:type="dxa"/>
            <w:vAlign w:val="bottom"/>
          </w:tcPr>
          <w:p>
            <w:pPr>
              <w:spacing w:after="0"/>
              <w:rPr>
                <w:sz w:val="1"/>
                <w:szCs w:val="1"/>
                <w:color w:val="auto"/>
              </w:rPr>
            </w:pPr>
          </w:p>
        </w:tc>
      </w:tr>
      <w:tr>
        <w:trPr>
          <w:trHeight w:val="148"/>
        </w:trPr>
        <w:tc>
          <w:tcPr>
            <w:tcW w:w="438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6"/>
              </w:rPr>
              <w:t>Value</w:t>
            </w:r>
          </w:p>
        </w:tc>
        <w:tc>
          <w:tcPr>
            <w:tcW w:w="12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96"/>
        </w:trPr>
        <w:tc>
          <w:tcPr>
            <w:tcW w:w="438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1"/>
              </w:rPr>
              <w:t>Units</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8"/>
              </w:rPr>
              <w:t>(per unit)</w:t>
            </w:r>
          </w:p>
        </w:tc>
        <w:tc>
          <w:tcPr>
            <w:tcW w:w="1280" w:type="dxa"/>
            <w:vAlign w:val="bottom"/>
          </w:tcPr>
          <w:p>
            <w:pPr>
              <w:ind w:left="480"/>
              <w:spacing w:after="0"/>
              <w:rPr>
                <w:sz w:val="20"/>
                <w:szCs w:val="20"/>
                <w:color w:val="auto"/>
              </w:rPr>
            </w:pPr>
            <w:r>
              <w:rPr>
                <w:rFonts w:ascii="Arial" w:cs="Arial" w:eastAsia="Arial" w:hAnsi="Arial"/>
                <w:sz w:val="14"/>
                <w:szCs w:val="14"/>
                <w:b w:val="1"/>
                <w:bCs w:val="1"/>
                <w:color w:val="auto"/>
              </w:rPr>
              <w:t>Units</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center"/>
              <w:ind w:right="160"/>
              <w:spacing w:after="0"/>
              <w:rPr>
                <w:sz w:val="20"/>
                <w:szCs w:val="20"/>
                <w:color w:val="auto"/>
              </w:rPr>
            </w:pPr>
            <w:r>
              <w:rPr>
                <w:rFonts w:ascii="Arial" w:cs="Arial" w:eastAsia="Arial" w:hAnsi="Arial"/>
                <w:sz w:val="14"/>
                <w:szCs w:val="14"/>
                <w:b w:val="1"/>
                <w:bCs w:val="1"/>
                <w:color w:val="auto"/>
                <w:w w:val="98"/>
              </w:rPr>
              <w:t>(per unit)</w:t>
            </w:r>
          </w:p>
        </w:tc>
        <w:tc>
          <w:tcPr>
            <w:tcW w:w="0" w:type="dxa"/>
            <w:vAlign w:val="bottom"/>
          </w:tcPr>
          <w:p>
            <w:pPr>
              <w:spacing w:after="0"/>
              <w:rPr>
                <w:sz w:val="1"/>
                <w:szCs w:val="1"/>
                <w:color w:val="auto"/>
              </w:rPr>
            </w:pPr>
          </w:p>
        </w:tc>
      </w:tr>
      <w:tr>
        <w:trPr>
          <w:trHeight w:val="229"/>
        </w:trPr>
        <w:tc>
          <w:tcPr>
            <w:tcW w:w="4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units outstanding at January 28, 2023</w:t>
            </w:r>
          </w:p>
        </w:tc>
        <w:tc>
          <w:tcPr>
            <w:tcW w:w="1260" w:type="dxa"/>
            <w:vAlign w:val="bottom"/>
            <w:tcBorders>
              <w:top w:val="single" w:sz="8" w:color="auto"/>
            </w:tcBorders>
            <w:shd w:val="clear" w:color="auto" w:fill="CCEEFF"/>
          </w:tcPr>
          <w:p>
            <w:pPr>
              <w:jc w:val="center"/>
              <w:ind w:left="758"/>
              <w:spacing w:after="0"/>
              <w:rPr>
                <w:sz w:val="20"/>
                <w:szCs w:val="20"/>
                <w:color w:val="auto"/>
              </w:rPr>
            </w:pPr>
            <w:r>
              <w:rPr>
                <w:rFonts w:ascii="Arial" w:cs="Arial" w:eastAsia="Arial" w:hAnsi="Arial"/>
                <w:sz w:val="18"/>
                <w:szCs w:val="18"/>
                <w:color w:val="auto"/>
                <w:w w:val="86"/>
              </w:rPr>
              <w:t>965</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523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30"/>
        </w:trPr>
        <w:tc>
          <w:tcPr>
            <w:tcW w:w="4380" w:type="dxa"/>
            <w:vAlign w:val="bottom"/>
          </w:tcPr>
          <w:p>
            <w:pPr>
              <w:ind w:left="20"/>
              <w:spacing w:after="0"/>
              <w:rPr>
                <w:sz w:val="20"/>
                <w:szCs w:val="20"/>
                <w:color w:val="auto"/>
              </w:rPr>
            </w:pPr>
            <w:r>
              <w:rPr>
                <w:rFonts w:ascii="Arial" w:cs="Arial" w:eastAsia="Arial" w:hAnsi="Arial"/>
                <w:sz w:val="18"/>
                <w:szCs w:val="18"/>
                <w:color w:val="auto"/>
              </w:rPr>
              <w:t>Granted</w:t>
            </w:r>
          </w:p>
        </w:tc>
        <w:tc>
          <w:tcPr>
            <w:tcW w:w="1260" w:type="dxa"/>
            <w:vAlign w:val="bottom"/>
          </w:tcPr>
          <w:p>
            <w:pPr>
              <w:jc w:val="center"/>
              <w:ind w:left="758"/>
              <w:spacing w:after="0"/>
              <w:rPr>
                <w:sz w:val="20"/>
                <w:szCs w:val="20"/>
                <w:color w:val="auto"/>
              </w:rPr>
            </w:pPr>
            <w:r>
              <w:rPr>
                <w:rFonts w:ascii="Arial" w:cs="Arial" w:eastAsia="Arial" w:hAnsi="Arial"/>
                <w:sz w:val="18"/>
                <w:szCs w:val="18"/>
                <w:color w:val="auto"/>
                <w:w w:val="86"/>
              </w:rPr>
              <w:t>423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5.87</w:t>
            </w:r>
          </w:p>
        </w:tc>
        <w:tc>
          <w:tcPr>
            <w:tcW w:w="100" w:type="dxa"/>
            <w:vAlign w:val="bottom"/>
          </w:tcPr>
          <w:p>
            <w:pPr>
              <w:spacing w:after="0"/>
              <w:rPr>
                <w:sz w:val="19"/>
                <w:szCs w:val="19"/>
                <w:color w:val="auto"/>
              </w:rPr>
            </w:pPr>
          </w:p>
        </w:tc>
        <w:tc>
          <w:tcPr>
            <w:tcW w:w="1280" w:type="dxa"/>
            <w:vAlign w:val="bottom"/>
          </w:tcPr>
          <w:p>
            <w:pPr>
              <w:ind w:left="940"/>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29"/>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260" w:type="dxa"/>
            <w:vAlign w:val="bottom"/>
            <w:shd w:val="clear" w:color="auto" w:fill="CCEEFF"/>
          </w:tcPr>
          <w:p>
            <w:pPr>
              <w:jc w:val="center"/>
              <w:ind w:left="738"/>
              <w:spacing w:after="0"/>
              <w:rPr>
                <w:sz w:val="20"/>
                <w:szCs w:val="20"/>
                <w:color w:val="auto"/>
              </w:rPr>
            </w:pPr>
            <w:r>
              <w:rPr>
                <w:rFonts w:ascii="Arial" w:cs="Arial" w:eastAsia="Arial" w:hAnsi="Arial"/>
                <w:sz w:val="18"/>
                <w:szCs w:val="18"/>
                <w:color w:val="auto"/>
                <w:w w:val="95"/>
              </w:rPr>
              <w:t>(396)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ind w:left="940"/>
              <w:spacing w:after="0"/>
              <w:rPr>
                <w:sz w:val="20"/>
                <w:szCs w:val="20"/>
                <w:color w:val="auto"/>
              </w:rPr>
            </w:pPr>
            <w:r>
              <w:rPr>
                <w:rFonts w:ascii="Arial" w:cs="Arial" w:eastAsia="Arial" w:hAnsi="Arial"/>
                <w:sz w:val="18"/>
                <w:szCs w:val="18"/>
                <w:color w:val="auto"/>
                <w:w w:val="99"/>
              </w:rPr>
              <w:t>(94)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30"/>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260" w:type="dxa"/>
            <w:vAlign w:val="bottom"/>
            <w:tcBorders>
              <w:bottom w:val="single" w:sz="8" w:color="auto"/>
            </w:tcBorders>
          </w:tcPr>
          <w:p>
            <w:pPr>
              <w:jc w:val="center"/>
              <w:ind w:left="738"/>
              <w:spacing w:after="0"/>
              <w:rPr>
                <w:sz w:val="20"/>
                <w:szCs w:val="20"/>
                <w:color w:val="auto"/>
              </w:rPr>
            </w:pPr>
            <w:r>
              <w:rPr>
                <w:rFonts w:ascii="Arial" w:cs="Arial" w:eastAsia="Arial" w:hAnsi="Arial"/>
                <w:sz w:val="18"/>
                <w:szCs w:val="18"/>
                <w:color w:val="auto"/>
                <w:w w:val="95"/>
              </w:rPr>
              <w:t>(142)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6.07</w:t>
            </w: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w w:val="99"/>
              </w:rPr>
              <w:t>(87)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48"/>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units outstanding at July 29, 2023</w:t>
            </w:r>
          </w:p>
        </w:tc>
        <w:tc>
          <w:tcPr>
            <w:tcW w:w="1260" w:type="dxa"/>
            <w:vAlign w:val="bottom"/>
            <w:tcBorders>
              <w:bottom w:val="single" w:sz="8" w:color="auto"/>
            </w:tcBorders>
            <w:shd w:val="clear" w:color="auto" w:fill="CCEEFF"/>
          </w:tcPr>
          <w:p>
            <w:pPr>
              <w:jc w:val="center"/>
              <w:ind w:left="758"/>
              <w:spacing w:after="0"/>
              <w:rPr>
                <w:sz w:val="20"/>
                <w:szCs w:val="20"/>
                <w:color w:val="auto"/>
              </w:rPr>
            </w:pPr>
            <w:r>
              <w:rPr>
                <w:rFonts w:ascii="Arial" w:cs="Arial" w:eastAsia="Arial" w:hAnsi="Arial"/>
                <w:sz w:val="18"/>
                <w:szCs w:val="18"/>
                <w:color w:val="auto"/>
                <w:w w:val="86"/>
              </w:rPr>
              <w:t>850</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657</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660" w:right="240"/>
        <w:spacing w:after="0" w:line="342" w:lineRule="auto"/>
        <w:rPr>
          <w:sz w:val="20"/>
          <w:szCs w:val="20"/>
          <w:color w:val="auto"/>
        </w:rPr>
      </w:pPr>
      <w:r>
        <w:rPr>
          <w:rFonts w:ascii="Arial" w:cs="Arial" w:eastAsia="Arial" w:hAnsi="Arial"/>
          <w:sz w:val="16"/>
          <w:szCs w:val="16"/>
          <w:color w:val="auto"/>
        </w:rPr>
        <w:t>As of July 29, 2023, there was $5.9 million of total unrecognized compensation cost, net of estimated forfeitures, related to nonvested restricted stock units. That cost is expected to be recognized over a weighted-average period of 2.2 years, subject to meeting performance conditions.</w:t>
      </w:r>
    </w:p>
    <w:p>
      <w:pPr>
        <w:spacing w:after="0" w:line="228"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07" w:lineRule="exact"/>
        <w:rPr>
          <w:rFonts w:ascii="Arial" w:cs="Arial" w:eastAsia="Arial" w:hAnsi="Arial"/>
          <w:sz w:val="18"/>
          <w:szCs w:val="18"/>
          <w:b w:val="1"/>
          <w:bCs w:val="1"/>
          <w:color w:val="auto"/>
        </w:rPr>
      </w:pPr>
    </w:p>
    <w:p>
      <w:pPr>
        <w:ind w:left="6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Company is subject to various claims and contingencies arising in the normal course of business, including those relating to product liability, legal claims, employee benefits, environmental issues, and other matters. Management believes that at this time it is not probable that any of these claims will have a material adverse effect on the Company’s financial condition, results of operations, or cash flows. However, the outcomes of legal proceedings and claims brought against the Company are subject to uncertainty, and future developments could cause these actions or claims, individually or in aggregate, to have a material adverse effect on the Company’s financial condition, results of operations, or cash flows of a particular reporting period.</w:t>
      </w:r>
    </w:p>
    <w:p>
      <w:pPr>
        <w:spacing w:after="0" w:line="70" w:lineRule="exact"/>
        <w:rPr>
          <w:rFonts w:ascii="Arial" w:cs="Arial" w:eastAsia="Arial" w:hAnsi="Arial"/>
          <w:sz w:val="18"/>
          <w:szCs w:val="18"/>
          <w:b w:val="1"/>
          <w:bCs w:val="1"/>
          <w:color w:val="auto"/>
        </w:rPr>
      </w:pPr>
    </w:p>
    <w:p>
      <w:pPr>
        <w:ind w:left="660" w:right="40"/>
        <w:spacing w:after="0" w:line="288" w:lineRule="auto"/>
        <w:rPr>
          <w:rFonts w:ascii="Arial" w:cs="Arial" w:eastAsia="Arial" w:hAnsi="Arial"/>
          <w:sz w:val="18"/>
          <w:szCs w:val="18"/>
          <w:b w:val="1"/>
          <w:bCs w:val="1"/>
          <w:color w:val="auto"/>
        </w:rPr>
      </w:pPr>
      <w:r>
        <w:rPr>
          <w:rFonts w:ascii="Arial" w:cs="Arial" w:eastAsia="Arial" w:hAnsi="Arial"/>
          <w:sz w:val="16"/>
          <w:szCs w:val="16"/>
          <w:color w:val="auto"/>
        </w:rPr>
        <w:t>In August 2019, Vesi Incorporated (“Vesi”) filed suit against the Company in the U.S. District Court for the Southern District of Ohio related to the Company’s licensing business and alleging breach of fiduciary duty, unfair competition, defamation, and tortious interference with prospective business relationships. The complaint sought damages in an amount not less than $10.0 million for punitive damages, attorney fees, prejudgment interest, and any other additional relief. In November 2019, the Company filed a counterclaim against the principals of Vesi as personal guarantors for monies owed to the Company by Vesi. The Company filed a motion for summary judgement asking the Court to dismiss all claims with prejudice and grant judgement on its counterclaim. On January 4, 2023, the Court granted the Company’s motion for summary judgment dismissing Vesi’s claims and also granted judgment on the Company’s counterclaims against the principals of Vesi for an immaterial amount. Vesi has appealed this decision. At this time, we are not able to estimate a possible loss or range of loss that may result from this matter or to determine whether such loss, if any, would have a material adverse effect on our financial condition or results of operations. The Company is vigorously defending itself and management believes that the Company has a number of meritorious legal defenses.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107" w:lineRule="exact"/>
        <w:rPr>
          <w:rFonts w:ascii="Arial" w:cs="Arial" w:eastAsia="Arial" w:hAnsi="Arial"/>
          <w:sz w:val="18"/>
          <w:szCs w:val="18"/>
          <w:b w:val="1"/>
          <w:bCs w:val="1"/>
          <w:color w:val="auto"/>
        </w:rPr>
      </w:pPr>
    </w:p>
    <w:p>
      <w:pPr>
        <w:jc w:val="both"/>
        <w:ind w:left="660" w:right="8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In December 2021, the Company's board of directors approved a share repurchase plan (the “2021 Share Repurchase Program”) which authorized Company management to utilize up to $50.0 million of available cash for repurchases of shares of the Company's common stock. The 2021 Share Repurchase Program went into effect beginning December 13, 2021 and expires in December 2024.</w:t>
      </w:r>
    </w:p>
    <w:p>
      <w:pPr>
        <w:spacing w:after="0" w:line="30" w:lineRule="exact"/>
        <w:rPr>
          <w:rFonts w:ascii="Arial" w:cs="Arial" w:eastAsia="Arial" w:hAnsi="Arial"/>
          <w:sz w:val="18"/>
          <w:szCs w:val="18"/>
          <w:b w:val="1"/>
          <w:bCs w:val="1"/>
          <w:color w:val="auto"/>
        </w:rPr>
      </w:pPr>
    </w:p>
    <w:p>
      <w:pPr>
        <w:ind w:left="660" w:right="18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The Company purchased 248,320 shares at an average price of $5.70 per share, excluding commissions, for an aggregate amount of $1.4 million during the twenty-six weeks ended July 29, 2023 under the 2021 Share Repurchase Program. There was $26.3 million remaining available to repurchase shares of the Company's common stock under the 2021 Share Repurchase Program as of July 29, 2023.</w:t>
      </w:r>
    </w:p>
    <w:p>
      <w:pPr>
        <w:spacing w:after="0" w:line="27" w:lineRule="exact"/>
        <w:rPr>
          <w:rFonts w:ascii="Arial" w:cs="Arial" w:eastAsia="Arial" w:hAnsi="Arial"/>
          <w:sz w:val="18"/>
          <w:szCs w:val="18"/>
          <w:b w:val="1"/>
          <w:bCs w:val="1"/>
          <w:color w:val="auto"/>
        </w:rPr>
      </w:pPr>
    </w:p>
    <w:p>
      <w:pPr>
        <w:ind w:left="660" w:right="2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As of July 29, 2023, the Company held as treasury shares 12,328,010 shares of its common stock at an average price of $10.89 per share, excluding commissions, for an aggregate carrying amount of $134.3 million. The Company’s treasury shares may be issued under the 2010 Equity and Incentive Plan (with respect to outstanding awards under that plan), under the 2020 Equity and Incentive Plan, or for other corporate purposes.</w:t>
      </w:r>
    </w:p>
    <w:p>
      <w:pPr>
        <w:spacing w:after="0" w:line="266" w:lineRule="exact"/>
        <w:rPr>
          <w:rFonts w:ascii="Arial" w:cs="Arial" w:eastAsia="Arial" w:hAnsi="Arial"/>
          <w:sz w:val="18"/>
          <w:szCs w:val="18"/>
          <w:b w:val="1"/>
          <w:bCs w:val="1"/>
          <w:color w:val="auto"/>
        </w:rPr>
      </w:pPr>
    </w:p>
    <w:p>
      <w:pPr>
        <w:ind w:left="640" w:hanging="632"/>
        <w:spacing w:after="0"/>
        <w:tabs>
          <w:tab w:leader="none" w:pos="6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Cloud Computing Arrangements</w:t>
      </w:r>
    </w:p>
    <w:p>
      <w:pPr>
        <w:spacing w:after="0" w:line="94" w:lineRule="exact"/>
        <w:rPr>
          <w:rFonts w:ascii="Arial" w:cs="Arial" w:eastAsia="Arial" w:hAnsi="Arial"/>
          <w:sz w:val="18"/>
          <w:szCs w:val="18"/>
          <w:b w:val="1"/>
          <w:bCs w:val="1"/>
          <w:color w:val="auto"/>
        </w:rPr>
      </w:pPr>
    </w:p>
    <w:p>
      <w:pPr>
        <w:ind w:left="660" w:right="40"/>
        <w:spacing w:after="0" w:line="267" w:lineRule="auto"/>
        <w:rPr>
          <w:rFonts w:ascii="Arial" w:cs="Arial" w:eastAsia="Arial" w:hAnsi="Arial"/>
          <w:sz w:val="18"/>
          <w:szCs w:val="18"/>
          <w:b w:val="1"/>
          <w:bCs w:val="1"/>
          <w:color w:val="auto"/>
        </w:rPr>
      </w:pPr>
      <w:r>
        <w:rPr>
          <w:rFonts w:ascii="Arial" w:cs="Arial" w:eastAsia="Arial" w:hAnsi="Arial"/>
          <w:sz w:val="17"/>
          <w:szCs w:val="17"/>
          <w:color w:val="auto"/>
        </w:rPr>
        <w:t>The Company capitalizes implementation costs associated with its Cloud Computing Arrangements (“CCA”) consistent with costs capitalized for internal-use software. The CCA costs are amortized over the term of the related hosting agreement, taking into consideration renewal options, if any. The renewal period is included in the amortization period if determined that the option is reasonably certain to be exercised. The amortization expense is recorded within selling, general, and administrative expenses in the Company's Condensed Consolidated Statements of Operations, which is within the same line item as the related hosting fees. The balance of the unamortized CCA implementation costs totaled $4.9 million and $6.4 million as of July 29, 2023 and January 28, 2023, respectively. Of this total, $2.8 million and $3.0 million was recorded within prepaid expenses and other current assets and $2.1 million and $3.4 million was recorded within other assets on the Company's Condensed Consolidated Balance Sheets as of July 29, 2023 and January 28, 2023, respectively. The CCA implementation costs are recorded within operating activities in the Company's Condensed Consolidated Statements of Cash Flows.</w:t>
      </w:r>
    </w:p>
    <w:p>
      <w:pPr>
        <w:spacing w:after="0" w:line="1" w:lineRule="exact"/>
        <w:rPr>
          <w:rFonts w:ascii="Arial" w:cs="Arial" w:eastAsia="Arial" w:hAnsi="Arial"/>
          <w:sz w:val="18"/>
          <w:szCs w:val="18"/>
          <w:b w:val="1"/>
          <w:bCs w:val="1"/>
          <w:color w:val="auto"/>
        </w:rPr>
      </w:pPr>
    </w:p>
    <w:p>
      <w:pPr>
        <w:ind w:left="660" w:hanging="652"/>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Redeemable Noncontrolling Interest</w:t>
      </w:r>
    </w:p>
    <w:p>
      <w:pPr>
        <w:spacing w:after="0" w:line="89" w:lineRule="exact"/>
        <w:rPr>
          <w:rFonts w:ascii="Arial" w:cs="Arial" w:eastAsia="Arial" w:hAnsi="Arial"/>
          <w:sz w:val="18"/>
          <w:szCs w:val="18"/>
          <w:b w:val="1"/>
          <w:bCs w:val="1"/>
          <w:color w:val="auto"/>
        </w:rPr>
      </w:pPr>
    </w:p>
    <w:p>
      <w:pPr>
        <w:ind w:left="660" w:right="1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Redeemable noncontrolling interest represented the remaining twenty-five percent (25%) interest in Pura Vida not acquired by the Company until January 30, 2023.</w:t>
      </w:r>
    </w:p>
    <w:p>
      <w:pPr>
        <w:spacing w:after="0" w:line="48" w:lineRule="exact"/>
        <w:rPr>
          <w:rFonts w:ascii="Arial" w:cs="Arial" w:eastAsia="Arial" w:hAnsi="Arial"/>
          <w:sz w:val="18"/>
          <w:szCs w:val="18"/>
          <w:b w:val="1"/>
          <w:bCs w:val="1"/>
          <w:color w:val="auto"/>
        </w:rPr>
      </w:pPr>
    </w:p>
    <w:p>
      <w:pPr>
        <w:ind w:left="66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On July 16, 2019, the Company purchased 75% of Pura Vida's outstanding equity interest and entered into a Put/Call Agreement with the Sellers (the “Put/Call Agreement”) providing for certain rights with respect to the purchase by the Company and sale by the Sellers of the Remaining Pura Vida Interests. On January 23, 2023, the Company and certain of its subsidiaries entered into an Interest Purchase Agreement (the “Interest Purchase Agreement”) with Creative Genius Holdings, Inc. a California corporation, Creative Genius Investments, Inc., a California corporation, Griffin Thall, and Paul Goodman (collectively “Sellers”) to purchase the remaining 25% of the outstanding membership interests (the “Remaining Pura Vida Interests”) of Creative Genius, LLC, a California limited liability company (“Pura Vida”).</w:t>
      </w:r>
    </w:p>
    <w:p>
      <w:pPr>
        <w:spacing w:after="0" w:line="42" w:lineRule="exact"/>
        <w:rPr>
          <w:rFonts w:ascii="Arial" w:cs="Arial" w:eastAsia="Arial" w:hAnsi="Arial"/>
          <w:sz w:val="18"/>
          <w:szCs w:val="18"/>
          <w:b w:val="1"/>
          <w:bCs w:val="1"/>
          <w:color w:val="auto"/>
        </w:rPr>
      </w:pPr>
    </w:p>
    <w:p>
      <w:pPr>
        <w:ind w:left="660"/>
        <w:spacing w:after="0" w:line="301" w:lineRule="auto"/>
        <w:rPr>
          <w:rFonts w:ascii="Arial" w:cs="Arial" w:eastAsia="Arial" w:hAnsi="Arial"/>
          <w:sz w:val="18"/>
          <w:szCs w:val="18"/>
          <w:b w:val="1"/>
          <w:bCs w:val="1"/>
          <w:color w:val="auto"/>
        </w:rPr>
      </w:pPr>
      <w:r>
        <w:rPr>
          <w:rFonts w:ascii="Arial" w:cs="Arial" w:eastAsia="Arial" w:hAnsi="Arial"/>
          <w:sz w:val="16"/>
          <w:szCs w:val="16"/>
          <w:color w:val="auto"/>
        </w:rPr>
        <w:t>Pursuant to the Interest Purchase Agreement, and subject to the terms and conditions thereof, on the closing date (January 30, 2023), the Company acquired the Remaining Pura Vida Interests (the “Transaction”) in exchange for cash consideration consisting of $10.0 million paid at closing, subject to certain adjustments. The Transaction was not subject to financing conditions. The Company’s existing available cash and cash equivalents funded the purchase price. Following completion of the Transaction, the Company owns 100% of the ownership interests in Pura Vida.</w:t>
      </w:r>
    </w:p>
    <w:p>
      <w:pPr>
        <w:spacing w:after="0" w:line="35" w:lineRule="exact"/>
        <w:rPr>
          <w:rFonts w:ascii="Arial" w:cs="Arial" w:eastAsia="Arial" w:hAnsi="Arial"/>
          <w:sz w:val="18"/>
          <w:szCs w:val="18"/>
          <w:b w:val="1"/>
          <w:bCs w:val="1"/>
          <w:color w:val="auto"/>
        </w:rPr>
      </w:pPr>
    </w:p>
    <w:p>
      <w:pPr>
        <w:ind w:left="660" w:right="4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Interest Purchase Agreement provides that, as of the closing of the Transaction, all rights and obligations of the Company and the Sellers under any agreements among the parties, including the Put/Call Agreement, were terminated.</w:t>
      </w:r>
    </w:p>
    <w:p>
      <w:pPr>
        <w:spacing w:after="0" w:line="48" w:lineRule="exact"/>
        <w:rPr>
          <w:rFonts w:ascii="Arial" w:cs="Arial" w:eastAsia="Arial" w:hAnsi="Arial"/>
          <w:sz w:val="18"/>
          <w:szCs w:val="18"/>
          <w:b w:val="1"/>
          <w:bCs w:val="1"/>
          <w:color w:val="auto"/>
        </w:rPr>
      </w:pPr>
    </w:p>
    <w:p>
      <w:pPr>
        <w:ind w:left="660" w:right="1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As a result of the Transaction, the Company recorded a decrease to redeemable noncontrolling interest of $10.7 million. The difference between the fair value of the consideration paid and the balance of the redeemable noncontrolling interest resulted in $0.7 million recognized in additional paid-in capital (“APIC”) during the thirteen weeks ended April 29, 2023. In addition, there was an APIC adjustment of $0.6 million related to deferred income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1" w:lineRule="exact"/>
        <w:rPr>
          <w:sz w:val="20"/>
          <w:szCs w:val="20"/>
          <w:color w:val="auto"/>
        </w:rPr>
      </w:pPr>
    </w:p>
    <w:p>
      <w:pPr>
        <w:ind w:left="660"/>
        <w:spacing w:after="0" w:line="263" w:lineRule="auto"/>
        <w:rPr>
          <w:sz w:val="20"/>
          <w:szCs w:val="20"/>
          <w:color w:val="auto"/>
        </w:rPr>
      </w:pPr>
      <w:r>
        <w:rPr>
          <w:rFonts w:ascii="Arial" w:cs="Arial" w:eastAsia="Arial" w:hAnsi="Arial"/>
          <w:sz w:val="18"/>
          <w:szCs w:val="18"/>
          <w:color w:val="auto"/>
        </w:rPr>
        <w:t>taxes for the purchase of the redeemable noncontrolling interest. The total APIC adjustment for this matter during the thirteen weeks ended April 29, 2023, was $1.3 million. Changes in redeemable noncontrolling interest for the twenty-six weeks ended July 29, 2023, were as follows (in thousands):</w:t>
      </w:r>
    </w:p>
    <w:p>
      <w:pPr>
        <w:spacing w:after="0" w:line="90" w:lineRule="exact"/>
        <w:rPr>
          <w:sz w:val="20"/>
          <w:szCs w:val="20"/>
          <w:color w:val="auto"/>
        </w:rPr>
      </w:pPr>
    </w:p>
    <w:tbl>
      <w:tblPr>
        <w:tblLayout w:type="fixed"/>
        <w:tblInd w:w="660" w:type="dxa"/>
        <w:tblCellMar>
          <w:top w:w="0" w:type="dxa"/>
          <w:left w:w="0" w:type="dxa"/>
          <w:bottom w:w="0" w:type="dxa"/>
          <w:right w:w="0" w:type="dxa"/>
        </w:tblCellMar>
      </w:tblPr>
      <w:tr>
        <w:trPr>
          <w:trHeight w:val="229"/>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January 28, 2023</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10,712</w:t>
            </w:r>
          </w:p>
        </w:tc>
      </w:tr>
      <w:tr>
        <w:trPr>
          <w:trHeight w:val="229"/>
        </w:trPr>
        <w:tc>
          <w:tcPr>
            <w:tcW w:w="8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Adjustment for purchase of noncontrolling interest</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(10,712)</w:t>
            </w:r>
          </w:p>
        </w:tc>
      </w:tr>
      <w:tr>
        <w:trPr>
          <w:trHeight w:val="248"/>
        </w:trPr>
        <w:tc>
          <w:tcPr>
            <w:tcW w:w="8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April 29, 2023 and July 29, 2023</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r>
      <w:tr>
        <w:trPr>
          <w:trHeight w:val="20"/>
        </w:trPr>
        <w:tc>
          <w:tcPr>
            <w:tcW w:w="85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Changes in redeemable noncontrolling interest for the thirteen and twenty-six weeks ended July 30, 2022, were as follows (in thousands):</w:t>
      </w:r>
    </w:p>
    <w:p>
      <w:pPr>
        <w:spacing w:after="0" w:line="143" w:lineRule="exact"/>
        <w:rPr>
          <w:sz w:val="20"/>
          <w:szCs w:val="20"/>
          <w:color w:val="auto"/>
        </w:rPr>
      </w:pPr>
    </w:p>
    <w:tbl>
      <w:tblPr>
        <w:tblLayout w:type="fixed"/>
        <w:tblInd w:w="660" w:type="dxa"/>
        <w:tblCellMar>
          <w:top w:w="0" w:type="dxa"/>
          <w:left w:w="0" w:type="dxa"/>
          <w:bottom w:w="0" w:type="dxa"/>
          <w:right w:w="0" w:type="dxa"/>
        </w:tblCellMar>
      </w:tblPr>
      <w:tr>
        <w:trPr>
          <w:trHeight w:val="229"/>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January 29, 2022</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30,974</w:t>
            </w:r>
          </w:p>
        </w:tc>
      </w:tr>
      <w:tr>
        <w:trPr>
          <w:trHeight w:val="230"/>
        </w:trPr>
        <w:tc>
          <w:tcPr>
            <w:tcW w:w="8540" w:type="dxa"/>
            <w:vAlign w:val="bottom"/>
          </w:tcPr>
          <w:p>
            <w:pPr>
              <w:ind w:left="20"/>
              <w:spacing w:after="0"/>
              <w:rPr>
                <w:sz w:val="20"/>
                <w:szCs w:val="20"/>
                <w:color w:val="auto"/>
              </w:rPr>
            </w:pPr>
            <w:r>
              <w:rPr>
                <w:rFonts w:ascii="Arial" w:cs="Arial" w:eastAsia="Arial" w:hAnsi="Arial"/>
                <w:sz w:val="18"/>
                <w:szCs w:val="18"/>
                <w:color w:val="auto"/>
              </w:rPr>
              <w:t>Net income attributable to redeemable noncontrolling interest</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264</w:t>
            </w:r>
          </w:p>
        </w:tc>
      </w:tr>
      <w:tr>
        <w:trPr>
          <w:trHeight w:val="229"/>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Distributions to redeemable noncontrolling interest</w:t>
            </w: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r>
      <w:tr>
        <w:trPr>
          <w:trHeight w:val="223"/>
        </w:trPr>
        <w:tc>
          <w:tcPr>
            <w:tcW w:w="8540" w:type="dxa"/>
            <w:vAlign w:val="bottom"/>
          </w:tcPr>
          <w:p>
            <w:pPr>
              <w:ind w:left="20"/>
              <w:spacing w:after="0"/>
              <w:rPr>
                <w:sz w:val="20"/>
                <w:szCs w:val="20"/>
                <w:color w:val="auto"/>
              </w:rPr>
            </w:pPr>
            <w:r>
              <w:rPr>
                <w:rFonts w:ascii="Arial" w:cs="Arial" w:eastAsia="Arial" w:hAnsi="Arial"/>
                <w:sz w:val="18"/>
                <w:szCs w:val="18"/>
                <w:b w:val="1"/>
                <w:bCs w:val="1"/>
                <w:color w:val="auto"/>
              </w:rPr>
              <w:t>Balance at April 30, 2022</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31,092</w:t>
            </w:r>
          </w:p>
        </w:tc>
      </w:tr>
      <w:tr>
        <w:trPr>
          <w:trHeight w:val="20"/>
        </w:trPr>
        <w:tc>
          <w:tcPr>
            <w:tcW w:w="85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23"/>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attributable to redeemable noncontrolling interest</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(7,134)</w:t>
            </w:r>
          </w:p>
        </w:tc>
      </w:tr>
      <w:tr>
        <w:trPr>
          <w:trHeight w:val="229"/>
        </w:trPr>
        <w:tc>
          <w:tcPr>
            <w:tcW w:w="8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Distributions to redeemable noncontrolling interest</w:t>
            </w: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w:t>
            </w:r>
          </w:p>
        </w:tc>
      </w:tr>
      <w:tr>
        <w:trPr>
          <w:trHeight w:val="248"/>
        </w:trPr>
        <w:tc>
          <w:tcPr>
            <w:tcW w:w="8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July 30, 2022</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23,491</w:t>
            </w:r>
          </w:p>
        </w:tc>
      </w:tr>
      <w:tr>
        <w:trPr>
          <w:trHeight w:val="20"/>
        </w:trPr>
        <w:tc>
          <w:tcPr>
            <w:tcW w:w="85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 and Goodwill</w:t>
      </w:r>
    </w:p>
    <w:p>
      <w:pPr>
        <w:spacing w:after="0" w:line="94" w:lineRule="exact"/>
        <w:rPr>
          <w:rFonts w:ascii="Arial" w:cs="Arial" w:eastAsia="Arial" w:hAnsi="Arial"/>
          <w:sz w:val="18"/>
          <w:szCs w:val="18"/>
          <w:b w:val="1"/>
          <w:bCs w:val="1"/>
          <w:color w:val="auto"/>
        </w:rPr>
      </w:pPr>
    </w:p>
    <w:p>
      <w:pPr>
        <w:ind w:left="660" w:right="3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following tables detail the carrying value of the Company's intangible assets other than goodwill related to the acquisition of a majority interest in Pura Vida. On January 30, 2023, the Company purchased the remaining 25% interest in Pura Vida.</w:t>
      </w:r>
    </w:p>
    <w:p>
      <w:pPr>
        <w:spacing w:after="0" w:line="81" w:lineRule="exact"/>
        <w:rPr>
          <w:sz w:val="20"/>
          <w:szCs w:val="20"/>
          <w:color w:val="auto"/>
        </w:rPr>
      </w:pPr>
    </w:p>
    <w:tbl>
      <w:tblPr>
        <w:tblLayout w:type="fixed"/>
        <w:tblInd w:w="660" w:type="dxa"/>
        <w:tblCellMar>
          <w:top w:w="0" w:type="dxa"/>
          <w:left w:w="0" w:type="dxa"/>
          <w:bottom w:w="0" w:type="dxa"/>
          <w:right w:w="0" w:type="dxa"/>
        </w:tblCellMar>
      </w:tblPr>
      <w:tr>
        <w:trPr>
          <w:trHeight w:val="186"/>
        </w:trPr>
        <w:tc>
          <w:tcPr>
            <w:tcW w:w="4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July 29, 2023</w:t>
            </w: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9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49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Pr>
          <w:p>
            <w:pPr>
              <w:spacing w:after="0"/>
              <w:rPr>
                <w:sz w:val="11"/>
                <w:szCs w:val="11"/>
                <w:color w:val="auto"/>
              </w:rPr>
            </w:pPr>
          </w:p>
        </w:tc>
        <w:tc>
          <w:tcPr>
            <w:tcW w:w="14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Gross Basis</w:t>
            </w:r>
          </w:p>
        </w:tc>
        <w:tc>
          <w:tcPr>
            <w:tcW w:w="220" w:type="dxa"/>
            <w:vAlign w:val="bottom"/>
          </w:tcPr>
          <w:p>
            <w:pPr>
              <w:spacing w:after="0"/>
              <w:rPr>
                <w:sz w:val="11"/>
                <w:szCs w:val="11"/>
                <w:color w:val="auto"/>
              </w:rPr>
            </w:pPr>
          </w:p>
        </w:tc>
        <w:tc>
          <w:tcPr>
            <w:tcW w:w="1460" w:type="dxa"/>
            <w:vAlign w:val="bottom"/>
            <w:gridSpan w:val="2"/>
          </w:tcPr>
          <w:p>
            <w:pPr>
              <w:jc w:val="center"/>
              <w:ind w:right="320"/>
              <w:spacing w:after="0" w:line="130" w:lineRule="exact"/>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1"/>
                <w:szCs w:val="11"/>
                <w:color w:val="auto"/>
              </w:rPr>
            </w:pPr>
          </w:p>
        </w:tc>
        <w:tc>
          <w:tcPr>
            <w:tcW w:w="140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w w:val="99"/>
              </w:rPr>
              <w:t>Carrying Amount</w:t>
            </w:r>
          </w:p>
        </w:tc>
        <w:tc>
          <w:tcPr>
            <w:tcW w:w="0" w:type="dxa"/>
            <w:vAlign w:val="bottom"/>
          </w:tcPr>
          <w:p>
            <w:pPr>
              <w:spacing w:after="0"/>
              <w:rPr>
                <w:sz w:val="1"/>
                <w:szCs w:val="1"/>
                <w:color w:val="auto"/>
              </w:rPr>
            </w:pPr>
          </w:p>
        </w:tc>
      </w:tr>
      <w:tr>
        <w:trPr>
          <w:trHeight w:val="201"/>
        </w:trPr>
        <w:tc>
          <w:tcPr>
            <w:tcW w:w="49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2"/>
          </w:tcPr>
          <w:p>
            <w:pPr>
              <w:jc w:val="center"/>
              <w:ind w:right="320"/>
              <w:spacing w:after="0" w:line="201" w:lineRule="exact"/>
              <w:rPr>
                <w:sz w:val="20"/>
                <w:szCs w:val="20"/>
                <w:color w:val="auto"/>
              </w:rPr>
            </w:pPr>
            <w:r>
              <w:rPr>
                <w:rFonts w:ascii="Arial" w:cs="Arial" w:eastAsia="Arial" w:hAnsi="Arial"/>
                <w:sz w:val="14"/>
                <w:szCs w:val="14"/>
                <w:b w:val="1"/>
                <w:bCs w:val="1"/>
                <w:color w:val="auto"/>
                <w:w w:val="93"/>
              </w:rPr>
              <w:t>Amortization</w:t>
            </w:r>
            <w:r>
              <w:rPr>
                <w:rFonts w:ascii="Arial" w:cs="Arial" w:eastAsia="Arial" w:hAnsi="Arial"/>
                <w:sz w:val="18"/>
                <w:szCs w:val="18"/>
                <w:b w:val="1"/>
                <w:bCs w:val="1"/>
                <w:color w:val="auto"/>
                <w:w w:val="93"/>
                <w:vertAlign w:val="superscript"/>
              </w:rPr>
              <w:t>(1)</w:t>
            </w:r>
          </w:p>
        </w:tc>
        <w:tc>
          <w:tcPr>
            <w:tcW w:w="160" w:type="dxa"/>
            <w:vAlign w:val="bottom"/>
          </w:tcPr>
          <w:p>
            <w:pPr>
              <w:spacing w:after="0"/>
              <w:rPr>
                <w:sz w:val="17"/>
                <w:szCs w:val="17"/>
                <w:color w:val="auto"/>
              </w:rPr>
            </w:pPr>
          </w:p>
        </w:tc>
        <w:tc>
          <w:tcPr>
            <w:tcW w:w="14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Definite-lived intangible assets</w:t>
            </w:r>
          </w:p>
        </w:tc>
        <w:tc>
          <w:tcPr>
            <w:tcW w:w="2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24,208</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(21,414)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2,794</w:t>
            </w: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Non-competition Agreements</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definite-lived intangible assets</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24,996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(22,202)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2,794</w:t>
            </w:r>
          </w:p>
        </w:tc>
        <w:tc>
          <w:tcPr>
            <w:tcW w:w="0" w:type="dxa"/>
            <w:vAlign w:val="bottom"/>
          </w:tcPr>
          <w:p>
            <w:pPr>
              <w:spacing w:after="0"/>
              <w:rPr>
                <w:sz w:val="1"/>
                <w:szCs w:val="1"/>
                <w:color w:val="auto"/>
              </w:rPr>
            </w:pPr>
          </w:p>
        </w:tc>
      </w:tr>
      <w:tr>
        <w:trPr>
          <w:trHeight w:val="250"/>
        </w:trPr>
        <w:tc>
          <w:tcPr>
            <w:tcW w:w="49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Indefinite-lived intangible asset</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6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Pura Vida Brand </w:t>
            </w:r>
            <w:r>
              <w:rPr>
                <w:rFonts w:ascii="Arial" w:cs="Arial" w:eastAsia="Arial" w:hAnsi="Arial"/>
                <w:sz w:val="23"/>
                <w:szCs w:val="23"/>
                <w:color w:val="auto"/>
                <w:vertAlign w:val="superscript"/>
              </w:rPr>
              <w:t>(2)</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11,666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11,666</w:t>
            </w:r>
          </w:p>
        </w:tc>
        <w:tc>
          <w:tcPr>
            <w:tcW w:w="0" w:type="dxa"/>
            <w:vAlign w:val="bottom"/>
          </w:tcPr>
          <w:p>
            <w:pPr>
              <w:spacing w:after="0"/>
              <w:rPr>
                <w:sz w:val="1"/>
                <w:szCs w:val="1"/>
                <w:color w:val="auto"/>
              </w:rPr>
            </w:pPr>
          </w:p>
        </w:tc>
      </w:tr>
      <w:tr>
        <w:trPr>
          <w:trHeight w:val="250"/>
        </w:trPr>
        <w:tc>
          <w:tcPr>
            <w:tcW w:w="496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intangible assets, excluding goodwill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14,460</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p>
    <w:p>
      <w:pPr>
        <w:ind w:left="920" w:hanging="246"/>
        <w:spacing w:after="0"/>
        <w:tabs>
          <w:tab w:leader="none" w:pos="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Amortization expense is recorded within the Pura Vida segment.</w:t>
      </w:r>
    </w:p>
    <w:p>
      <w:pPr>
        <w:spacing w:after="0" w:line="23" w:lineRule="exact"/>
        <w:rPr>
          <w:rFonts w:ascii="Arial" w:cs="Arial" w:eastAsia="Arial" w:hAnsi="Arial"/>
          <w:sz w:val="18"/>
          <w:szCs w:val="18"/>
          <w:color w:val="auto"/>
        </w:rPr>
      </w:pPr>
    </w:p>
    <w:p>
      <w:pPr>
        <w:ind w:left="680" w:right="940" w:hanging="6"/>
        <w:spacing w:after="0" w:line="234" w:lineRule="auto"/>
        <w:tabs>
          <w:tab w:leader="none" w:pos="9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Impairment charges of $9.9 million and $15.1 million were recorded within the Pura Vida segment during the second and fourth quarters of fiscal 2023.</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53" w:lineRule="exact"/>
        <w:rPr>
          <w:sz w:val="20"/>
          <w:szCs w:val="20"/>
          <w:color w:val="auto"/>
        </w:rPr>
      </w:pPr>
    </w:p>
    <w:tbl>
      <w:tblPr>
        <w:tblLayout w:type="fixed"/>
        <w:tblInd w:w="660" w:type="dxa"/>
        <w:tblCellMar>
          <w:top w:w="0" w:type="dxa"/>
          <w:left w:w="0" w:type="dxa"/>
          <w:bottom w:w="0" w:type="dxa"/>
          <w:right w:w="0" w:type="dxa"/>
        </w:tblCellMar>
      </w:tblPr>
      <w:tr>
        <w:trPr>
          <w:trHeight w:val="186"/>
        </w:trPr>
        <w:tc>
          <w:tcPr>
            <w:tcW w:w="4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January 28, 2023</w:t>
            </w: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9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9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Pr>
          <w:p>
            <w:pPr>
              <w:spacing w:after="0"/>
              <w:rPr>
                <w:sz w:val="11"/>
                <w:szCs w:val="11"/>
                <w:color w:val="auto"/>
              </w:rPr>
            </w:pPr>
          </w:p>
        </w:tc>
        <w:tc>
          <w:tcPr>
            <w:tcW w:w="14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Gross Basis</w:t>
            </w:r>
          </w:p>
        </w:tc>
        <w:tc>
          <w:tcPr>
            <w:tcW w:w="180" w:type="dxa"/>
            <w:vAlign w:val="bottom"/>
          </w:tcPr>
          <w:p>
            <w:pPr>
              <w:spacing w:after="0"/>
              <w:rPr>
                <w:sz w:val="11"/>
                <w:szCs w:val="11"/>
                <w:color w:val="auto"/>
              </w:rPr>
            </w:pPr>
          </w:p>
        </w:tc>
        <w:tc>
          <w:tcPr>
            <w:tcW w:w="150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1"/>
                <w:szCs w:val="11"/>
                <w:color w:val="auto"/>
              </w:rPr>
            </w:pPr>
          </w:p>
        </w:tc>
        <w:tc>
          <w:tcPr>
            <w:tcW w:w="140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w w:val="99"/>
              </w:rPr>
              <w:t>Carrying Amount</w:t>
            </w:r>
          </w:p>
        </w:tc>
        <w:tc>
          <w:tcPr>
            <w:tcW w:w="0" w:type="dxa"/>
            <w:vAlign w:val="bottom"/>
          </w:tcPr>
          <w:p>
            <w:pPr>
              <w:spacing w:after="0"/>
              <w:rPr>
                <w:sz w:val="1"/>
                <w:szCs w:val="1"/>
                <w:color w:val="auto"/>
              </w:rPr>
            </w:pPr>
          </w:p>
        </w:tc>
      </w:tr>
      <w:tr>
        <w:trPr>
          <w:trHeight w:val="203"/>
        </w:trPr>
        <w:tc>
          <w:tcPr>
            <w:tcW w:w="49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Amortization</w:t>
            </w:r>
            <w:r>
              <w:rPr>
                <w:rFonts w:ascii="Arial" w:cs="Arial" w:eastAsia="Arial" w:hAnsi="Arial"/>
                <w:sz w:val="9"/>
                <w:szCs w:val="9"/>
                <w:b w:val="1"/>
                <w:bCs w:val="1"/>
                <w:color w:val="auto"/>
                <w:w w:val="97"/>
              </w:rPr>
              <w:t>(1)</w:t>
            </w:r>
          </w:p>
        </w:tc>
        <w:tc>
          <w:tcPr>
            <w:tcW w:w="160" w:type="dxa"/>
            <w:vAlign w:val="bottom"/>
          </w:tcPr>
          <w:p>
            <w:pPr>
              <w:spacing w:after="0"/>
              <w:rPr>
                <w:sz w:val="17"/>
                <w:szCs w:val="17"/>
                <w:color w:val="auto"/>
              </w:rPr>
            </w:pPr>
          </w:p>
        </w:tc>
        <w:tc>
          <w:tcPr>
            <w:tcW w:w="14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Definite-lived intangible assets</w:t>
            </w:r>
          </w:p>
        </w:tc>
        <w:tc>
          <w:tcPr>
            <w:tcW w:w="2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24,208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(19,956)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4,252</w:t>
            </w: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Non-competition Agreements</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definite-lived intangible assets</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24,996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(20,744)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4,252</w:t>
            </w:r>
          </w:p>
        </w:tc>
        <w:tc>
          <w:tcPr>
            <w:tcW w:w="0" w:type="dxa"/>
            <w:vAlign w:val="bottom"/>
          </w:tcPr>
          <w:p>
            <w:pPr>
              <w:spacing w:after="0"/>
              <w:rPr>
                <w:sz w:val="1"/>
                <w:szCs w:val="1"/>
                <w:color w:val="auto"/>
              </w:rPr>
            </w:pPr>
          </w:p>
        </w:tc>
      </w:tr>
      <w:tr>
        <w:trPr>
          <w:trHeight w:val="250"/>
        </w:trPr>
        <w:tc>
          <w:tcPr>
            <w:tcW w:w="49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Indefinite-lived intangible asset</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6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Pura Vida Brand </w:t>
            </w:r>
            <w:r>
              <w:rPr>
                <w:rFonts w:ascii="Arial" w:cs="Arial" w:eastAsia="Arial" w:hAnsi="Arial"/>
                <w:sz w:val="23"/>
                <w:szCs w:val="23"/>
                <w:color w:val="auto"/>
                <w:vertAlign w:val="superscript"/>
              </w:rPr>
              <w:t>(2)</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11,666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11,666</w:t>
            </w:r>
          </w:p>
        </w:tc>
        <w:tc>
          <w:tcPr>
            <w:tcW w:w="0" w:type="dxa"/>
            <w:vAlign w:val="bottom"/>
          </w:tcPr>
          <w:p>
            <w:pPr>
              <w:spacing w:after="0"/>
              <w:rPr>
                <w:sz w:val="1"/>
                <w:szCs w:val="1"/>
                <w:color w:val="auto"/>
              </w:rPr>
            </w:pPr>
          </w:p>
        </w:tc>
      </w:tr>
      <w:tr>
        <w:trPr>
          <w:trHeight w:val="250"/>
        </w:trPr>
        <w:tc>
          <w:tcPr>
            <w:tcW w:w="496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intangible assets, excluding goodwill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15,918</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p>
    <w:p>
      <w:pPr>
        <w:ind w:left="920" w:hanging="246"/>
        <w:spacing w:after="0"/>
        <w:tabs>
          <w:tab w:leader="none" w:pos="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Amortization expense is recorded within the Pura Vida segment.</w:t>
      </w:r>
    </w:p>
    <w:p>
      <w:pPr>
        <w:spacing w:after="0" w:line="23" w:lineRule="exact"/>
        <w:rPr>
          <w:rFonts w:ascii="Arial" w:cs="Arial" w:eastAsia="Arial" w:hAnsi="Arial"/>
          <w:sz w:val="18"/>
          <w:szCs w:val="18"/>
          <w:color w:val="auto"/>
        </w:rPr>
      </w:pPr>
    </w:p>
    <w:p>
      <w:pPr>
        <w:ind w:left="680" w:right="1080" w:hanging="6"/>
        <w:spacing w:after="0" w:line="234" w:lineRule="auto"/>
        <w:tabs>
          <w:tab w:leader="none" w:pos="9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Impairment charges of $9.9 million and $15.1 million were recorded within the Pura Vida segment during the second and fourth quarters of fiscal 2023.</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Amortization expense is recorded within selling, general, and administrative expenses in the Company's Condensed Consolidated Statement of</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Operations. The future amortization expense for intangible assets is as follows (in thousands):</w:t>
      </w:r>
    </w:p>
    <w:p>
      <w:pPr>
        <w:spacing w:after="0" w:line="121" w:lineRule="exact"/>
        <w:rPr>
          <w:sz w:val="20"/>
          <w:szCs w:val="20"/>
          <w:color w:val="auto"/>
        </w:rPr>
      </w:pPr>
    </w:p>
    <w:tbl>
      <w:tblPr>
        <w:tblLayout w:type="fixed"/>
        <w:tblInd w:w="660" w:type="dxa"/>
        <w:tblCellMar>
          <w:top w:w="0" w:type="dxa"/>
          <w:left w:w="0" w:type="dxa"/>
          <w:bottom w:w="0" w:type="dxa"/>
          <w:right w:w="0" w:type="dxa"/>
        </w:tblCellMar>
      </w:tblPr>
      <w:tr>
        <w:trPr>
          <w:trHeight w:val="186"/>
        </w:trPr>
        <w:tc>
          <w:tcPr>
            <w:tcW w:w="7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60" w:type="dxa"/>
            <w:vAlign w:val="bottom"/>
          </w:tcPr>
          <w:p>
            <w:pPr>
              <w:jc w:val="right"/>
              <w:ind w:right="275"/>
              <w:spacing w:after="0"/>
              <w:rPr>
                <w:sz w:val="20"/>
                <w:szCs w:val="20"/>
                <w:color w:val="auto"/>
              </w:rPr>
            </w:pPr>
            <w:r>
              <w:rPr>
                <w:rFonts w:ascii="Arial" w:cs="Arial" w:eastAsia="Arial" w:hAnsi="Arial"/>
                <w:sz w:val="14"/>
                <w:szCs w:val="14"/>
                <w:b w:val="1"/>
                <w:bCs w:val="1"/>
                <w:color w:val="auto"/>
              </w:rPr>
              <w:t>Amortization Expense</w:t>
            </w:r>
          </w:p>
        </w:tc>
      </w:tr>
      <w:tr>
        <w:trPr>
          <w:trHeight w:val="26"/>
        </w:trPr>
        <w:tc>
          <w:tcPr>
            <w:tcW w:w="7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23"/>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2024 (remaining six months)</w:t>
            </w: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w:t>
            </w:r>
          </w:p>
        </w:tc>
      </w:tr>
      <w:tr>
        <w:trPr>
          <w:trHeight w:val="230"/>
        </w:trPr>
        <w:tc>
          <w:tcPr>
            <w:tcW w:w="7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Fiscal 2025</w:t>
            </w:r>
          </w:p>
        </w:tc>
        <w:tc>
          <w:tcPr>
            <w:tcW w:w="2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1,336</w:t>
            </w:r>
          </w:p>
        </w:tc>
      </w:tr>
      <w:tr>
        <w:trPr>
          <w:trHeight w:val="248"/>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2,794</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was no goodwill balance as of July 29, 2023 and January 28, 2023 due to impairment charges recorded during fiscal 2023.</w:t>
      </w:r>
    </w:p>
    <w:p>
      <w:pPr>
        <w:spacing w:after="0" w:line="104"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 Company performs its annual impairment test of the indefinite-lived Pura Vida brand during the second quarter of each fiscal year. The annual test included goodwill in prior years.</w:t>
      </w:r>
    </w:p>
    <w:p>
      <w:pPr>
        <w:spacing w:after="0" w:line="35" w:lineRule="exact"/>
        <w:rPr>
          <w:sz w:val="20"/>
          <w:szCs w:val="20"/>
          <w:color w:val="auto"/>
        </w:rPr>
      </w:pPr>
    </w:p>
    <w:p>
      <w:pPr>
        <w:ind w:left="660" w:right="100"/>
        <w:spacing w:after="0" w:line="342" w:lineRule="auto"/>
        <w:rPr>
          <w:sz w:val="20"/>
          <w:szCs w:val="20"/>
          <w:color w:val="auto"/>
        </w:rPr>
      </w:pPr>
      <w:r>
        <w:rPr>
          <w:rFonts w:ascii="Arial" w:cs="Arial" w:eastAsia="Arial" w:hAnsi="Arial"/>
          <w:sz w:val="16"/>
          <w:szCs w:val="16"/>
          <w:color w:val="auto"/>
        </w:rPr>
        <w:t>The fair value of the Pura Vida brand was estimated using a relief-from-royalty method. The estimates and assumptions used in the determination of the fair value of the Pura Vida brand included the projected revenue growth, long-term growth rate, the royalty rate, and discount rate.</w:t>
      </w:r>
    </w:p>
    <w:p>
      <w:pPr>
        <w:spacing w:after="0" w:line="2" w:lineRule="exact"/>
        <w:rPr>
          <w:sz w:val="20"/>
          <w:szCs w:val="20"/>
          <w:color w:val="auto"/>
        </w:rPr>
      </w:pPr>
    </w:p>
    <w:p>
      <w:pPr>
        <w:ind w:left="660" w:right="20"/>
        <w:spacing w:after="0" w:line="257" w:lineRule="auto"/>
        <w:rPr>
          <w:sz w:val="20"/>
          <w:szCs w:val="20"/>
          <w:color w:val="auto"/>
        </w:rPr>
      </w:pPr>
      <w:r>
        <w:rPr>
          <w:rFonts w:ascii="Arial" w:cs="Arial" w:eastAsia="Arial" w:hAnsi="Arial"/>
          <w:sz w:val="18"/>
          <w:szCs w:val="18"/>
          <w:color w:val="auto"/>
        </w:rPr>
        <w:t>For the prior year test, the fair value of the Pura Vida reporting unit was determined using a combination of an income-based approach (discounted cash flows) and a market-based approach (guideline transaction method). The discounted cash flow method involved subjective estimates and assumptions such as projected revenue growth, operating profit, and the discount rate. The guideline transaction method involved transaction multiples derived from the acquisition of controlling interests in stocks of companies that are engaged in the same or similar lines of business as the reporting unit.</w:t>
      </w:r>
    </w:p>
    <w:p>
      <w:pPr>
        <w:spacing w:after="0" w:line="53" w:lineRule="exact"/>
        <w:rPr>
          <w:sz w:val="20"/>
          <w:szCs w:val="20"/>
          <w:color w:val="auto"/>
        </w:rPr>
      </w:pPr>
    </w:p>
    <w:p>
      <w:pPr>
        <w:ind w:left="660" w:right="20"/>
        <w:spacing w:after="0" w:line="311" w:lineRule="auto"/>
        <w:rPr>
          <w:sz w:val="20"/>
          <w:szCs w:val="20"/>
          <w:color w:val="auto"/>
        </w:rPr>
      </w:pPr>
      <w:r>
        <w:rPr>
          <w:rFonts w:ascii="Arial" w:cs="Arial" w:eastAsia="Arial" w:hAnsi="Arial"/>
          <w:sz w:val="16"/>
          <w:szCs w:val="16"/>
          <w:color w:val="auto"/>
        </w:rPr>
        <w:t>During the assessment for the fiscal 2024 test, it was determined that the fair value of the Pura Vida brand exceeded its carrying value and no impairment charge was recorded. During the prior year test, the Company recorded an impairment charge of $9.9 million and $19.4 million for the Pura Vida brand and goodwill, respectively, for the thirteen and twenty-six weeks ended July 30, 2022 within the Pura Vida segment.</w:t>
      </w:r>
    </w:p>
    <w:p>
      <w:pPr>
        <w:spacing w:after="0" w:line="27" w:lineRule="exact"/>
        <w:rPr>
          <w:sz w:val="20"/>
          <w:szCs w:val="20"/>
          <w:color w:val="auto"/>
        </w:rPr>
      </w:pPr>
    </w:p>
    <w:p>
      <w:pPr>
        <w:ind w:left="660" w:right="80"/>
        <w:spacing w:after="0" w:line="273" w:lineRule="auto"/>
        <w:rPr>
          <w:sz w:val="20"/>
          <w:szCs w:val="20"/>
          <w:color w:val="auto"/>
        </w:rPr>
      </w:pPr>
      <w:r>
        <w:rPr>
          <w:rFonts w:ascii="Arial" w:cs="Arial" w:eastAsia="Arial" w:hAnsi="Arial"/>
          <w:sz w:val="17"/>
          <w:szCs w:val="17"/>
          <w:color w:val="auto"/>
        </w:rPr>
        <w:t>While we consider our assumptions in the determination of the fair value of these assets to be reasonable, they are complex and highly subjective. Adverse changes in key assumptions in future periods may result in further declines in the fair value estimates of the Pura Vida brand below its carrying value resulting in additional impairment charges, which could be material. Our key assumptions (as described above in the valuation methodologies used in the determination of fair value) may be impacted by macroeconomic conditions, including inflationary pressures and the impact on consumer discretionary spending, as well as a sustained decline in stock price and potential changes in business strategy. Refer to Note 5 herein for additional information regarding the fair value measurement.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17" w:lineRule="exact"/>
        <w:rPr>
          <w:sz w:val="20"/>
          <w:szCs w:val="20"/>
          <w:color w:val="auto"/>
        </w:rPr>
      </w:pPr>
    </w:p>
    <w:p>
      <w:pPr>
        <w:ind w:left="660" w:right="6720" w:hanging="652"/>
        <w:spacing w:after="0" w:line="398" w:lineRule="auto"/>
        <w:tabs>
          <w:tab w:leader="none" w:pos="655" w:val="left"/>
        </w:tabs>
        <w:numPr>
          <w:ilvl w:val="0"/>
          <w:numId w:val="2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Cost Savings Initiatives and Other Charges </w:t>
      </w:r>
      <w:r>
        <w:rPr>
          <w:rFonts w:ascii="Arial" w:cs="Arial" w:eastAsia="Arial" w:hAnsi="Arial"/>
          <w:sz w:val="16"/>
          <w:szCs w:val="16"/>
          <w:i w:val="1"/>
          <w:iCs w:val="1"/>
          <w:color w:val="auto"/>
        </w:rPr>
        <w:t>Cost Savings Initiatives and Severance Charges</w:t>
      </w:r>
    </w:p>
    <w:p>
      <w:pPr>
        <w:spacing w:after="0" w:line="1" w:lineRule="exact"/>
        <w:rPr>
          <w:rFonts w:ascii="Arial" w:cs="Arial" w:eastAsia="Arial" w:hAnsi="Arial"/>
          <w:sz w:val="16"/>
          <w:szCs w:val="16"/>
          <w:b w:val="1"/>
          <w:bCs w:val="1"/>
          <w:color w:val="auto"/>
        </w:rPr>
      </w:pPr>
    </w:p>
    <w:p>
      <w:pPr>
        <w:ind w:left="660"/>
        <w:spacing w:after="0" w:line="286" w:lineRule="auto"/>
        <w:rPr>
          <w:rFonts w:ascii="Arial" w:cs="Arial" w:eastAsia="Arial" w:hAnsi="Arial"/>
          <w:sz w:val="16"/>
          <w:szCs w:val="16"/>
          <w:b w:val="1"/>
          <w:bCs w:val="1"/>
          <w:color w:val="auto"/>
        </w:rPr>
      </w:pPr>
      <w:r>
        <w:rPr>
          <w:rFonts w:ascii="Arial" w:cs="Arial" w:eastAsia="Arial" w:hAnsi="Arial"/>
          <w:sz w:val="17"/>
          <w:szCs w:val="17"/>
          <w:color w:val="auto"/>
        </w:rPr>
        <w:t>During fiscal 2023, the Company began implementation of its targeted cost reductions, which are expected to be fully realized in fiscal 2025. Expense savings are being derived across various areas of the Company, including retail store efficiencies, marketing expenses, information technology contracts, professional services, logistics and operational costs, and corporate payroll.</w:t>
      </w:r>
    </w:p>
    <w:p>
      <w:pPr>
        <w:spacing w:after="0" w:line="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incurred the following charges during the thirteen weeks ended July 29, 2023 (in thousands):</w:t>
      </w:r>
    </w:p>
    <w:p>
      <w:pPr>
        <w:spacing w:after="0" w:line="122" w:lineRule="exact"/>
        <w:rPr>
          <w:sz w:val="20"/>
          <w:szCs w:val="20"/>
          <w:color w:val="auto"/>
        </w:rPr>
      </w:pPr>
    </w:p>
    <w:tbl>
      <w:tblPr>
        <w:tblLayout w:type="fixed"/>
        <w:tblInd w:w="660" w:type="dxa"/>
        <w:tblCellMar>
          <w:top w:w="0" w:type="dxa"/>
          <w:left w:w="0" w:type="dxa"/>
          <w:bottom w:w="0" w:type="dxa"/>
          <w:right w:w="0" w:type="dxa"/>
        </w:tblCellMar>
      </w:tblPr>
      <w:tr>
        <w:trPr>
          <w:trHeight w:val="186"/>
        </w:trPr>
        <w:tc>
          <w:tcPr>
            <w:tcW w:w="20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Reportable Segment</w:t>
            </w: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0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3"/>
              </w:rPr>
              <w:t>Unallocated Corporate</w:t>
            </w: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2000" w:type="dxa"/>
            <w:vAlign w:val="bottom"/>
          </w:tcPr>
          <w:p>
            <w:pPr>
              <w:spacing w:after="0"/>
              <w:rPr>
                <w:sz w:val="10"/>
                <w:szCs w:val="10"/>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VB Direct</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VB Indirect</w:t>
            </w:r>
          </w:p>
        </w:tc>
        <w:tc>
          <w:tcPr>
            <w:tcW w:w="280" w:type="dxa"/>
            <w:vAlign w:val="bottom"/>
          </w:tcPr>
          <w:p>
            <w:pPr>
              <w:spacing w:after="0"/>
              <w:rPr>
                <w:sz w:val="10"/>
                <w:szCs w:val="10"/>
                <w:color w:val="auto"/>
              </w:rPr>
            </w:pPr>
          </w:p>
        </w:tc>
        <w:tc>
          <w:tcPr>
            <w:tcW w:w="13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Pura Vida</w:t>
            </w:r>
          </w:p>
        </w:tc>
        <w:tc>
          <w:tcPr>
            <w:tcW w:w="158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vMerge w:val="restart"/>
          </w:tcPr>
          <w:p>
            <w:pPr>
              <w:jc w:val="right"/>
              <w:ind w:right="235"/>
              <w:spacing w:after="0"/>
              <w:rPr>
                <w:sz w:val="20"/>
                <w:szCs w:val="20"/>
                <w:color w:val="auto"/>
              </w:rPr>
            </w:pPr>
            <w:r>
              <w:rPr>
                <w:rFonts w:ascii="Arial" w:cs="Arial" w:eastAsia="Arial" w:hAnsi="Arial"/>
                <w:sz w:val="14"/>
                <w:szCs w:val="14"/>
                <w:b w:val="1"/>
                <w:bCs w:val="1"/>
                <w:color w:val="auto"/>
                <w:w w:val="98"/>
              </w:rPr>
              <w:t>Total Expense</w:t>
            </w:r>
          </w:p>
        </w:tc>
        <w:tc>
          <w:tcPr>
            <w:tcW w:w="0" w:type="dxa"/>
            <w:vAlign w:val="bottom"/>
          </w:tcPr>
          <w:p>
            <w:pPr>
              <w:spacing w:after="0"/>
              <w:rPr>
                <w:sz w:val="1"/>
                <w:szCs w:val="1"/>
                <w:color w:val="auto"/>
              </w:rPr>
            </w:pPr>
          </w:p>
        </w:tc>
      </w:tr>
      <w:tr>
        <w:trPr>
          <w:trHeight w:val="196"/>
        </w:trPr>
        <w:tc>
          <w:tcPr>
            <w:tcW w:w="200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Expenses</w:t>
            </w:r>
          </w:p>
        </w:tc>
        <w:tc>
          <w:tcPr>
            <w:tcW w:w="22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Severance charges</w:t>
            </w:r>
          </w:p>
        </w:tc>
        <w:tc>
          <w:tcPr>
            <w:tcW w:w="1140" w:type="dxa"/>
            <w:vAlign w:val="bottom"/>
            <w:tcBorders>
              <w:top w:val="single" w:sz="8" w:color="auto"/>
            </w:tcBorders>
            <w:shd w:val="clear" w:color="auto" w:fill="CCEEFF"/>
          </w:tcPr>
          <w:p>
            <w:pPr>
              <w:jc w:val="right"/>
              <w:ind w:right="956"/>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76"/>
        </w:trPr>
        <w:tc>
          <w:tcPr>
            <w:tcW w:w="2000" w:type="dxa"/>
            <w:vAlign w:val="bottom"/>
          </w:tcPr>
          <w:p>
            <w:pPr>
              <w:ind w:left="20"/>
              <w:spacing w:after="0" w:line="176" w:lineRule="exact"/>
              <w:rPr>
                <w:sz w:val="20"/>
                <w:szCs w:val="20"/>
                <w:color w:val="auto"/>
              </w:rPr>
            </w:pPr>
            <w:r>
              <w:rPr>
                <w:rFonts w:ascii="Arial" w:cs="Arial" w:eastAsia="Arial" w:hAnsi="Arial"/>
                <w:sz w:val="18"/>
                <w:szCs w:val="18"/>
                <w:color w:val="auto"/>
                <w:w w:val="95"/>
              </w:rPr>
              <w:t>Consulting fees and other</w:t>
            </w:r>
          </w:p>
        </w:tc>
        <w:tc>
          <w:tcPr>
            <w:tcW w:w="1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00" w:type="dxa"/>
            <w:vAlign w:val="bottom"/>
          </w:tcPr>
          <w:p>
            <w:pPr>
              <w:ind w:left="20"/>
              <w:spacing w:after="0" w:line="243" w:lineRule="exact"/>
              <w:rPr>
                <w:sz w:val="20"/>
                <w:szCs w:val="20"/>
                <w:color w:val="auto"/>
              </w:rPr>
            </w:pPr>
            <w:r>
              <w:rPr>
                <w:rFonts w:ascii="Arial" w:cs="Arial" w:eastAsia="Arial" w:hAnsi="Arial"/>
                <w:sz w:val="18"/>
                <w:szCs w:val="18"/>
                <w:color w:val="auto"/>
              </w:rPr>
              <w:t xml:space="preserve">costs </w:t>
            </w:r>
            <w:r>
              <w:rPr>
                <w:rFonts w:ascii="Arial" w:cs="Arial" w:eastAsia="Arial" w:hAnsi="Arial"/>
                <w:sz w:val="23"/>
                <w:szCs w:val="23"/>
                <w:color w:val="auto"/>
                <w:vertAlign w:val="superscript"/>
              </w:rPr>
              <w:t>(1)</w:t>
            </w:r>
          </w:p>
        </w:tc>
        <w:tc>
          <w:tcPr>
            <w:tcW w:w="1140" w:type="dxa"/>
            <w:vAlign w:val="bottom"/>
          </w:tcPr>
          <w:p>
            <w:pPr>
              <w:spacing w:after="0"/>
              <w:rPr>
                <w:sz w:val="21"/>
                <w:szCs w:val="21"/>
                <w:color w:val="auto"/>
              </w:rPr>
            </w:pP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2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2000" w:type="dxa"/>
            <w:vAlign w:val="bottom"/>
            <w:tcBorders>
              <w:top w:val="single" w:sz="8" w:color="CCEEFF"/>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Total </w:t>
            </w:r>
            <w:r>
              <w:rPr>
                <w:rFonts w:ascii="Arial" w:cs="Arial" w:eastAsia="Arial" w:hAnsi="Arial"/>
                <w:sz w:val="23"/>
                <w:szCs w:val="23"/>
                <w:color w:val="auto"/>
                <w:vertAlign w:val="superscript"/>
              </w:rPr>
              <w:t>(2)</w:t>
            </w:r>
          </w:p>
        </w:tc>
        <w:tc>
          <w:tcPr>
            <w:tcW w:w="1140" w:type="dxa"/>
            <w:vAlign w:val="bottom"/>
            <w:tcBorders>
              <w:top w:val="single" w:sz="8" w:color="auto"/>
              <w:bottom w:val="single" w:sz="8" w:color="auto"/>
            </w:tcBorders>
            <w:shd w:val="clear" w:color="auto" w:fill="CCEEFF"/>
          </w:tcPr>
          <w:p>
            <w:pPr>
              <w:jc w:val="right"/>
              <w:ind w:right="956"/>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p>
    <w:p>
      <w:pPr>
        <w:ind w:left="920" w:hanging="246"/>
        <w:spacing w:after="0"/>
        <w:tabs>
          <w:tab w:leader="none" w:pos="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Related to professional fees</w:t>
      </w:r>
    </w:p>
    <w:p>
      <w:pPr>
        <w:spacing w:after="0" w:line="23" w:lineRule="exact"/>
        <w:rPr>
          <w:rFonts w:ascii="Arial" w:cs="Arial" w:eastAsia="Arial" w:hAnsi="Arial"/>
          <w:sz w:val="18"/>
          <w:szCs w:val="18"/>
          <w:color w:val="auto"/>
        </w:rPr>
      </w:pPr>
    </w:p>
    <w:p>
      <w:pPr>
        <w:ind w:left="920" w:hanging="246"/>
        <w:spacing w:after="0"/>
        <w:tabs>
          <w:tab w:leader="none" w:pos="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Recorded within selling, general, and administrative ("SG&amp;A") expenses</w:t>
      </w:r>
    </w:p>
    <w:p>
      <w:pPr>
        <w:spacing w:after="0" w:line="200" w:lineRule="exact"/>
        <w:rPr>
          <w:sz w:val="20"/>
          <w:szCs w:val="20"/>
          <w:color w:val="auto"/>
        </w:rPr>
      </w:pPr>
    </w:p>
    <w:p>
      <w:pPr>
        <w:spacing w:after="0" w:line="3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incurred the following charges during the thirteen weeks ended July 30, 2022 (in thousands):</w:t>
      </w:r>
    </w:p>
    <w:p>
      <w:pPr>
        <w:spacing w:after="0" w:line="109" w:lineRule="exact"/>
        <w:rPr>
          <w:sz w:val="20"/>
          <w:szCs w:val="20"/>
          <w:color w:val="auto"/>
        </w:rPr>
      </w:pPr>
    </w:p>
    <w:tbl>
      <w:tblPr>
        <w:tblLayout w:type="fixed"/>
        <w:tblInd w:w="660" w:type="dxa"/>
        <w:tblCellMar>
          <w:top w:w="0" w:type="dxa"/>
          <w:left w:w="0" w:type="dxa"/>
          <w:bottom w:w="0" w:type="dxa"/>
          <w:right w:w="0" w:type="dxa"/>
        </w:tblCellMar>
      </w:tblPr>
      <w:tr>
        <w:trPr>
          <w:trHeight w:val="186"/>
        </w:trPr>
        <w:tc>
          <w:tcPr>
            <w:tcW w:w="20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Reportable Segment</w:t>
            </w: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3"/>
              </w:rPr>
              <w:t>Unallocated Corporate</w:t>
            </w: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9"/>
        </w:trPr>
        <w:tc>
          <w:tcPr>
            <w:tcW w:w="200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VB Direct</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VB Indirect</w:t>
            </w:r>
          </w:p>
        </w:tc>
        <w:tc>
          <w:tcPr>
            <w:tcW w:w="280" w:type="dxa"/>
            <w:vAlign w:val="bottom"/>
          </w:tcPr>
          <w:p>
            <w:pPr>
              <w:spacing w:after="0"/>
              <w:rPr>
                <w:sz w:val="10"/>
                <w:szCs w:val="10"/>
                <w:color w:val="auto"/>
              </w:rPr>
            </w:pPr>
          </w:p>
        </w:tc>
        <w:tc>
          <w:tcPr>
            <w:tcW w:w="13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Pura Vida</w:t>
            </w:r>
          </w:p>
        </w:tc>
        <w:tc>
          <w:tcPr>
            <w:tcW w:w="160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Total Expense</w:t>
            </w:r>
          </w:p>
        </w:tc>
        <w:tc>
          <w:tcPr>
            <w:tcW w:w="0" w:type="dxa"/>
            <w:vAlign w:val="bottom"/>
          </w:tcPr>
          <w:p>
            <w:pPr>
              <w:spacing w:after="0"/>
              <w:rPr>
                <w:sz w:val="1"/>
                <w:szCs w:val="1"/>
                <w:color w:val="auto"/>
              </w:rPr>
            </w:pPr>
          </w:p>
        </w:tc>
      </w:tr>
      <w:tr>
        <w:trPr>
          <w:trHeight w:val="192"/>
        </w:trPr>
        <w:tc>
          <w:tcPr>
            <w:tcW w:w="20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Expenses</w:t>
            </w:r>
          </w:p>
        </w:tc>
        <w:tc>
          <w:tcPr>
            <w:tcW w:w="20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00" w:type="dxa"/>
            <w:vAlign w:val="bottom"/>
            <w:tcBorders>
              <w:top w:val="single" w:sz="8" w:color="CCEEFF"/>
            </w:tcBorders>
            <w:shd w:val="clear" w:color="auto" w:fill="CCEEFF"/>
          </w:tcPr>
          <w:p>
            <w:pPr>
              <w:ind w:left="20"/>
              <w:spacing w:after="0" w:line="229" w:lineRule="exact"/>
              <w:rPr>
                <w:sz w:val="20"/>
                <w:szCs w:val="20"/>
                <w:color w:val="auto"/>
              </w:rPr>
            </w:pPr>
            <w:r>
              <w:rPr>
                <w:rFonts w:ascii="Arial" w:cs="Arial" w:eastAsia="Arial" w:hAnsi="Arial"/>
                <w:sz w:val="18"/>
                <w:szCs w:val="18"/>
                <w:color w:val="auto"/>
              </w:rPr>
              <w:t xml:space="preserve">Severance charges </w:t>
            </w:r>
            <w:r>
              <w:rPr>
                <w:rFonts w:ascii="Arial" w:cs="Arial" w:eastAsia="Arial" w:hAnsi="Arial"/>
                <w:sz w:val="23"/>
                <w:szCs w:val="23"/>
                <w:color w:val="auto"/>
                <w:vertAlign w:val="superscript"/>
              </w:rPr>
              <w:t>(1)</w:t>
            </w:r>
          </w:p>
        </w:tc>
        <w:tc>
          <w:tcPr>
            <w:tcW w:w="1100" w:type="dxa"/>
            <w:vAlign w:val="bottom"/>
            <w:tcBorders>
              <w:top w:val="single" w:sz="8" w:color="auto"/>
            </w:tcBorders>
            <w:shd w:val="clear" w:color="auto" w:fill="CCEEFF"/>
          </w:tcPr>
          <w:p>
            <w:pPr>
              <w:jc w:val="right"/>
              <w:ind w:right="916"/>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5,714</w:t>
            </w:r>
          </w:p>
        </w:tc>
        <w:tc>
          <w:tcPr>
            <w:tcW w:w="0" w:type="dxa"/>
            <w:vAlign w:val="bottom"/>
          </w:tcPr>
          <w:p>
            <w:pPr>
              <w:spacing w:after="0"/>
              <w:rPr>
                <w:sz w:val="1"/>
                <w:szCs w:val="1"/>
                <w:color w:val="auto"/>
              </w:rPr>
            </w:pPr>
          </w:p>
        </w:tc>
      </w:tr>
      <w:tr>
        <w:trPr>
          <w:trHeight w:val="183"/>
        </w:trPr>
        <w:tc>
          <w:tcPr>
            <w:tcW w:w="2000" w:type="dxa"/>
            <w:vAlign w:val="bottom"/>
          </w:tcPr>
          <w:p>
            <w:pPr>
              <w:ind w:left="20"/>
              <w:spacing w:after="0" w:line="182" w:lineRule="exact"/>
              <w:rPr>
                <w:sz w:val="20"/>
                <w:szCs w:val="20"/>
                <w:color w:val="auto"/>
              </w:rPr>
            </w:pPr>
            <w:r>
              <w:rPr>
                <w:rFonts w:ascii="Arial" w:cs="Arial" w:eastAsia="Arial" w:hAnsi="Arial"/>
                <w:sz w:val="18"/>
                <w:szCs w:val="18"/>
                <w:color w:val="auto"/>
                <w:w w:val="95"/>
              </w:rPr>
              <w:t>Consulting fees and other</w:t>
            </w:r>
          </w:p>
        </w:tc>
        <w:tc>
          <w:tcPr>
            <w:tcW w:w="1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000" w:type="dxa"/>
            <w:vAlign w:val="bottom"/>
          </w:tcPr>
          <w:p>
            <w:pPr>
              <w:ind w:left="20"/>
              <w:spacing w:after="0" w:line="235" w:lineRule="exact"/>
              <w:rPr>
                <w:sz w:val="20"/>
                <w:szCs w:val="20"/>
                <w:color w:val="auto"/>
              </w:rPr>
            </w:pPr>
            <w:r>
              <w:rPr>
                <w:rFonts w:ascii="Arial" w:cs="Arial" w:eastAsia="Arial" w:hAnsi="Arial"/>
                <w:sz w:val="18"/>
                <w:szCs w:val="18"/>
                <w:color w:val="auto"/>
              </w:rPr>
              <w:t xml:space="preserve">costs </w:t>
            </w:r>
            <w:r>
              <w:rPr>
                <w:rFonts w:ascii="Arial" w:cs="Arial" w:eastAsia="Arial" w:hAnsi="Arial"/>
                <w:sz w:val="23"/>
                <w:szCs w:val="23"/>
                <w:color w:val="auto"/>
                <w:vertAlign w:val="superscript"/>
              </w:rPr>
              <w:t>(2)</w:t>
            </w:r>
          </w:p>
        </w:tc>
        <w:tc>
          <w:tcPr>
            <w:tcW w:w="11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9"/>
              </w:rPr>
              <w:t>302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2,755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3,057</w:t>
            </w:r>
          </w:p>
        </w:tc>
        <w:tc>
          <w:tcPr>
            <w:tcW w:w="0" w:type="dxa"/>
            <w:vAlign w:val="bottom"/>
          </w:tcPr>
          <w:p>
            <w:pPr>
              <w:spacing w:after="0"/>
              <w:rPr>
                <w:sz w:val="1"/>
                <w:szCs w:val="1"/>
                <w:color w:val="auto"/>
              </w:rPr>
            </w:pPr>
          </w:p>
        </w:tc>
      </w:tr>
      <w:tr>
        <w:trPr>
          <w:trHeight w:val="248"/>
        </w:trPr>
        <w:tc>
          <w:tcPr>
            <w:tcW w:w="2000" w:type="dxa"/>
            <w:vAlign w:val="bottom"/>
            <w:tcBorders>
              <w:top w:val="single" w:sz="8" w:color="CCEEFF"/>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Total </w:t>
            </w:r>
            <w:r>
              <w:rPr>
                <w:rFonts w:ascii="Arial" w:cs="Arial" w:eastAsia="Arial" w:hAnsi="Arial"/>
                <w:sz w:val="23"/>
                <w:szCs w:val="23"/>
                <w:color w:val="auto"/>
                <w:vertAlign w:val="superscript"/>
              </w:rPr>
              <w:t>(3)</w:t>
            </w:r>
          </w:p>
        </w:tc>
        <w:tc>
          <w:tcPr>
            <w:tcW w:w="1100" w:type="dxa"/>
            <w:vAlign w:val="bottom"/>
            <w:tcBorders>
              <w:top w:val="single" w:sz="8" w:color="auto"/>
              <w:bottom w:val="single" w:sz="8" w:color="auto"/>
            </w:tcBorders>
            <w:shd w:val="clear" w:color="auto" w:fill="CCEEFF"/>
          </w:tcPr>
          <w:p>
            <w:pPr>
              <w:jc w:val="right"/>
              <w:ind w:right="916"/>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317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8,771</w:t>
            </w:r>
          </w:p>
        </w:tc>
        <w:tc>
          <w:tcPr>
            <w:tcW w:w="0" w:type="dxa"/>
            <w:vAlign w:val="bottom"/>
          </w:tcPr>
          <w:p>
            <w:pPr>
              <w:spacing w:after="0"/>
              <w:rPr>
                <w:sz w:val="1"/>
                <w:szCs w:val="1"/>
                <w:color w:val="auto"/>
              </w:rPr>
            </w:pP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p>
    <w:p>
      <w:pPr>
        <w:ind w:left="920" w:hanging="246"/>
        <w:spacing w:after="0"/>
        <w:tabs>
          <w:tab w:leader="none" w:pos="9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CEO retirement severance</w:t>
      </w:r>
    </w:p>
    <w:p>
      <w:pPr>
        <w:spacing w:after="0" w:line="23" w:lineRule="exact"/>
        <w:rPr>
          <w:rFonts w:ascii="Arial" w:cs="Arial" w:eastAsia="Arial" w:hAnsi="Arial"/>
          <w:sz w:val="18"/>
          <w:szCs w:val="18"/>
          <w:color w:val="auto"/>
        </w:rPr>
      </w:pPr>
    </w:p>
    <w:p>
      <w:pPr>
        <w:ind w:left="920" w:hanging="246"/>
        <w:spacing w:after="0"/>
        <w:tabs>
          <w:tab w:leader="none" w:pos="9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$2.8 million for fees related to cost savings initiatives and CEO search and $0.3 million for concept brand exit costs</w:t>
      </w:r>
    </w:p>
    <w:p>
      <w:pPr>
        <w:spacing w:after="0" w:line="22" w:lineRule="exact"/>
        <w:rPr>
          <w:rFonts w:ascii="Arial" w:cs="Arial" w:eastAsia="Arial" w:hAnsi="Arial"/>
          <w:sz w:val="18"/>
          <w:szCs w:val="18"/>
          <w:color w:val="auto"/>
        </w:rPr>
      </w:pPr>
    </w:p>
    <w:p>
      <w:pPr>
        <w:ind w:left="920" w:hanging="246"/>
        <w:spacing w:after="0"/>
        <w:tabs>
          <w:tab w:leader="none" w:pos="9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$8.6 million of the charges are recorded within SG&amp;A expenses and $0.2 million are recorded within cost of sales</w:t>
      </w:r>
    </w:p>
    <w:p>
      <w:pPr>
        <w:spacing w:after="0" w:line="200" w:lineRule="exact"/>
        <w:rPr>
          <w:sz w:val="20"/>
          <w:szCs w:val="20"/>
          <w:color w:val="auto"/>
        </w:rPr>
      </w:pPr>
    </w:p>
    <w:p>
      <w:pPr>
        <w:spacing w:after="0" w:line="3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incurred the following charges during the twenty-six weeks ended July 29, 2023 (in thousands):</w:t>
      </w:r>
    </w:p>
    <w:p>
      <w:pPr>
        <w:spacing w:after="0" w:line="271" w:lineRule="exact"/>
        <w:rPr>
          <w:sz w:val="20"/>
          <w:szCs w:val="20"/>
          <w:color w:val="auto"/>
        </w:rPr>
      </w:pPr>
    </w:p>
    <w:tbl>
      <w:tblPr>
        <w:tblLayout w:type="fixed"/>
        <w:tblInd w:w="660" w:type="dxa"/>
        <w:tblCellMar>
          <w:top w:w="0" w:type="dxa"/>
          <w:left w:w="0" w:type="dxa"/>
          <w:bottom w:w="0" w:type="dxa"/>
          <w:right w:w="0" w:type="dxa"/>
        </w:tblCellMar>
      </w:tblPr>
      <w:tr>
        <w:trPr>
          <w:trHeight w:val="186"/>
        </w:trPr>
        <w:tc>
          <w:tcPr>
            <w:tcW w:w="20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Reportable Segment</w:t>
            </w: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3"/>
              </w:rPr>
              <w:t>Unallocated Corporate</w:t>
            </w: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9"/>
        </w:trPr>
        <w:tc>
          <w:tcPr>
            <w:tcW w:w="200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VB Direct</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VB Indirect</w:t>
            </w:r>
          </w:p>
        </w:tc>
        <w:tc>
          <w:tcPr>
            <w:tcW w:w="280" w:type="dxa"/>
            <w:vAlign w:val="bottom"/>
          </w:tcPr>
          <w:p>
            <w:pPr>
              <w:spacing w:after="0"/>
              <w:rPr>
                <w:sz w:val="10"/>
                <w:szCs w:val="10"/>
                <w:color w:val="auto"/>
              </w:rPr>
            </w:pPr>
          </w:p>
        </w:tc>
        <w:tc>
          <w:tcPr>
            <w:tcW w:w="13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Pura Vida</w:t>
            </w:r>
          </w:p>
        </w:tc>
        <w:tc>
          <w:tcPr>
            <w:tcW w:w="160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Total Expense</w:t>
            </w:r>
          </w:p>
        </w:tc>
        <w:tc>
          <w:tcPr>
            <w:tcW w:w="0" w:type="dxa"/>
            <w:vAlign w:val="bottom"/>
          </w:tcPr>
          <w:p>
            <w:pPr>
              <w:spacing w:after="0"/>
              <w:rPr>
                <w:sz w:val="1"/>
                <w:szCs w:val="1"/>
                <w:color w:val="auto"/>
              </w:rPr>
            </w:pPr>
          </w:p>
        </w:tc>
      </w:tr>
      <w:tr>
        <w:trPr>
          <w:trHeight w:val="192"/>
        </w:trPr>
        <w:tc>
          <w:tcPr>
            <w:tcW w:w="20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Expenses</w:t>
            </w:r>
          </w:p>
        </w:tc>
        <w:tc>
          <w:tcPr>
            <w:tcW w:w="20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00" w:type="dxa"/>
            <w:vAlign w:val="bottom"/>
            <w:tcBorders>
              <w:top w:val="single" w:sz="8" w:color="CCEEFF"/>
            </w:tcBorders>
            <w:shd w:val="clear" w:color="auto" w:fill="CCEEFF"/>
          </w:tcPr>
          <w:p>
            <w:pPr>
              <w:ind w:left="20"/>
              <w:spacing w:after="0" w:line="229" w:lineRule="exact"/>
              <w:rPr>
                <w:sz w:val="20"/>
                <w:szCs w:val="20"/>
                <w:color w:val="auto"/>
              </w:rPr>
            </w:pPr>
            <w:r>
              <w:rPr>
                <w:rFonts w:ascii="Arial" w:cs="Arial" w:eastAsia="Arial" w:hAnsi="Arial"/>
                <w:sz w:val="18"/>
                <w:szCs w:val="18"/>
                <w:color w:val="auto"/>
              </w:rPr>
              <w:t xml:space="preserve">Severance charges </w:t>
            </w:r>
            <w:r>
              <w:rPr>
                <w:rFonts w:ascii="Arial" w:cs="Arial" w:eastAsia="Arial" w:hAnsi="Arial"/>
                <w:sz w:val="23"/>
                <w:szCs w:val="23"/>
                <w:color w:val="auto"/>
                <w:vertAlign w:val="superscript"/>
              </w:rPr>
              <w:t>(1)</w:t>
            </w:r>
          </w:p>
        </w:tc>
        <w:tc>
          <w:tcPr>
            <w:tcW w:w="1100" w:type="dxa"/>
            <w:vAlign w:val="bottom"/>
            <w:tcBorders>
              <w:top w:val="single" w:sz="8" w:color="auto"/>
            </w:tcBorders>
            <w:shd w:val="clear" w:color="auto" w:fill="CCEEFF"/>
          </w:tcPr>
          <w:p>
            <w:pPr>
              <w:jc w:val="right"/>
              <w:ind w:right="916"/>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342</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2,068</w:t>
            </w:r>
          </w:p>
        </w:tc>
        <w:tc>
          <w:tcPr>
            <w:tcW w:w="0" w:type="dxa"/>
            <w:vAlign w:val="bottom"/>
          </w:tcPr>
          <w:p>
            <w:pPr>
              <w:spacing w:after="0"/>
              <w:rPr>
                <w:sz w:val="1"/>
                <w:szCs w:val="1"/>
                <w:color w:val="auto"/>
              </w:rPr>
            </w:pPr>
          </w:p>
        </w:tc>
      </w:tr>
      <w:tr>
        <w:trPr>
          <w:trHeight w:val="183"/>
        </w:trPr>
        <w:tc>
          <w:tcPr>
            <w:tcW w:w="2000" w:type="dxa"/>
            <w:vAlign w:val="bottom"/>
          </w:tcPr>
          <w:p>
            <w:pPr>
              <w:ind w:left="20"/>
              <w:spacing w:after="0" w:line="182" w:lineRule="exact"/>
              <w:rPr>
                <w:sz w:val="20"/>
                <w:szCs w:val="20"/>
                <w:color w:val="auto"/>
              </w:rPr>
            </w:pPr>
            <w:r>
              <w:rPr>
                <w:rFonts w:ascii="Arial" w:cs="Arial" w:eastAsia="Arial" w:hAnsi="Arial"/>
                <w:sz w:val="18"/>
                <w:szCs w:val="18"/>
                <w:color w:val="auto"/>
                <w:w w:val="95"/>
              </w:rPr>
              <w:t>Consulting fees and other</w:t>
            </w:r>
          </w:p>
        </w:tc>
        <w:tc>
          <w:tcPr>
            <w:tcW w:w="1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000" w:type="dxa"/>
            <w:vAlign w:val="bottom"/>
          </w:tcPr>
          <w:p>
            <w:pPr>
              <w:ind w:left="20"/>
              <w:spacing w:after="0" w:line="235" w:lineRule="exact"/>
              <w:rPr>
                <w:sz w:val="20"/>
                <w:szCs w:val="20"/>
                <w:color w:val="auto"/>
              </w:rPr>
            </w:pPr>
            <w:r>
              <w:rPr>
                <w:rFonts w:ascii="Arial" w:cs="Arial" w:eastAsia="Arial" w:hAnsi="Arial"/>
                <w:sz w:val="18"/>
                <w:szCs w:val="18"/>
                <w:color w:val="auto"/>
              </w:rPr>
              <w:t xml:space="preserve">costs </w:t>
            </w:r>
            <w:r>
              <w:rPr>
                <w:rFonts w:ascii="Arial" w:cs="Arial" w:eastAsia="Arial" w:hAnsi="Arial"/>
                <w:sz w:val="23"/>
                <w:szCs w:val="23"/>
                <w:color w:val="auto"/>
                <w:vertAlign w:val="superscript"/>
              </w:rPr>
              <w:t>(2)</w:t>
            </w:r>
          </w:p>
        </w:tc>
        <w:tc>
          <w:tcPr>
            <w:tcW w:w="1100" w:type="dxa"/>
            <w:vAlign w:val="bottom"/>
          </w:tcPr>
          <w:p>
            <w:pPr>
              <w:spacing w:after="0"/>
              <w:rPr>
                <w:sz w:val="20"/>
                <w:szCs w:val="20"/>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6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48"/>
        </w:trPr>
        <w:tc>
          <w:tcPr>
            <w:tcW w:w="2000" w:type="dxa"/>
            <w:vAlign w:val="bottom"/>
            <w:tcBorders>
              <w:top w:val="single" w:sz="8" w:color="CCEEFF"/>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Total </w:t>
            </w:r>
            <w:r>
              <w:rPr>
                <w:rFonts w:ascii="Arial" w:cs="Arial" w:eastAsia="Arial" w:hAnsi="Arial"/>
                <w:sz w:val="23"/>
                <w:szCs w:val="23"/>
                <w:color w:val="auto"/>
                <w:vertAlign w:val="superscript"/>
              </w:rPr>
              <w:t>(3)</w:t>
            </w:r>
          </w:p>
        </w:tc>
        <w:tc>
          <w:tcPr>
            <w:tcW w:w="1100" w:type="dxa"/>
            <w:vAlign w:val="bottom"/>
            <w:tcBorders>
              <w:top w:val="single" w:sz="8" w:color="auto"/>
              <w:bottom w:val="single" w:sz="8" w:color="auto"/>
            </w:tcBorders>
            <w:shd w:val="clear" w:color="auto" w:fill="CCEEFF"/>
          </w:tcPr>
          <w:p>
            <w:pPr>
              <w:jc w:val="right"/>
              <w:ind w:right="916"/>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342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2,173</w:t>
            </w:r>
          </w:p>
        </w:tc>
        <w:tc>
          <w:tcPr>
            <w:tcW w:w="0" w:type="dxa"/>
            <w:vAlign w:val="bottom"/>
          </w:tcPr>
          <w:p>
            <w:pPr>
              <w:spacing w:after="0"/>
              <w:rPr>
                <w:sz w:val="1"/>
                <w:szCs w:val="1"/>
                <w:color w:val="auto"/>
              </w:rPr>
            </w:pP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p>
    <w:p>
      <w:pPr>
        <w:ind w:left="920" w:hanging="246"/>
        <w:spacing w:after="0"/>
        <w:tabs>
          <w:tab w:leader="none" w:pos="9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former CFO severance</w:t>
      </w:r>
    </w:p>
    <w:p>
      <w:pPr>
        <w:spacing w:after="0" w:line="23" w:lineRule="exact"/>
        <w:rPr>
          <w:rFonts w:ascii="Arial" w:cs="Arial" w:eastAsia="Arial" w:hAnsi="Arial"/>
          <w:sz w:val="18"/>
          <w:szCs w:val="18"/>
          <w:color w:val="auto"/>
        </w:rPr>
      </w:pPr>
    </w:p>
    <w:p>
      <w:pPr>
        <w:ind w:left="920" w:hanging="246"/>
        <w:spacing w:after="0"/>
        <w:tabs>
          <w:tab w:leader="none" w:pos="9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Related to professional fees</w:t>
      </w:r>
    </w:p>
    <w:p>
      <w:pPr>
        <w:spacing w:after="0" w:line="22" w:lineRule="exact"/>
        <w:rPr>
          <w:rFonts w:ascii="Arial" w:cs="Arial" w:eastAsia="Arial" w:hAnsi="Arial"/>
          <w:sz w:val="18"/>
          <w:szCs w:val="18"/>
          <w:color w:val="auto"/>
        </w:rPr>
      </w:pPr>
    </w:p>
    <w:p>
      <w:pPr>
        <w:ind w:left="920" w:hanging="246"/>
        <w:spacing w:after="0"/>
        <w:tabs>
          <w:tab w:leader="none" w:pos="9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Recorded within SG&amp;A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20" w:top="121" w:right="7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incurred the following charges during the twenty-six weeks ended July 30, 2022 (in thousands):</w:t>
      </w:r>
    </w:p>
    <w:p>
      <w:pPr>
        <w:spacing w:after="0" w:line="271" w:lineRule="exact"/>
        <w:rPr>
          <w:sz w:val="20"/>
          <w:szCs w:val="20"/>
          <w:color w:val="auto"/>
        </w:rPr>
      </w:pPr>
    </w:p>
    <w:tbl>
      <w:tblPr>
        <w:tblLayout w:type="fixed"/>
        <w:tblInd w:w="660" w:type="dxa"/>
        <w:tblCellMar>
          <w:top w:w="0" w:type="dxa"/>
          <w:left w:w="0" w:type="dxa"/>
          <w:bottom w:w="0" w:type="dxa"/>
          <w:right w:w="0" w:type="dxa"/>
        </w:tblCellMar>
      </w:tblPr>
      <w:tr>
        <w:trPr>
          <w:trHeight w:val="186"/>
        </w:trPr>
        <w:tc>
          <w:tcPr>
            <w:tcW w:w="20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Reportable Segment</w:t>
            </w: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0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3"/>
              </w:rPr>
              <w:t>Unallocated Corporate</w:t>
            </w: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9"/>
        </w:trPr>
        <w:tc>
          <w:tcPr>
            <w:tcW w:w="200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VB Direct</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VB Indirect</w:t>
            </w:r>
          </w:p>
        </w:tc>
        <w:tc>
          <w:tcPr>
            <w:tcW w:w="280" w:type="dxa"/>
            <w:vAlign w:val="bottom"/>
          </w:tcPr>
          <w:p>
            <w:pPr>
              <w:spacing w:after="0"/>
              <w:rPr>
                <w:sz w:val="10"/>
                <w:szCs w:val="10"/>
                <w:color w:val="auto"/>
              </w:rPr>
            </w:pPr>
          </w:p>
        </w:tc>
        <w:tc>
          <w:tcPr>
            <w:tcW w:w="13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Pura Vida</w:t>
            </w:r>
          </w:p>
        </w:tc>
        <w:tc>
          <w:tcPr>
            <w:tcW w:w="160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Total Expense</w:t>
            </w:r>
          </w:p>
        </w:tc>
        <w:tc>
          <w:tcPr>
            <w:tcW w:w="0" w:type="dxa"/>
            <w:vAlign w:val="bottom"/>
          </w:tcPr>
          <w:p>
            <w:pPr>
              <w:spacing w:after="0"/>
              <w:rPr>
                <w:sz w:val="1"/>
                <w:szCs w:val="1"/>
                <w:color w:val="auto"/>
              </w:rPr>
            </w:pPr>
          </w:p>
        </w:tc>
      </w:tr>
      <w:tr>
        <w:trPr>
          <w:trHeight w:val="192"/>
        </w:trPr>
        <w:tc>
          <w:tcPr>
            <w:tcW w:w="20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Expenses</w:t>
            </w:r>
          </w:p>
        </w:tc>
        <w:tc>
          <w:tcPr>
            <w:tcW w:w="20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00" w:type="dxa"/>
            <w:vAlign w:val="bottom"/>
            <w:tcBorders>
              <w:top w:val="single" w:sz="8" w:color="CCEEFF"/>
            </w:tcBorders>
            <w:shd w:val="clear" w:color="auto" w:fill="CCEEFF"/>
          </w:tcPr>
          <w:p>
            <w:pPr>
              <w:ind w:left="20"/>
              <w:spacing w:after="0" w:line="229" w:lineRule="exact"/>
              <w:rPr>
                <w:sz w:val="20"/>
                <w:szCs w:val="20"/>
                <w:color w:val="auto"/>
              </w:rPr>
            </w:pPr>
            <w:r>
              <w:rPr>
                <w:rFonts w:ascii="Arial" w:cs="Arial" w:eastAsia="Arial" w:hAnsi="Arial"/>
                <w:sz w:val="18"/>
                <w:szCs w:val="18"/>
                <w:color w:val="auto"/>
              </w:rPr>
              <w:t xml:space="preserve">Severance charges </w:t>
            </w:r>
            <w:r>
              <w:rPr>
                <w:rFonts w:ascii="Arial" w:cs="Arial" w:eastAsia="Arial" w:hAnsi="Arial"/>
                <w:sz w:val="23"/>
                <w:szCs w:val="23"/>
                <w:color w:val="auto"/>
                <w:vertAlign w:val="superscript"/>
              </w:rPr>
              <w:t>(1)</w:t>
            </w:r>
          </w:p>
        </w:tc>
        <w:tc>
          <w:tcPr>
            <w:tcW w:w="1100" w:type="dxa"/>
            <w:vAlign w:val="bottom"/>
            <w:tcBorders>
              <w:top w:val="single" w:sz="8" w:color="auto"/>
            </w:tcBorders>
            <w:shd w:val="clear" w:color="auto" w:fill="CCEEFF"/>
          </w:tcPr>
          <w:p>
            <w:pPr>
              <w:jc w:val="right"/>
              <w:ind w:right="916"/>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5,714</w:t>
            </w:r>
          </w:p>
        </w:tc>
        <w:tc>
          <w:tcPr>
            <w:tcW w:w="0" w:type="dxa"/>
            <w:vAlign w:val="bottom"/>
          </w:tcPr>
          <w:p>
            <w:pPr>
              <w:spacing w:after="0"/>
              <w:rPr>
                <w:sz w:val="1"/>
                <w:szCs w:val="1"/>
                <w:color w:val="auto"/>
              </w:rPr>
            </w:pPr>
          </w:p>
        </w:tc>
      </w:tr>
      <w:tr>
        <w:trPr>
          <w:trHeight w:val="183"/>
        </w:trPr>
        <w:tc>
          <w:tcPr>
            <w:tcW w:w="2000" w:type="dxa"/>
            <w:vAlign w:val="bottom"/>
          </w:tcPr>
          <w:p>
            <w:pPr>
              <w:ind w:left="20"/>
              <w:spacing w:after="0" w:line="182" w:lineRule="exact"/>
              <w:rPr>
                <w:sz w:val="20"/>
                <w:szCs w:val="20"/>
                <w:color w:val="auto"/>
              </w:rPr>
            </w:pPr>
            <w:r>
              <w:rPr>
                <w:rFonts w:ascii="Arial" w:cs="Arial" w:eastAsia="Arial" w:hAnsi="Arial"/>
                <w:sz w:val="18"/>
                <w:szCs w:val="18"/>
                <w:color w:val="auto"/>
                <w:w w:val="95"/>
              </w:rPr>
              <w:t>Consulting fees and other</w:t>
            </w:r>
          </w:p>
        </w:tc>
        <w:tc>
          <w:tcPr>
            <w:tcW w:w="1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000" w:type="dxa"/>
            <w:vAlign w:val="bottom"/>
          </w:tcPr>
          <w:p>
            <w:pPr>
              <w:ind w:left="20"/>
              <w:spacing w:after="0" w:line="235" w:lineRule="exact"/>
              <w:rPr>
                <w:sz w:val="20"/>
                <w:szCs w:val="20"/>
                <w:color w:val="auto"/>
              </w:rPr>
            </w:pPr>
            <w:r>
              <w:rPr>
                <w:rFonts w:ascii="Arial" w:cs="Arial" w:eastAsia="Arial" w:hAnsi="Arial"/>
                <w:sz w:val="18"/>
                <w:szCs w:val="18"/>
                <w:color w:val="auto"/>
              </w:rPr>
              <w:t xml:space="preserve">costs </w:t>
            </w:r>
            <w:r>
              <w:rPr>
                <w:rFonts w:ascii="Arial" w:cs="Arial" w:eastAsia="Arial" w:hAnsi="Arial"/>
                <w:sz w:val="23"/>
                <w:szCs w:val="23"/>
                <w:color w:val="auto"/>
                <w:vertAlign w:val="superscript"/>
              </w:rPr>
              <w:t>(2)</w:t>
            </w:r>
          </w:p>
        </w:tc>
        <w:tc>
          <w:tcPr>
            <w:tcW w:w="11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9"/>
              </w:rPr>
              <w:t>302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2,905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3,207</w:t>
            </w:r>
          </w:p>
        </w:tc>
        <w:tc>
          <w:tcPr>
            <w:tcW w:w="0" w:type="dxa"/>
            <w:vAlign w:val="bottom"/>
          </w:tcPr>
          <w:p>
            <w:pPr>
              <w:spacing w:after="0"/>
              <w:rPr>
                <w:sz w:val="1"/>
                <w:szCs w:val="1"/>
                <w:color w:val="auto"/>
              </w:rPr>
            </w:pPr>
          </w:p>
        </w:tc>
      </w:tr>
      <w:tr>
        <w:trPr>
          <w:trHeight w:val="248"/>
        </w:trPr>
        <w:tc>
          <w:tcPr>
            <w:tcW w:w="2000" w:type="dxa"/>
            <w:vAlign w:val="bottom"/>
            <w:tcBorders>
              <w:top w:val="single" w:sz="8" w:color="CCEEFF"/>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Total </w:t>
            </w:r>
            <w:r>
              <w:rPr>
                <w:rFonts w:ascii="Arial" w:cs="Arial" w:eastAsia="Arial" w:hAnsi="Arial"/>
                <w:sz w:val="23"/>
                <w:szCs w:val="23"/>
                <w:color w:val="auto"/>
                <w:vertAlign w:val="superscript"/>
              </w:rPr>
              <w:t>(3)</w:t>
            </w:r>
          </w:p>
        </w:tc>
        <w:tc>
          <w:tcPr>
            <w:tcW w:w="1100" w:type="dxa"/>
            <w:vAlign w:val="bottom"/>
            <w:tcBorders>
              <w:top w:val="single" w:sz="8" w:color="auto"/>
              <w:bottom w:val="single" w:sz="8" w:color="auto"/>
            </w:tcBorders>
            <w:shd w:val="clear" w:color="auto" w:fill="CCEEFF"/>
          </w:tcPr>
          <w:p>
            <w:pPr>
              <w:jc w:val="right"/>
              <w:ind w:right="916"/>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317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8,921</w:t>
            </w:r>
          </w:p>
        </w:tc>
        <w:tc>
          <w:tcPr>
            <w:tcW w:w="0" w:type="dxa"/>
            <w:vAlign w:val="bottom"/>
          </w:tcPr>
          <w:p>
            <w:pPr>
              <w:spacing w:after="0"/>
              <w:rPr>
                <w:sz w:val="1"/>
                <w:szCs w:val="1"/>
                <w:color w:val="auto"/>
              </w:rPr>
            </w:pP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p>
    <w:p>
      <w:pPr>
        <w:ind w:left="920" w:hanging="246"/>
        <w:spacing w:after="0"/>
        <w:tabs>
          <w:tab w:leader="none" w:pos="9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CEO retirement severance</w:t>
      </w:r>
    </w:p>
    <w:p>
      <w:pPr>
        <w:spacing w:after="0" w:line="23" w:lineRule="exact"/>
        <w:rPr>
          <w:rFonts w:ascii="Arial" w:cs="Arial" w:eastAsia="Arial" w:hAnsi="Arial"/>
          <w:sz w:val="18"/>
          <w:szCs w:val="18"/>
          <w:color w:val="auto"/>
        </w:rPr>
      </w:pPr>
    </w:p>
    <w:p>
      <w:pPr>
        <w:ind w:left="920" w:hanging="246"/>
        <w:spacing w:after="0"/>
        <w:tabs>
          <w:tab w:leader="none" w:pos="9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Includes $2.9 million for fees related to cost savings initiatives and CEO search and $0.3 million for concept brand exit costs</w:t>
      </w:r>
    </w:p>
    <w:p>
      <w:pPr>
        <w:spacing w:after="0" w:line="34" w:lineRule="exact"/>
        <w:rPr>
          <w:rFonts w:ascii="Arial" w:cs="Arial" w:eastAsia="Arial" w:hAnsi="Arial"/>
          <w:sz w:val="17"/>
          <w:szCs w:val="17"/>
          <w:color w:val="auto"/>
        </w:rPr>
      </w:pPr>
    </w:p>
    <w:p>
      <w:pPr>
        <w:ind w:left="920" w:hanging="246"/>
        <w:spacing w:after="0"/>
        <w:tabs>
          <w:tab w:leader="none" w:pos="9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$8.7 million of the charges are recorded within SG&amp;A expenses and $0.2 million are recorded within cost of sales</w:t>
      </w:r>
    </w:p>
    <w:p>
      <w:pPr>
        <w:spacing w:after="0" w:line="33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summary of charges and related liabilities associated with the cost savings initiatives and severance charges are as follows (in thousands):</w:t>
      </w:r>
    </w:p>
    <w:p>
      <w:pPr>
        <w:sectPr>
          <w:pgSz w:w="11900" w:h="16838" w:orient="portrait"/>
          <w:cols w:equalWidth="0" w:num="1">
            <w:col w:w="11140"/>
          </w:cols>
          <w:pgMar w:left="320" w:top="121"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80"/>
        <w:spacing w:after="0"/>
        <w:rPr>
          <w:sz w:val="20"/>
          <w:szCs w:val="20"/>
          <w:color w:val="auto"/>
        </w:rPr>
      </w:pPr>
      <w:r>
        <w:rPr>
          <w:rFonts w:ascii="Arial" w:cs="Arial" w:eastAsia="Arial" w:hAnsi="Arial"/>
          <w:sz w:val="18"/>
          <w:szCs w:val="18"/>
          <w:color w:val="auto"/>
        </w:rPr>
        <w:t>Liability as of January 28,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-139065</wp:posOffset>
            </wp:positionV>
            <wp:extent cx="6240780"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40780" cy="154305"/>
                    </a:xfrm>
                    <a:prstGeom prst="rect">
                      <a:avLst/>
                    </a:prstGeom>
                    <a:noFill/>
                  </pic:spPr>
                </pic:pic>
              </a:graphicData>
            </a:graphic>
          </wp:anchor>
        </w:drawing>
      </w:r>
    </w:p>
    <w:p>
      <w:pPr>
        <w:spacing w:after="0" w:line="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Fiscal 2024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6240780"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40780" cy="146050"/>
                    </a:xfrm>
                    <a:prstGeom prst="rect">
                      <a:avLst/>
                    </a:prstGeom>
                    <a:noFill/>
                  </pic:spPr>
                </pic:pic>
              </a:graphicData>
            </a:graphic>
          </wp:anchor>
        </w:drawing>
      </w:r>
    </w:p>
    <w:p>
      <w:pPr>
        <w:spacing w:after="0" w:line="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Cash payments</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Non-cash charges and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624078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40780" cy="171450"/>
                    </a:xfrm>
                    <a:prstGeom prst="rect">
                      <a:avLst/>
                    </a:prstGeom>
                    <a:noFill/>
                  </pic:spPr>
                </pic:pic>
              </a:graphicData>
            </a:graphic>
          </wp:anchor>
        </w:drawing>
      </w:r>
    </w:p>
    <w:p>
      <w:pPr>
        <w:spacing w:after="0" w:line="42" w:lineRule="exact"/>
        <w:rPr>
          <w:sz w:val="20"/>
          <w:szCs w:val="20"/>
          <w:color w:val="auto"/>
        </w:rPr>
      </w:pPr>
    </w:p>
    <w:p>
      <w:pPr>
        <w:ind w:left="680"/>
        <w:spacing w:after="0"/>
        <w:rPr>
          <w:sz w:val="20"/>
          <w:szCs w:val="20"/>
          <w:color w:val="auto"/>
        </w:rPr>
      </w:pPr>
      <w:r>
        <w:rPr>
          <w:rFonts w:ascii="Arial" w:cs="Arial" w:eastAsia="Arial" w:hAnsi="Arial"/>
          <w:sz w:val="18"/>
          <w:szCs w:val="18"/>
          <w:color w:val="auto"/>
        </w:rPr>
        <w:t>Liability as of July 29, 2023</w:t>
      </w:r>
    </w:p>
    <w:p>
      <w:pPr>
        <w:spacing w:after="0" w:line="77" w:lineRule="exact"/>
        <w:rPr>
          <w:sz w:val="20"/>
          <w:szCs w:val="20"/>
          <w:color w:val="auto"/>
        </w:rPr>
      </w:pPr>
    </w:p>
    <w:p>
      <w:pPr>
        <w:ind w:left="680"/>
        <w:spacing w:after="0"/>
        <w:rPr>
          <w:sz w:val="20"/>
          <w:szCs w:val="20"/>
          <w:color w:val="auto"/>
        </w:rPr>
      </w:pPr>
      <w:r>
        <w:rPr>
          <w:rFonts w:ascii="Arial" w:cs="Arial" w:eastAsia="Arial" w:hAnsi="Arial"/>
          <w:sz w:val="16"/>
          <w:szCs w:val="16"/>
          <w:color w:val="auto"/>
        </w:rPr>
        <w:t>(1) Remaining liability is recorded within accrued employment costs</w:t>
      </w:r>
    </w:p>
    <w:p>
      <w:pPr>
        <w:spacing w:after="0" w:line="200" w:lineRule="exact"/>
        <w:rPr>
          <w:sz w:val="20"/>
          <w:szCs w:val="20"/>
          <w:color w:val="auto"/>
        </w:rPr>
      </w:pPr>
    </w:p>
    <w:p>
      <w:pPr>
        <w:spacing w:after="0" w:line="26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 Charges</w:t>
      </w:r>
    </w:p>
    <w:p>
      <w:pPr>
        <w:spacing w:after="0" w:line="20" w:lineRule="exact"/>
        <w:rPr>
          <w:sz w:val="20"/>
          <w:szCs w:val="20"/>
          <w:color w:val="auto"/>
        </w:rPr>
      </w:pPr>
      <w:r>
        <w:rPr>
          <w:sz w:val="20"/>
          <w:szCs w:val="20"/>
          <w:color w:val="auto"/>
        </w:rPr>
        <w:br w:type="column"/>
      </w:r>
    </w:p>
    <w:p>
      <w:pPr>
        <w:spacing w:after="0" w:line="2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Severance Charges and Cash</w:t>
            </w:r>
          </w:p>
        </w:tc>
        <w:tc>
          <w:tcPr>
            <w:tcW w:w="140" w:type="dxa"/>
            <w:vAlign w:val="bottom"/>
          </w:tcPr>
          <w:p>
            <w:pPr>
              <w:spacing w:after="0"/>
              <w:rPr>
                <w:sz w:val="14"/>
                <w:szCs w:val="14"/>
                <w:color w:val="auto"/>
              </w:rPr>
            </w:pPr>
          </w:p>
        </w:tc>
        <w:tc>
          <w:tcPr>
            <w:tcW w:w="184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w w:val="92"/>
              </w:rPr>
              <w:t>Consulting Fees and Other</w:t>
            </w:r>
          </w:p>
        </w:tc>
        <w:tc>
          <w:tcPr>
            <w:tcW w:w="0" w:type="dxa"/>
            <w:vAlign w:val="bottom"/>
          </w:tcPr>
          <w:p>
            <w:pPr>
              <w:spacing w:after="0"/>
              <w:rPr>
                <w:sz w:val="1"/>
                <w:szCs w:val="1"/>
                <w:color w:val="auto"/>
              </w:rPr>
            </w:pPr>
          </w:p>
        </w:tc>
      </w:tr>
      <w:tr>
        <w:trPr>
          <w:trHeight w:val="145"/>
        </w:trPr>
        <w:tc>
          <w:tcPr>
            <w:tcW w:w="180" w:type="dxa"/>
            <w:vAlign w:val="bottom"/>
          </w:tcPr>
          <w:p>
            <w:pPr>
              <w:spacing w:after="0"/>
              <w:rPr>
                <w:sz w:val="12"/>
                <w:szCs w:val="12"/>
                <w:color w:val="auto"/>
              </w:rPr>
            </w:pPr>
          </w:p>
        </w:tc>
        <w:tc>
          <w:tcPr>
            <w:tcW w:w="188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91"/>
              </w:rPr>
              <w:t>Retention Payment</w:t>
            </w:r>
          </w:p>
        </w:tc>
        <w:tc>
          <w:tcPr>
            <w:tcW w:w="14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180" w:type="dxa"/>
            <w:vAlign w:val="bottom"/>
          </w:tcPr>
          <w:p>
            <w:pPr>
              <w:spacing w:after="0"/>
              <w:rPr>
                <w:sz w:val="17"/>
                <w:szCs w:val="17"/>
                <w:color w:val="auto"/>
              </w:rPr>
            </w:pPr>
          </w:p>
        </w:tc>
        <w:tc>
          <w:tcPr>
            <w:tcW w:w="1880" w:type="dxa"/>
            <w:vAlign w:val="bottom"/>
            <w:gridSpan w:val="2"/>
          </w:tcPr>
          <w:p>
            <w:pPr>
              <w:jc w:val="center"/>
              <w:ind w:right="280"/>
              <w:spacing w:after="0" w:line="201" w:lineRule="exact"/>
              <w:rPr>
                <w:sz w:val="20"/>
                <w:szCs w:val="20"/>
                <w:color w:val="auto"/>
              </w:rPr>
            </w:pPr>
            <w:r>
              <w:rPr>
                <w:rFonts w:ascii="Arial" w:cs="Arial" w:eastAsia="Arial" w:hAnsi="Arial"/>
                <w:sz w:val="14"/>
                <w:szCs w:val="14"/>
                <w:b w:val="1"/>
                <w:bCs w:val="1"/>
                <w:color w:val="auto"/>
                <w:w w:val="91"/>
              </w:rPr>
              <w:t xml:space="preserve">Acceleration Charges </w:t>
            </w:r>
            <w:r>
              <w:rPr>
                <w:rFonts w:ascii="Arial" w:cs="Arial" w:eastAsia="Arial" w:hAnsi="Arial"/>
                <w:sz w:val="18"/>
                <w:szCs w:val="18"/>
                <w:b w:val="1"/>
                <w:bCs w:val="1"/>
                <w:color w:val="auto"/>
                <w:w w:val="91"/>
                <w:vertAlign w:val="superscript"/>
              </w:rPr>
              <w:t>(1)</w:t>
            </w:r>
          </w:p>
        </w:tc>
        <w:tc>
          <w:tcPr>
            <w:tcW w:w="140" w:type="dxa"/>
            <w:vAlign w:val="bottom"/>
          </w:tcPr>
          <w:p>
            <w:pPr>
              <w:spacing w:after="0"/>
              <w:rPr>
                <w:sz w:val="17"/>
                <w:szCs w:val="17"/>
                <w:color w:val="auto"/>
              </w:rPr>
            </w:pPr>
          </w:p>
        </w:tc>
        <w:tc>
          <w:tcPr>
            <w:tcW w:w="1840" w:type="dxa"/>
            <w:vAlign w:val="bottom"/>
          </w:tcPr>
          <w:p>
            <w:pPr>
              <w:jc w:val="right"/>
              <w:ind w:right="735"/>
              <w:spacing w:after="0"/>
              <w:rPr>
                <w:sz w:val="20"/>
                <w:szCs w:val="20"/>
                <w:color w:val="auto"/>
              </w:rPr>
            </w:pPr>
            <w:r>
              <w:rPr>
                <w:rFonts w:ascii="Arial" w:cs="Arial" w:eastAsia="Arial" w:hAnsi="Arial"/>
                <w:sz w:val="14"/>
                <w:szCs w:val="14"/>
                <w:b w:val="1"/>
                <w:bCs w:val="1"/>
                <w:color w:val="auto"/>
              </w:rPr>
              <w:t>Costs</w:t>
            </w:r>
          </w:p>
        </w:tc>
        <w:tc>
          <w:tcPr>
            <w:tcW w:w="0" w:type="dxa"/>
            <w:vAlign w:val="bottom"/>
          </w:tcPr>
          <w:p>
            <w:pPr>
              <w:spacing w:after="0"/>
              <w:rPr>
                <w:sz w:val="1"/>
                <w:szCs w:val="1"/>
                <w:color w:val="auto"/>
              </w:rPr>
            </w:pPr>
          </w:p>
        </w:tc>
      </w:tr>
      <w:tr>
        <w:trPr>
          <w:trHeight w:val="222"/>
        </w:trPr>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3,083</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9"/>
        </w:trPr>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2,068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(4,946)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1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71" w:lineRule="exact"/>
        <w:rPr>
          <w:sz w:val="20"/>
          <w:szCs w:val="20"/>
          <w:color w:val="auto"/>
        </w:rPr>
      </w:pPr>
    </w:p>
    <w:p>
      <w:pPr>
        <w:sectPr>
          <w:pgSz w:w="11900" w:h="16838" w:orient="portrait"/>
          <w:cols w:equalWidth="0" w:num="2">
            <w:col w:w="5720" w:space="720"/>
            <w:col w:w="4700"/>
          </w:cols>
          <w:pgMar w:left="320" w:top="121" w:right="439" w:bottom="1440" w:gutter="0" w:footer="0" w:header="0"/>
          <w:type w:val="continuous"/>
        </w:sectPr>
      </w:pPr>
    </w:p>
    <w:p>
      <w:pPr>
        <w:ind w:left="660" w:right="120"/>
        <w:spacing w:after="0" w:line="275" w:lineRule="auto"/>
        <w:rPr>
          <w:sz w:val="20"/>
          <w:szCs w:val="20"/>
          <w:color w:val="auto"/>
        </w:rPr>
      </w:pPr>
      <w:r>
        <w:rPr>
          <w:rFonts w:ascii="Arial" w:cs="Arial" w:eastAsia="Arial" w:hAnsi="Arial"/>
          <w:sz w:val="17"/>
          <w:szCs w:val="17"/>
          <w:color w:val="auto"/>
        </w:rPr>
        <w:t>During the thirteen and twenty-six weeks ended July 30, 2022, the Company recorded $5.9 million of non-cash inventory adjustments related to the exit of certain technology products and excess mask products and $1.1 million for purchase order cancellation fees related to spring 2023 product within cost of sales in its Condensed Consolidated Statement of Operations. Collectively, $5.1 million was recorded within the Direct segment, $1.0 million was recorded within the Indirect segment, and $0.9 million was recorded within the Pura Vida segment. There were no similar charges during the thirteen and twenty-six weeks ended July 29, 2023.</w:t>
      </w:r>
    </w:p>
    <w:p>
      <w:pPr>
        <w:spacing w:after="0" w:line="294"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94" w:lineRule="exact"/>
        <w:rPr>
          <w:rFonts w:ascii="Arial" w:cs="Arial" w:eastAsia="Arial" w:hAnsi="Arial"/>
          <w:sz w:val="18"/>
          <w:szCs w:val="18"/>
          <w:b w:val="1"/>
          <w:bCs w:val="1"/>
          <w:color w:val="auto"/>
        </w:rPr>
      </w:pPr>
    </w:p>
    <w:p>
      <w:pPr>
        <w:ind w:left="66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The Company has three operating segments, which are also its reportable segments: VB Direct, VB Indirect, and Pura Vida. These operating segments are components of the Company for which separate financial information is available and for which operating results are evaluated on a regular basis by the chief operating decision maker in deciding how to allocate resources and in assessing the performance of the segments.</w:t>
      </w:r>
    </w:p>
    <w:p>
      <w:pPr>
        <w:spacing w:after="0" w:line="27" w:lineRule="exact"/>
        <w:rPr>
          <w:rFonts w:ascii="Arial" w:cs="Arial" w:eastAsia="Arial" w:hAnsi="Arial"/>
          <w:sz w:val="18"/>
          <w:szCs w:val="18"/>
          <w:b w:val="1"/>
          <w:bCs w:val="1"/>
          <w:color w:val="auto"/>
        </w:rPr>
      </w:pPr>
    </w:p>
    <w:p>
      <w:pPr>
        <w:jc w:val="both"/>
        <w:ind w:left="660" w:right="2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VB Direct segment includes Vera Bradley full-line and factory outlet stores; the Vera Bradley website, verabradley.com; the Vera Bradley online outlet site; and the Vera Bradley annual outlet sale. Revenues generated from this segment are driven through the sale of Vera Bradley-branded products from Vera Bradley to end consumers.</w:t>
      </w:r>
    </w:p>
    <w:p>
      <w:pPr>
        <w:spacing w:after="0" w:line="62" w:lineRule="exact"/>
        <w:rPr>
          <w:rFonts w:ascii="Arial" w:cs="Arial" w:eastAsia="Arial" w:hAnsi="Arial"/>
          <w:sz w:val="18"/>
          <w:szCs w:val="18"/>
          <w:b w:val="1"/>
          <w:bCs w:val="1"/>
          <w:color w:val="auto"/>
        </w:rPr>
      </w:pPr>
    </w:p>
    <w:p>
      <w:pPr>
        <w:ind w:left="660" w:right="1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VB Indirect segment represents revenues generated through the distribution of Vera Bradley-branded products to specialty retailers representing approximately 1,700 locations, substantially all of which are located in the United States; key accounts, which include department stores, national accounts, third-party e-commerce sites, and third-party inventory liquidators; and royalties recognized through licensing agreements related to the Vera Bradley brand.</w:t>
      </w:r>
    </w:p>
    <w:p>
      <w:pPr>
        <w:spacing w:after="0" w:line="200" w:lineRule="exact"/>
        <w:rPr>
          <w:sz w:val="20"/>
          <w:szCs w:val="20"/>
          <w:color w:val="auto"/>
        </w:rPr>
      </w:pPr>
    </w:p>
    <w:p>
      <w:pPr>
        <w:spacing w:after="0" w:line="36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1" w:lineRule="exact"/>
        <w:rPr>
          <w:sz w:val="20"/>
          <w:szCs w:val="20"/>
          <w:color w:val="auto"/>
        </w:rPr>
      </w:pPr>
    </w:p>
    <w:p>
      <w:pPr>
        <w:ind w:left="660" w:right="80"/>
        <w:spacing w:after="0" w:line="263" w:lineRule="auto"/>
        <w:rPr>
          <w:sz w:val="20"/>
          <w:szCs w:val="20"/>
          <w:color w:val="auto"/>
        </w:rPr>
      </w:pPr>
      <w:r>
        <w:rPr>
          <w:rFonts w:ascii="Arial" w:cs="Arial" w:eastAsia="Arial" w:hAnsi="Arial"/>
          <w:sz w:val="18"/>
          <w:szCs w:val="18"/>
          <w:color w:val="auto"/>
        </w:rPr>
        <w:t>The Pura Vida segment represents revenues generated through the Pura Vida websites, www.puravidabracelets.com, puravidabracelets.ca, and www.puravidabracelets.eu; through the distribution of Pura Vida-branded products to wholesale retailers, substantially all of which are located in the United States; and through the Pura Vida retail stores.</w:t>
      </w:r>
    </w:p>
    <w:p>
      <w:pPr>
        <w:spacing w:after="0" w:line="49" w:lineRule="exact"/>
        <w:rPr>
          <w:sz w:val="20"/>
          <w:szCs w:val="20"/>
          <w:color w:val="auto"/>
        </w:rPr>
      </w:pPr>
    </w:p>
    <w:p>
      <w:pPr>
        <w:ind w:left="660"/>
        <w:spacing w:after="0" w:line="259" w:lineRule="auto"/>
        <w:rPr>
          <w:sz w:val="20"/>
          <w:szCs w:val="20"/>
          <w:color w:val="auto"/>
        </w:rPr>
      </w:pPr>
      <w:r>
        <w:rPr>
          <w:rFonts w:ascii="Arial" w:cs="Arial" w:eastAsia="Arial" w:hAnsi="Arial"/>
          <w:sz w:val="18"/>
          <w:szCs w:val="18"/>
          <w:color w:val="auto"/>
        </w:rPr>
        <w:t>Corporate costs represent the Company’s administrative expenses, which include, but are not limited to: human resources, legal, finance, information technology, design, product development, merchandising, corporate-level marketing and advertising, and various other corporate-level-activity-related expenses not directly attributable to a reportable segment. All intercompany-related activities are eliminated in consolidation and are excluded from the segment reporting.</w:t>
      </w:r>
    </w:p>
    <w:p>
      <w:pPr>
        <w:spacing w:after="0" w:line="65" w:lineRule="exact"/>
        <w:rPr>
          <w:sz w:val="20"/>
          <w:szCs w:val="20"/>
          <w:color w:val="auto"/>
        </w:rPr>
      </w:pPr>
    </w:p>
    <w:p>
      <w:pPr>
        <w:ind w:left="660" w:right="180"/>
        <w:spacing w:after="0" w:line="295" w:lineRule="auto"/>
        <w:rPr>
          <w:sz w:val="20"/>
          <w:szCs w:val="20"/>
          <w:color w:val="auto"/>
        </w:rPr>
      </w:pPr>
      <w:r>
        <w:rPr>
          <w:rFonts w:ascii="Arial" w:cs="Arial" w:eastAsia="Arial" w:hAnsi="Arial"/>
          <w:sz w:val="16"/>
          <w:szCs w:val="16"/>
          <w:color w:val="auto"/>
        </w:rPr>
        <w:t>Company management evaluates segment operating results based on several indicators. The primary or key performance indicators for each segment are net revenues and operating income. Net revenues and operating income information for the Company’s reportable segments during the thirteen and twenty-six weeks ended July 29, 2023 and July 30, 2022, respectively, consisted of the following (in thousands):</w:t>
      </w:r>
    </w:p>
    <w:p>
      <w:pPr>
        <w:spacing w:after="0" w:line="2" w:lineRule="exact"/>
        <w:rPr>
          <w:sz w:val="20"/>
          <w:szCs w:val="20"/>
          <w:color w:val="auto"/>
        </w:rPr>
      </w:pPr>
    </w:p>
    <w:tbl>
      <w:tblPr>
        <w:tblLayout w:type="fixed"/>
        <w:tblInd w:w="660" w:type="dxa"/>
        <w:tblCellMar>
          <w:top w:w="0" w:type="dxa"/>
          <w:left w:w="0" w:type="dxa"/>
          <w:bottom w:w="0" w:type="dxa"/>
          <w:right w:w="0" w:type="dxa"/>
        </w:tblCellMar>
      </w:tblPr>
      <w:tr>
        <w:trPr>
          <w:trHeight w:val="186"/>
        </w:trPr>
        <w:tc>
          <w:tcPr>
            <w:tcW w:w="3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80" w:type="dxa"/>
            <w:vAlign w:val="bottom"/>
            <w:gridSpan w:val="5"/>
          </w:tcPr>
          <w:p>
            <w:pPr>
              <w:ind w:left="580"/>
              <w:spacing w:after="0"/>
              <w:rPr>
                <w:sz w:val="20"/>
                <w:szCs w:val="20"/>
                <w:color w:val="auto"/>
              </w:rPr>
            </w:pPr>
            <w:r>
              <w:rPr>
                <w:rFonts w:ascii="Arial" w:cs="Arial" w:eastAsia="Arial" w:hAnsi="Arial"/>
                <w:sz w:val="14"/>
                <w:szCs w:val="14"/>
                <w:b w:val="1"/>
                <w:bCs w:val="1"/>
                <w:color w:val="auto"/>
              </w:rPr>
              <w:t>Thirteen Weeks Ended</w:t>
            </w:r>
          </w:p>
        </w:tc>
        <w:tc>
          <w:tcPr>
            <w:tcW w:w="320" w:type="dxa"/>
            <w:vAlign w:val="bottom"/>
          </w:tcPr>
          <w:p>
            <w:pPr>
              <w:spacing w:after="0"/>
              <w:rPr>
                <w:sz w:val="16"/>
                <w:szCs w:val="16"/>
                <w:color w:val="auto"/>
              </w:rPr>
            </w:pPr>
          </w:p>
        </w:tc>
        <w:tc>
          <w:tcPr>
            <w:tcW w:w="2860" w:type="dxa"/>
            <w:vAlign w:val="bottom"/>
            <w:gridSpan w:val="4"/>
          </w:tcPr>
          <w:p>
            <w:pPr>
              <w:jc w:val="right"/>
              <w:ind w:right="713"/>
              <w:spacing w:after="0"/>
              <w:rPr>
                <w:sz w:val="20"/>
                <w:szCs w:val="20"/>
                <w:color w:val="auto"/>
              </w:rPr>
            </w:pPr>
            <w:r>
              <w:rPr>
                <w:rFonts w:ascii="Arial" w:cs="Arial" w:eastAsia="Arial" w:hAnsi="Arial"/>
                <w:sz w:val="14"/>
                <w:szCs w:val="14"/>
                <w:b w:val="1"/>
                <w:bCs w:val="1"/>
                <w:color w:val="auto"/>
              </w:rPr>
              <w:t>Twenty-Six Weeks Ended</w:t>
            </w:r>
          </w:p>
        </w:tc>
        <w:tc>
          <w:tcPr>
            <w:tcW w:w="0" w:type="dxa"/>
            <w:vAlign w:val="bottom"/>
          </w:tcPr>
          <w:p>
            <w:pPr>
              <w:spacing w:after="0"/>
              <w:rPr>
                <w:sz w:val="1"/>
                <w:szCs w:val="1"/>
                <w:color w:val="auto"/>
              </w:rPr>
            </w:pPr>
          </w:p>
        </w:tc>
      </w:tr>
      <w:tr>
        <w:trPr>
          <w:trHeight w:val="26"/>
        </w:trPr>
        <w:tc>
          <w:tcPr>
            <w:tcW w:w="3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34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gridSpan w:val="2"/>
          </w:tcPr>
          <w:p>
            <w:pPr>
              <w:ind w:left="220"/>
              <w:spacing w:after="0" w:line="133" w:lineRule="exact"/>
              <w:rPr>
                <w:sz w:val="20"/>
                <w:szCs w:val="20"/>
                <w:color w:val="auto"/>
              </w:rPr>
            </w:pPr>
            <w:r>
              <w:rPr>
                <w:rFonts w:ascii="Arial" w:cs="Arial" w:eastAsia="Arial" w:hAnsi="Arial"/>
                <w:sz w:val="14"/>
                <w:szCs w:val="14"/>
                <w:b w:val="1"/>
                <w:bCs w:val="1"/>
                <w:color w:val="auto"/>
              </w:rPr>
              <w:t>July 29,</w:t>
            </w:r>
          </w:p>
        </w:tc>
        <w:tc>
          <w:tcPr>
            <w:tcW w:w="3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right"/>
              <w:ind w:right="433"/>
              <w:spacing w:after="0" w:line="133" w:lineRule="exact"/>
              <w:rPr>
                <w:sz w:val="20"/>
                <w:szCs w:val="20"/>
                <w:color w:val="auto"/>
              </w:rPr>
            </w:pPr>
            <w:r>
              <w:rPr>
                <w:rFonts w:ascii="Arial" w:cs="Arial" w:eastAsia="Arial" w:hAnsi="Arial"/>
                <w:sz w:val="14"/>
                <w:szCs w:val="14"/>
                <w:b w:val="1"/>
                <w:bCs w:val="1"/>
                <w:color w:val="auto"/>
              </w:rPr>
              <w:t>July 30,</w:t>
            </w:r>
          </w:p>
        </w:tc>
        <w:tc>
          <w:tcPr>
            <w:tcW w:w="12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2"/>
          </w:tcPr>
          <w:p>
            <w:pPr>
              <w:ind w:left="200"/>
              <w:spacing w:after="0" w:line="133" w:lineRule="exact"/>
              <w:rPr>
                <w:sz w:val="20"/>
                <w:szCs w:val="20"/>
                <w:color w:val="auto"/>
              </w:rPr>
            </w:pPr>
            <w:r>
              <w:rPr>
                <w:rFonts w:ascii="Arial" w:cs="Arial" w:eastAsia="Arial" w:hAnsi="Arial"/>
                <w:sz w:val="14"/>
                <w:szCs w:val="14"/>
                <w:b w:val="1"/>
                <w:bCs w:val="1"/>
                <w:color w:val="auto"/>
              </w:rPr>
              <w:t>July 29,</w:t>
            </w:r>
          </w:p>
        </w:tc>
        <w:tc>
          <w:tcPr>
            <w:tcW w:w="32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right"/>
              <w:ind w:right="433"/>
              <w:spacing w:after="0" w:line="133" w:lineRule="exact"/>
              <w:rPr>
                <w:sz w:val="20"/>
                <w:szCs w:val="20"/>
                <w:color w:val="auto"/>
              </w:rPr>
            </w:pPr>
            <w:r>
              <w:rPr>
                <w:rFonts w:ascii="Arial" w:cs="Arial" w:eastAsia="Arial" w:hAnsi="Arial"/>
                <w:sz w:val="14"/>
                <w:szCs w:val="14"/>
                <w:b w:val="1"/>
                <w:bCs w:val="1"/>
                <w:color w:val="auto"/>
              </w:rPr>
              <w:t>July 30,</w:t>
            </w:r>
          </w:p>
        </w:tc>
        <w:tc>
          <w:tcPr>
            <w:tcW w:w="0" w:type="dxa"/>
            <w:vAlign w:val="bottom"/>
          </w:tcPr>
          <w:p>
            <w:pPr>
              <w:spacing w:after="0"/>
              <w:rPr>
                <w:sz w:val="1"/>
                <w:szCs w:val="1"/>
                <w:color w:val="auto"/>
              </w:rPr>
            </w:pPr>
          </w:p>
        </w:tc>
      </w:tr>
      <w:tr>
        <w:trPr>
          <w:trHeight w:val="192"/>
        </w:trPr>
        <w:tc>
          <w:tcPr>
            <w:tcW w:w="33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net revenues:</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40" w:type="dxa"/>
            <w:vAlign w:val="bottom"/>
          </w:tcPr>
          <w:p>
            <w:pPr>
              <w:ind w:left="220"/>
              <w:spacing w:after="0"/>
              <w:rPr>
                <w:sz w:val="20"/>
                <w:szCs w:val="20"/>
                <w:color w:val="auto"/>
              </w:rPr>
            </w:pPr>
            <w:r>
              <w:rPr>
                <w:rFonts w:ascii="Arial" w:cs="Arial" w:eastAsia="Arial" w:hAnsi="Arial"/>
                <w:sz w:val="18"/>
                <w:szCs w:val="18"/>
                <w:color w:val="auto"/>
              </w:rPr>
              <w:t>VB Direct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85,702</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87,013</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144,607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148,649</w:t>
            </w: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VB Indirect</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17,363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34,302</w:t>
            </w:r>
          </w:p>
        </w:tc>
        <w:tc>
          <w:tcPr>
            <w:tcW w:w="0" w:type="dxa"/>
            <w:vAlign w:val="bottom"/>
          </w:tcPr>
          <w:p>
            <w:pPr>
              <w:spacing w:after="0"/>
              <w:rPr>
                <w:sz w:val="1"/>
                <w:szCs w:val="1"/>
                <w:color w:val="auto"/>
              </w:rPr>
            </w:pPr>
          </w:p>
        </w:tc>
      </w:tr>
      <w:tr>
        <w:trPr>
          <w:trHeight w:val="229"/>
        </w:trPr>
        <w:tc>
          <w:tcPr>
            <w:tcW w:w="33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Pura Vida</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25,107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26,033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45,191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45,879</w:t>
            </w:r>
          </w:p>
        </w:tc>
        <w:tc>
          <w:tcPr>
            <w:tcW w:w="0" w:type="dxa"/>
            <w:vAlign w:val="bottom"/>
          </w:tcPr>
          <w:p>
            <w:pPr>
              <w:spacing w:after="0"/>
              <w:rPr>
                <w:sz w:val="1"/>
                <w:szCs w:val="1"/>
                <w:color w:val="auto"/>
              </w:rPr>
            </w:pPr>
          </w:p>
        </w:tc>
      </w:tr>
      <w:tr>
        <w:trPr>
          <w:trHeight w:val="248"/>
        </w:trPr>
        <w:tc>
          <w:tcPr>
            <w:tcW w:w="33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128,172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130,371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222,534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228,830</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Segment operating income (loss):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3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VB Direct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20,621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15,547</w:t>
            </w:r>
          </w:p>
        </w:tc>
        <w:tc>
          <w:tcPr>
            <w:tcW w:w="0" w:type="dxa"/>
            <w:vAlign w:val="bottom"/>
          </w:tcPr>
          <w:p>
            <w:pPr>
              <w:spacing w:after="0"/>
              <w:rPr>
                <w:sz w:val="1"/>
                <w:szCs w:val="1"/>
                <w:color w:val="auto"/>
              </w:rPr>
            </w:pPr>
          </w:p>
        </w:tc>
      </w:tr>
      <w:tr>
        <w:trPr>
          <w:trHeight w:val="229"/>
        </w:trPr>
        <w:tc>
          <w:tcPr>
            <w:tcW w:w="3340" w:type="dxa"/>
            <w:vAlign w:val="bottom"/>
          </w:tcPr>
          <w:p>
            <w:pPr>
              <w:ind w:left="220"/>
              <w:spacing w:after="0"/>
              <w:rPr>
                <w:sz w:val="20"/>
                <w:szCs w:val="20"/>
                <w:color w:val="auto"/>
              </w:rPr>
            </w:pPr>
            <w:r>
              <w:rPr>
                <w:rFonts w:ascii="Arial" w:cs="Arial" w:eastAsia="Arial" w:hAnsi="Arial"/>
                <w:sz w:val="18"/>
                <w:szCs w:val="18"/>
                <w:color w:val="auto"/>
              </w:rPr>
              <w:t>VB Indirect</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6,204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3,918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10,910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9,397</w:t>
            </w: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Pura Vida</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(28,534)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(27,478)</w:t>
            </w:r>
          </w:p>
        </w:tc>
        <w:tc>
          <w:tcPr>
            <w:tcW w:w="0" w:type="dxa"/>
            <w:vAlign w:val="bottom"/>
          </w:tcPr>
          <w:p>
            <w:pPr>
              <w:spacing w:after="0"/>
              <w:rPr>
                <w:sz w:val="1"/>
                <w:szCs w:val="1"/>
                <w:color w:val="auto"/>
              </w:rPr>
            </w:pPr>
          </w:p>
        </w:tc>
      </w:tr>
      <w:tr>
        <w:trPr>
          <w:trHeight w:val="223"/>
        </w:trPr>
        <w:tc>
          <w:tcPr>
            <w:tcW w:w="3340" w:type="dxa"/>
            <w:vAlign w:val="bottom"/>
          </w:tcPr>
          <w:p>
            <w:pPr>
              <w:ind w:left="46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30,825</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(14,572)</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44,433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(2,534)</w:t>
            </w:r>
          </w:p>
        </w:tc>
        <w:tc>
          <w:tcPr>
            <w:tcW w:w="0" w:type="dxa"/>
            <w:vAlign w:val="bottom"/>
          </w:tcPr>
          <w:p>
            <w:pPr>
              <w:spacing w:after="0"/>
              <w:rPr>
                <w:sz w:val="1"/>
                <w:szCs w:val="1"/>
                <w:color w:val="auto"/>
              </w:rPr>
            </w:pPr>
          </w:p>
        </w:tc>
      </w:tr>
      <w:tr>
        <w:trPr>
          <w:trHeight w:val="20"/>
        </w:trPr>
        <w:tc>
          <w:tcPr>
            <w:tcW w:w="33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3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Reconciliation:</w:t>
            </w: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340" w:type="dxa"/>
            <w:vAlign w:val="bottom"/>
          </w:tcPr>
          <w:p>
            <w:pPr>
              <w:ind w:left="220"/>
              <w:spacing w:after="0"/>
              <w:rPr>
                <w:sz w:val="20"/>
                <w:szCs w:val="20"/>
                <w:color w:val="auto"/>
              </w:rPr>
            </w:pPr>
            <w:r>
              <w:rPr>
                <w:rFonts w:ascii="Arial" w:cs="Arial" w:eastAsia="Arial" w:hAnsi="Arial"/>
                <w:sz w:val="18"/>
                <w:szCs w:val="18"/>
                <w:color w:val="auto"/>
              </w:rPr>
              <w:t>Segment operating income (loss)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30,825</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(14,572)</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44,433</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(2,534)</w:t>
            </w: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Unallocated corporate expenses</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(17,954)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(28,249)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(37,948)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(48,520)</w:t>
            </w:r>
          </w:p>
        </w:tc>
        <w:tc>
          <w:tcPr>
            <w:tcW w:w="0" w:type="dxa"/>
            <w:vAlign w:val="bottom"/>
          </w:tcPr>
          <w:p>
            <w:pPr>
              <w:spacing w:after="0"/>
              <w:rPr>
                <w:sz w:val="1"/>
                <w:szCs w:val="1"/>
                <w:color w:val="auto"/>
              </w:rPr>
            </w:pPr>
          </w:p>
        </w:tc>
      </w:tr>
      <w:tr>
        <w:trPr>
          <w:trHeight w:val="248"/>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12,871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(42,821)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(51,054)</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08"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The following discussion summarizes the significant factors affecting the condensed consolidated operating results, financial condition, liquidity, and cash flows of the Company as of and for the thirteen and twenty-six weeks ended July 29, 2023 and July 30, 2022. The following discussion should be read in conjunction with our Annual Report on Form 10-K for the fiscal year ended January 28, 2023, and our unaudited condensed consolidated financial statements and the related notes included in Item 1 of this Quarterly Report. The results of operations for the thirteen and twenty-six weeks ended July 29, 2023, are not necessarily indicative of the results to be expected for the full fiscal year.</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Progress, Macroeconomic Factors, and Other Factors Impacting our Financial Condition and Results of Operations</w:t>
      </w:r>
    </w:p>
    <w:p>
      <w:pPr>
        <w:spacing w:after="0" w:line="10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Strategic Progress</w:t>
      </w:r>
      <w:r>
        <w:rPr>
          <w:rFonts w:ascii="Arial" w:cs="Arial" w:eastAsia="Arial" w:hAnsi="Arial"/>
          <w:sz w:val="18"/>
          <w:szCs w:val="18"/>
          <w:color w:val="auto"/>
        </w:rPr>
        <w:t>. In the second quarter of fiscal 2024, we continued work on Project Restoration, which is focused on four key pillars of the business for</w:t>
      </w:r>
      <w:r>
        <w:rPr>
          <w:rFonts w:ascii="Arial" w:cs="Arial" w:eastAsia="Arial" w:hAnsi="Arial"/>
          <w:sz w:val="18"/>
          <w:szCs w:val="18"/>
          <w:i w:val="1"/>
          <w:iCs w:val="1"/>
          <w:color w:val="auto"/>
        </w:rPr>
        <w:t xml:space="preserve"> </w:t>
      </w:r>
      <w:r>
        <w:rPr>
          <w:rFonts w:ascii="Arial" w:cs="Arial" w:eastAsia="Arial" w:hAnsi="Arial"/>
          <w:sz w:val="18"/>
          <w:szCs w:val="18"/>
          <w:color w:val="auto"/>
        </w:rPr>
        <w:t>each brand to help drive long-term profitable growth. These pillars are: Consumer, Brand, Product, and Channel.</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During the second quarter, for the Vera Bradley brand, we continued with product collaborations and launched our first Hello Kitty collection in June.</w:t>
      </w:r>
    </w:p>
    <w:p>
      <w:pPr>
        <w:spacing w:after="0" w:line="102"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During the second quarter, for the Pura Vida brand, our “Live Free” campaign launched in June and accentuated travel, adventure, friendship, and freedom and which we believe created engagement and excitement with our customer base. We are also utilizing our new customer data platform to more strategically target customers and potential customers, with a focus on customer retention.</w:t>
      </w:r>
    </w:p>
    <w:p>
      <w:pPr>
        <w:spacing w:after="0" w:line="6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addition, we continued to identify cost reductions as part of our overall plan to right-size the expense structure of our Company and lay the groundwork for success to help drive long-term profitable growth.</w:t>
      </w:r>
    </w:p>
    <w:p>
      <w:pPr>
        <w:spacing w:after="0" w:line="4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These expense savings are expected to be fully realized in fiscal 2025. Savings are being derived across various areas of the Company, including retail store efficiencies, marketing expenses, information technology contracts, professional services, logistics and operational costs, and corporate payroll. We will continue to review our expense structure for additional cost reduction opportunities.</w:t>
      </w:r>
    </w:p>
    <w:p>
      <w:pPr>
        <w:spacing w:after="0" w:line="4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Macroeconomic and Other Factors</w:t>
      </w:r>
      <w:r>
        <w:rPr>
          <w:rFonts w:ascii="Arial" w:cs="Arial" w:eastAsia="Arial" w:hAnsi="Arial"/>
          <w:sz w:val="18"/>
          <w:szCs w:val="18"/>
          <w:color w:val="auto"/>
        </w:rPr>
        <w:t>. We have been impacted by higher tariffs from previously duty-free countries, where we source products, as a result of</w:t>
      </w:r>
      <w:r>
        <w:rPr>
          <w:rFonts w:ascii="Arial" w:cs="Arial" w:eastAsia="Arial" w:hAnsi="Arial"/>
          <w:sz w:val="18"/>
          <w:szCs w:val="18"/>
          <w:i w:val="1"/>
          <w:iCs w:val="1"/>
          <w:color w:val="auto"/>
        </w:rPr>
        <w:t xml:space="preserve"> </w:t>
      </w:r>
      <w:r>
        <w:rPr>
          <w:rFonts w:ascii="Arial" w:cs="Arial" w:eastAsia="Arial" w:hAnsi="Arial"/>
          <w:sz w:val="18"/>
          <w:szCs w:val="18"/>
          <w:color w:val="auto"/>
        </w:rPr>
        <w:t>the expiration of the Generalized System of Preferences (“GSP”) duty-free status at the end of calendar year 2020. In addition, the macroeconomic environment has been further challenged by inflationary pressures, including high gas prices, and other related factors that have impacted consumer discretionary spending. We continued to see weakness in the Vera Bradley factory outlet store business in the second quarter, which was offset by the return of the Vera Bradley annual outlet sale in June.</w:t>
      </w:r>
    </w:p>
    <w:p>
      <w:pPr>
        <w:spacing w:after="0" w:line="66"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Within our supply chain, the COVID-19 pandemic caused disruptions that have resulted in delivery delays and increased inbound and outbound shipping costs. However, these supply chain disruptions began to stabilize towards the end of fiscal 2023 and we continued to see favorability in our operating results associated with the reduction in these costs in the second quarter of fiscal 2024 compared to the prior-year period.</w:t>
      </w:r>
    </w:p>
    <w:p>
      <w:pPr>
        <w:spacing w:after="0" w:line="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also implemented strategic price increases across both of our brands to mitigate some of these inflationary and supply chain pressures in late fiscal 2022 and early fiscal 2023. We will continue to monitor our pricing as it relates to the current macroeconomic trends.</w:t>
      </w:r>
    </w:p>
    <w:p>
      <w:pPr>
        <w:spacing w:after="0" w:line="3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While we continue to actively monitor this rapidly evolving macroeconomic environment and are working to mitigate the situation, these matters could have a material adverse effect on our liquidity, operating results, and financial condition.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Assess the Performance of Our Business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In assessing the performance of our business, we consider a variety of performance and financial measures.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Revenues</w:t>
      </w:r>
    </w:p>
    <w:p>
      <w:pPr>
        <w:spacing w:after="0" w:line="104" w:lineRule="exact"/>
        <w:rPr>
          <w:sz w:val="20"/>
          <w:szCs w:val="20"/>
          <w:color w:val="auto"/>
        </w:rPr>
      </w:pPr>
    </w:p>
    <w:p>
      <w:pPr>
        <w:ind w:right="240"/>
        <w:spacing w:after="0" w:line="279" w:lineRule="auto"/>
        <w:rPr>
          <w:sz w:val="20"/>
          <w:szCs w:val="20"/>
          <w:color w:val="auto"/>
        </w:rPr>
      </w:pPr>
      <w:r>
        <w:rPr>
          <w:rFonts w:ascii="Arial" w:cs="Arial" w:eastAsia="Arial" w:hAnsi="Arial"/>
          <w:sz w:val="16"/>
          <w:szCs w:val="16"/>
          <w:color w:val="auto"/>
        </w:rPr>
        <w:t>Net revenues reflect sales of our merchandise and revenue from distribution and shipping and handling fees, less returns and discounts. Revenues for the VB Direct segment reflect sales through Vera Bradley full-line and factory outlet stores; the Vera Bradley website, verabradley.com; the Vera Bradley online outlet site; and the Vera Bradley annual outlet sale. The Vera Bradley annual outlet sale was cancelled in the prior year but resumed in June 2023. Revenues for the VB Indirect segment reflect sales of Vera Bradley-branded products to specialty retail partners; department stores; national accounts; third-party e-commerce sites; third-party inventory liquidators; and royalties recognized through licensing agreements related to the Vera Bradley brand. Revenues for the Pura Vida segment reflect revenues generated through the Pura Vida websites,</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www.puravidabracelets.com, puravidabracelets.ca, and www.puravidabracelets.eu; through the distribution of Pura Vida-branded products to wholesale retailers; and through Pura Vida retail stores.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Comparable Sales</w:t>
      </w:r>
    </w:p>
    <w:p>
      <w:pPr>
        <w:spacing w:after="0" w:line="104" w:lineRule="exact"/>
        <w:rPr>
          <w:sz w:val="20"/>
          <w:szCs w:val="20"/>
          <w:color w:val="auto"/>
        </w:rPr>
      </w:pPr>
    </w:p>
    <w:p>
      <w:pPr>
        <w:ind w:right="140"/>
        <w:spacing w:after="0" w:line="280" w:lineRule="auto"/>
        <w:rPr>
          <w:sz w:val="20"/>
          <w:szCs w:val="20"/>
          <w:color w:val="auto"/>
        </w:rPr>
      </w:pPr>
      <w:r>
        <w:rPr>
          <w:rFonts w:ascii="Arial" w:cs="Arial" w:eastAsia="Arial" w:hAnsi="Arial"/>
          <w:sz w:val="16"/>
          <w:szCs w:val="16"/>
          <w:color w:val="auto"/>
        </w:rPr>
        <w:t>Comparable sales are calculated based upon our stores that have been open for at least 12 full fiscal months and net revenues from our Vera Bradley e-commerce operations. Comparable store sales are calculated based solely upon stores that have been open for at least 12 full fiscal months. Remodeled stores are included in both comparable sales and comparable store sales unless the store was closed for more than one week of the current or comparable prior period, in which case the non-comparable temporary closure periods are not included, or the remodel resulted in a significant change in square footage. Some of our competitors and other retailers calculate comparable or “same store” sales differently than we do. As a result, data in this report regarding our comparable sales and comparable store sales may not be comparable to similar data made available by other companies. Non-comparable sales include sales from stores not included in comparable sales or comparable store sales.</w:t>
      </w:r>
    </w:p>
    <w:p>
      <w:pPr>
        <w:spacing w:after="0" w:line="36"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Measuring the change in year-over-year comparable sales allows us and our investors to evaluate how our store base and e-commerce operations are performing. Various factors affect our comparable sales, including:</w:t>
      </w:r>
    </w:p>
    <w:p>
      <w:pPr>
        <w:spacing w:after="0" w:line="35"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Overall economic trends;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Consumer preferences and fashion trends;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timing of our releases of new patterns and collections;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our product mix;</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Pricing, as well as timing and level of promotions;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Amount of store, mall, and e-commerce traffic;</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level of customer service that we provide in stores and to our on-line customers;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source and distribute products efficiently;</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number of stores we open and close in any period;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timing and success of promotional and marketing efforts.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04"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Gross profit is equal to our net revenues less our cost of sales. Cost of sales includes the direct cost of purchased merchandise, distribution center costs, operations overhead, duty, all inbound freight costs incurred, and inventory adjustments, if any. The components of our reported cost of sales may not be comparable to those of other retail and wholesale companies.</w:t>
      </w:r>
    </w:p>
    <w:p>
      <w:pPr>
        <w:spacing w:after="0" w:line="130"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Gross profit can be impacted by changes in volume; fluctuations in sales price; inbound freight and other logistical costs; operational efficiencies, such as leveraging of fixed costs; promotional activities, including free shipping; commodity prices, such as for cotton; tariffs; and labor costs.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 (“SG&amp;A”)</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SG&amp;A expenses include selling; advertising, marketing, and product development; and administrative expenses. Selling expenses include:</w:t>
      </w:r>
    </w:p>
    <w:p>
      <w:pPr>
        <w:spacing w:after="0" w:line="104"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VB Direct business expenses, such as store expenses, employee compensation, and store occupancy and supply costs;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VB Indirect business expenses consisting primarily of employee compensation and other expenses associated with sales to Indirect retailers; and</w:t>
      </w:r>
    </w:p>
    <w:p>
      <w:pPr>
        <w:spacing w:after="0" w:line="113" w:lineRule="exact"/>
        <w:rPr>
          <w:rFonts w:ascii="Arial" w:cs="Arial" w:eastAsia="Arial" w:hAnsi="Arial"/>
          <w:sz w:val="16"/>
          <w:szCs w:val="16"/>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Pura Vida business expenses primarily related to employee compensation and store expenses.</w:t>
      </w:r>
    </w:p>
    <w:p>
      <w:pPr>
        <w:spacing w:after="0" w:line="104"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Advertising, marketing, and product development expenses include employee compensation, media costs, creative production expenses, marketing agency fees, new product design costs, public relations expenses, and market research expenses. Administrative expenses include employee compensation for corporate functions, corporate headquarters occupancy costs, consulting and software expenses, and charitable donations, as well as severance charges and consulting fees associated with cost savings initiatives disclosed in Note 14 to the Notes to the Condensed Consolidated Financial Statements herein.</w:t>
      </w:r>
    </w:p>
    <w:p>
      <w:pPr>
        <w:spacing w:after="0" w:line="200" w:lineRule="exact"/>
        <w:rPr>
          <w:sz w:val="20"/>
          <w:szCs w:val="20"/>
          <w:color w:val="auto"/>
        </w:rPr>
      </w:pPr>
    </w:p>
    <w:p>
      <w:pPr>
        <w:spacing w:after="0" w:line="29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 (Loss)</w:t>
      </w:r>
    </w:p>
    <w:p>
      <w:pPr>
        <w:spacing w:after="0" w:line="9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Operating income (loss) is equal to gross profit less SG&amp;A expenses plus other income, net. Operating income (loss) excludes interest income, interest expense, and income taxes.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(Loss)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Net income (loss) is equal to operating income (loss) plus interest income less interest expense and income taxes.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(Loss) Attributable to Vera Bradley, Inc.</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Net income (loss) attributable to Vera Bradley, Inc. is equal to net income (loss) less net loss attributable to redeemable noncontrolling interest.</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Charges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Other Intangible Assets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We perform our annual impairment test of the indefinite-lived Pura Vida brand (and goodwill in prior years) during the second quarter of each fiscal year.</w:t>
      </w:r>
    </w:p>
    <w:p>
      <w:pPr>
        <w:spacing w:after="0" w:line="248"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There were no impairment charges recorded during the thirteen and twenty-six weeks ended July 29, 2023. During the thirteen and twenty-six weeks ended July 30, 2022, impairment charges of $9.9 million and $19.4 million for the Pura Vida brand and goodwill, respectively, were recorded within the Pura Vida segment. Refer to Note 13 herein, as well as Note 15 to the Notes to the Consolidated Financial Statements filed with the SEC on Form 10-K for the fiscal year ended January 28, 2023, for additional information regarding the goodwill and indefinite-lived intangible assets impairment tests and impairment charges recorded during fiscal 2023.</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Assets</w:t>
      </w:r>
    </w:p>
    <w:p>
      <w:pPr>
        <w:spacing w:after="0" w:line="90"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Property, plant, and equipment and lease right-of-use assets (the “asset group” for store-related assets) are reviewed for impairment whenever events or changes in circumstances indicate that the carrying amount of the asset group may not be recoverable. The reviews are conducted at the lowest identifiable level of cash flows. If the estimated undiscounted future cash flows related to the asset group are less than the carrying value, we recognize a loss equal to the difference between the carrying value and the fair value, as further defined in Note 5 to the Notes to the Condensed Consolidated Financial Statements herein. There were no impairment charges recorded during the thirteen and twenty-six weeks ended July 29, 2023. Impairment charges of $0.8 million and $1.4 million were recognized during the thirteen and twenty-six weeks ended July 30, 2022, for store-related property, plant, and equipment and a lease right-of-use asset which are included in SG&amp;A expenses in the Condensed Consolidated Statements of Operations and in other impairment charges in the Condensed Consolidated Statements of Cash Flows. $0.8 million of the impairment charge is included in the Direct segment for the thirteen and twenty-six weeks ended July 30, 2022, and $0.6 million of the impairment charge is included in corporate unallocated expenses for the twenty-six weeks ended</w:t>
      </w:r>
    </w:p>
    <w:p>
      <w:pPr>
        <w:spacing w:after="0" w:line="5" w:lineRule="exact"/>
        <w:rPr>
          <w:sz w:val="20"/>
          <w:szCs w:val="20"/>
          <w:color w:val="auto"/>
        </w:rPr>
      </w:pPr>
    </w:p>
    <w:p>
      <w:pPr>
        <w:ind w:right="420"/>
        <w:spacing w:after="0" w:line="255" w:lineRule="auto"/>
        <w:rPr>
          <w:sz w:val="20"/>
          <w:szCs w:val="20"/>
          <w:color w:val="auto"/>
        </w:rPr>
      </w:pPr>
      <w:r>
        <w:rPr>
          <w:rFonts w:ascii="Arial" w:cs="Arial" w:eastAsia="Arial" w:hAnsi="Arial"/>
          <w:sz w:val="17"/>
          <w:szCs w:val="17"/>
          <w:color w:val="auto"/>
        </w:rPr>
        <w:t>July 30, 2022. We are unable to predict the extent of the impact that the inflationary environment could have on our operations, the economy, or other factors; therefore, it is possible additional impairments could be identified in future periods, and such amounts could be material.</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following tables summarize key components of our condensed consolidated results of operations for the periods indicated, both in dollars and as a percentage of our net revenues ($ in thousands):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20" w:type="dxa"/>
            <w:vAlign w:val="bottom"/>
            <w:gridSpan w:val="5"/>
          </w:tcPr>
          <w:p>
            <w:pPr>
              <w:ind w:left="560"/>
              <w:spacing w:after="0"/>
              <w:rPr>
                <w:sz w:val="20"/>
                <w:szCs w:val="20"/>
                <w:color w:val="auto"/>
              </w:rPr>
            </w:pPr>
            <w:r>
              <w:rPr>
                <w:rFonts w:ascii="Arial" w:cs="Arial" w:eastAsia="Arial" w:hAnsi="Arial"/>
                <w:sz w:val="14"/>
                <w:szCs w:val="14"/>
                <w:b w:val="1"/>
                <w:bCs w:val="1"/>
                <w:color w:val="auto"/>
              </w:rPr>
              <w:t>Thirteen Weeks Ended</w:t>
            </w:r>
          </w:p>
        </w:tc>
        <w:tc>
          <w:tcPr>
            <w:tcW w:w="320" w:type="dxa"/>
            <w:vAlign w:val="bottom"/>
          </w:tcPr>
          <w:p>
            <w:pPr>
              <w:spacing w:after="0"/>
              <w:rPr>
                <w:sz w:val="16"/>
                <w:szCs w:val="16"/>
                <w:color w:val="auto"/>
              </w:rPr>
            </w:pPr>
          </w:p>
        </w:tc>
        <w:tc>
          <w:tcPr>
            <w:tcW w:w="2820" w:type="dxa"/>
            <w:vAlign w:val="bottom"/>
            <w:gridSpan w:val="4"/>
          </w:tcPr>
          <w:p>
            <w:pPr>
              <w:jc w:val="right"/>
              <w:ind w:right="691"/>
              <w:spacing w:after="0"/>
              <w:rPr>
                <w:sz w:val="20"/>
                <w:szCs w:val="20"/>
                <w:color w:val="auto"/>
              </w:rPr>
            </w:pPr>
            <w:r>
              <w:rPr>
                <w:rFonts w:ascii="Arial" w:cs="Arial" w:eastAsia="Arial" w:hAnsi="Arial"/>
                <w:sz w:val="14"/>
                <w:szCs w:val="14"/>
                <w:b w:val="1"/>
                <w:bCs w:val="1"/>
                <w:color w:val="auto"/>
              </w:rPr>
              <w:t>Twenty-Six Weeks Ended</w:t>
            </w:r>
          </w:p>
        </w:tc>
        <w:tc>
          <w:tcPr>
            <w:tcW w:w="0" w:type="dxa"/>
            <w:vAlign w:val="bottom"/>
          </w:tcPr>
          <w:p>
            <w:pPr>
              <w:spacing w:after="0"/>
              <w:rPr>
                <w:sz w:val="1"/>
                <w:szCs w:val="1"/>
                <w:color w:val="auto"/>
              </w:rPr>
            </w:pPr>
          </w:p>
        </w:tc>
      </w:tr>
      <w:tr>
        <w:trPr>
          <w:trHeight w:val="26"/>
        </w:trPr>
        <w:tc>
          <w:tcPr>
            <w:tcW w:w="4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86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ind w:left="200"/>
              <w:spacing w:after="0" w:line="129" w:lineRule="exact"/>
              <w:rPr>
                <w:sz w:val="20"/>
                <w:szCs w:val="20"/>
                <w:color w:val="auto"/>
              </w:rPr>
            </w:pPr>
            <w:r>
              <w:rPr>
                <w:rFonts w:ascii="Arial" w:cs="Arial" w:eastAsia="Arial" w:hAnsi="Arial"/>
                <w:sz w:val="14"/>
                <w:szCs w:val="14"/>
                <w:b w:val="1"/>
                <w:bCs w:val="1"/>
                <w:color w:val="auto"/>
              </w:rPr>
              <w:t>July 29,</w:t>
            </w:r>
          </w:p>
        </w:tc>
        <w:tc>
          <w:tcPr>
            <w:tcW w:w="3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right"/>
              <w:ind w:right="431"/>
              <w:spacing w:after="0" w:line="129" w:lineRule="exact"/>
              <w:rPr>
                <w:sz w:val="20"/>
                <w:szCs w:val="20"/>
                <w:color w:val="auto"/>
              </w:rPr>
            </w:pPr>
            <w:r>
              <w:rPr>
                <w:rFonts w:ascii="Arial" w:cs="Arial" w:eastAsia="Arial" w:hAnsi="Arial"/>
                <w:sz w:val="14"/>
                <w:szCs w:val="14"/>
                <w:b w:val="1"/>
                <w:bCs w:val="1"/>
                <w:color w:val="auto"/>
              </w:rPr>
              <w:t>July 30,</w:t>
            </w:r>
          </w:p>
        </w:tc>
        <w:tc>
          <w:tcPr>
            <w:tcW w:w="10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ind w:left="200"/>
              <w:spacing w:after="0" w:line="129" w:lineRule="exact"/>
              <w:rPr>
                <w:sz w:val="20"/>
                <w:szCs w:val="20"/>
                <w:color w:val="auto"/>
              </w:rPr>
            </w:pPr>
            <w:r>
              <w:rPr>
                <w:rFonts w:ascii="Arial" w:cs="Arial" w:eastAsia="Arial" w:hAnsi="Arial"/>
                <w:sz w:val="14"/>
                <w:szCs w:val="14"/>
                <w:b w:val="1"/>
                <w:bCs w:val="1"/>
                <w:color w:val="auto"/>
              </w:rPr>
              <w:t>July 29,</w:t>
            </w:r>
          </w:p>
        </w:tc>
        <w:tc>
          <w:tcPr>
            <w:tcW w:w="3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right"/>
              <w:ind w:right="431"/>
              <w:spacing w:after="0" w:line="129" w:lineRule="exact"/>
              <w:rPr>
                <w:sz w:val="20"/>
                <w:szCs w:val="20"/>
                <w:color w:val="auto"/>
              </w:rPr>
            </w:pPr>
            <w:r>
              <w:rPr>
                <w:rFonts w:ascii="Arial" w:cs="Arial" w:eastAsia="Arial" w:hAnsi="Arial"/>
                <w:sz w:val="14"/>
                <w:szCs w:val="14"/>
                <w:b w:val="1"/>
                <w:bCs w:val="1"/>
                <w:color w:val="auto"/>
              </w:rPr>
              <w:t>July 30,</w:t>
            </w:r>
          </w:p>
        </w:tc>
        <w:tc>
          <w:tcPr>
            <w:tcW w:w="0" w:type="dxa"/>
            <w:vAlign w:val="bottom"/>
          </w:tcPr>
          <w:p>
            <w:pPr>
              <w:spacing w:after="0"/>
              <w:rPr>
                <w:sz w:val="1"/>
                <w:szCs w:val="1"/>
                <w:color w:val="auto"/>
              </w:rPr>
            </w:pPr>
          </w:p>
        </w:tc>
      </w:tr>
      <w:tr>
        <w:trPr>
          <w:trHeight w:val="196"/>
        </w:trPr>
        <w:tc>
          <w:tcPr>
            <w:tcW w:w="48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6"/>
        </w:trPr>
        <w:tc>
          <w:tcPr>
            <w:tcW w:w="4860" w:type="dxa"/>
            <w:vAlign w:val="bottom"/>
          </w:tcPr>
          <w:p>
            <w:pPr>
              <w:ind w:left="20"/>
              <w:spacing w:after="0"/>
              <w:rPr>
                <w:sz w:val="20"/>
                <w:szCs w:val="20"/>
                <w:color w:val="auto"/>
              </w:rPr>
            </w:pPr>
            <w:r>
              <w:rPr>
                <w:rFonts w:ascii="Arial" w:cs="Arial" w:eastAsia="Arial" w:hAnsi="Arial"/>
                <w:sz w:val="18"/>
                <w:szCs w:val="18"/>
                <w:b w:val="1"/>
                <w:bCs w:val="1"/>
                <w:color w:val="auto"/>
              </w:rPr>
              <w:t>Statement of Operations Data:</w:t>
            </w: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128,172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130,371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222,534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228,830</w:t>
            </w:r>
          </w:p>
        </w:tc>
        <w:tc>
          <w:tcPr>
            <w:tcW w:w="0" w:type="dxa"/>
            <w:vAlign w:val="bottom"/>
          </w:tcPr>
          <w:p>
            <w:pPr>
              <w:spacing w:after="0"/>
              <w:rPr>
                <w:sz w:val="1"/>
                <w:szCs w:val="1"/>
                <w:color w:val="auto"/>
              </w:rPr>
            </w:pPr>
          </w:p>
        </w:tc>
      </w:tr>
      <w:tr>
        <w:trPr>
          <w:trHeight w:val="229"/>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56,156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69,854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98,769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115,799</w:t>
            </w:r>
          </w:p>
        </w:tc>
        <w:tc>
          <w:tcPr>
            <w:tcW w:w="0" w:type="dxa"/>
            <w:vAlign w:val="bottom"/>
          </w:tcPr>
          <w:p>
            <w:pPr>
              <w:spacing w:after="0"/>
              <w:rPr>
                <w:sz w:val="1"/>
                <w:szCs w:val="1"/>
                <w:color w:val="auto"/>
              </w:rPr>
            </w:pPr>
          </w:p>
        </w:tc>
      </w:tr>
      <w:tr>
        <w:trPr>
          <w:trHeight w:val="223"/>
        </w:trPr>
        <w:tc>
          <w:tcPr>
            <w:tcW w:w="4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72,016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60,517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123,765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113,031</w:t>
            </w: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Arial" w:cs="Arial" w:eastAsia="Arial" w:hAnsi="Arial"/>
                <w:sz w:val="18"/>
                <w:szCs w:val="18"/>
                <w:color w:val="auto"/>
              </w:rPr>
              <w:t>59,405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74,042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Arial" w:cs="Arial" w:eastAsia="Arial" w:hAnsi="Arial"/>
                <w:sz w:val="18"/>
                <w:szCs w:val="18"/>
                <w:color w:val="auto"/>
              </w:rPr>
              <w:t>117,911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134,956</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of goodwill and intangible assets</w:t>
            </w:r>
          </w:p>
        </w:tc>
        <w:tc>
          <w:tcPr>
            <w:tcW w:w="3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29,338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29,338</w:t>
            </w:r>
          </w:p>
        </w:tc>
        <w:tc>
          <w:tcPr>
            <w:tcW w:w="0" w:type="dxa"/>
            <w:vAlign w:val="bottom"/>
          </w:tcPr>
          <w:p>
            <w:pPr>
              <w:spacing w:after="0"/>
              <w:rPr>
                <w:sz w:val="1"/>
                <w:szCs w:val="1"/>
                <w:color w:val="auto"/>
              </w:rPr>
            </w:pPr>
          </w:p>
        </w:tc>
      </w:tr>
      <w:tr>
        <w:trPr>
          <w:trHeight w:val="229"/>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net</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631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23"/>
        </w:trPr>
        <w:tc>
          <w:tcPr>
            <w:tcW w:w="4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income (loss)</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12,871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(42,821)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6,485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(51,054)</w:t>
            </w:r>
          </w:p>
        </w:tc>
        <w:tc>
          <w:tcPr>
            <w:tcW w:w="0" w:type="dxa"/>
            <w:vAlign w:val="bottom"/>
          </w:tcPr>
          <w:p>
            <w:pPr>
              <w:spacing w:after="0"/>
              <w:rPr>
                <w:sz w:val="1"/>
                <w:szCs w:val="1"/>
                <w:color w:val="auto"/>
              </w:rPr>
            </w:pPr>
          </w:p>
        </w:tc>
      </w:tr>
      <w:tr>
        <w:trPr>
          <w:trHeight w:val="229"/>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expense, net</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23"/>
        </w:trPr>
        <w:tc>
          <w:tcPr>
            <w:tcW w:w="4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(loss) before income taxes</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12,859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(42,857)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6,441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(51,130)</w:t>
            </w:r>
          </w:p>
        </w:tc>
        <w:tc>
          <w:tcPr>
            <w:tcW w:w="0" w:type="dxa"/>
            <w:vAlign w:val="bottom"/>
          </w:tcPr>
          <w:p>
            <w:pPr>
              <w:spacing w:after="0"/>
              <w:rPr>
                <w:sz w:val="1"/>
                <w:szCs w:val="1"/>
                <w:color w:val="auto"/>
              </w:rPr>
            </w:pPr>
          </w:p>
        </w:tc>
      </w:tr>
      <w:tr>
        <w:trPr>
          <w:trHeight w:val="229"/>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 (benefit)</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3,605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(5,956)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1,866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(7,519)</w:t>
            </w:r>
          </w:p>
        </w:tc>
        <w:tc>
          <w:tcPr>
            <w:tcW w:w="0" w:type="dxa"/>
            <w:vAlign w:val="bottom"/>
          </w:tcPr>
          <w:p>
            <w:pPr>
              <w:spacing w:after="0"/>
              <w:rPr>
                <w:sz w:val="1"/>
                <w:szCs w:val="1"/>
                <w:color w:val="auto"/>
              </w:rPr>
            </w:pPr>
          </w:p>
        </w:tc>
      </w:tr>
      <w:tr>
        <w:trPr>
          <w:trHeight w:val="223"/>
        </w:trPr>
        <w:tc>
          <w:tcPr>
            <w:tcW w:w="4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 (loss)</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9,254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(36,901)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4,575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(43,611)</w:t>
            </w: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rPr>
                <w:sz w:val="20"/>
                <w:szCs w:val="20"/>
                <w:color w:val="auto"/>
              </w:rPr>
            </w:pPr>
            <w:r>
              <w:rPr>
                <w:rFonts w:ascii="Arial" w:cs="Arial" w:eastAsia="Arial" w:hAnsi="Arial"/>
                <w:sz w:val="18"/>
                <w:szCs w:val="18"/>
                <w:color w:val="auto"/>
                <w:w w:val="94"/>
              </w:rPr>
              <w:t>Less: Net loss attributable to redeemable noncontrolling interest</w:t>
            </w:r>
          </w:p>
        </w:tc>
        <w:tc>
          <w:tcPr>
            <w:tcW w:w="320" w:type="dxa"/>
            <w:vAlign w:val="bottom"/>
          </w:tcPr>
          <w:p>
            <w:pPr>
              <w:spacing w:after="0"/>
              <w:rPr>
                <w:sz w:val="19"/>
                <w:szCs w:val="19"/>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(7,134)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(6,870)</w:t>
            </w:r>
          </w:p>
        </w:tc>
        <w:tc>
          <w:tcPr>
            <w:tcW w:w="0" w:type="dxa"/>
            <w:vAlign w:val="bottom"/>
          </w:tcPr>
          <w:p>
            <w:pPr>
              <w:spacing w:after="0"/>
              <w:rPr>
                <w:sz w:val="1"/>
                <w:szCs w:val="1"/>
                <w:color w:val="auto"/>
              </w:rPr>
            </w:pPr>
          </w:p>
        </w:tc>
      </w:tr>
      <w:tr>
        <w:trPr>
          <w:trHeight w:val="248"/>
        </w:trPr>
        <w:tc>
          <w:tcPr>
            <w:tcW w:w="48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income (loss) attributable to Vera Bradley, Inc.</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9,254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(29,767)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4,575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(36,741)</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Percentage of Net Revenues: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8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29"/>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43.8 %</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53.6 %</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44.4 %</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50.6 %</w:t>
            </w:r>
          </w:p>
        </w:tc>
        <w:tc>
          <w:tcPr>
            <w:tcW w:w="0" w:type="dxa"/>
            <w:vAlign w:val="bottom"/>
          </w:tcPr>
          <w:p>
            <w:pPr>
              <w:spacing w:after="0"/>
              <w:rPr>
                <w:sz w:val="1"/>
                <w:szCs w:val="1"/>
                <w:color w:val="auto"/>
              </w:rPr>
            </w:pPr>
          </w:p>
        </w:tc>
      </w:tr>
      <w:tr>
        <w:trPr>
          <w:trHeight w:val="223"/>
        </w:trPr>
        <w:tc>
          <w:tcPr>
            <w:tcW w:w="4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49.4 %</w:t>
            </w: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46.3 %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56.8 %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53.0 %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59.0 %</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of goodwill and intangible assets</w:t>
            </w:r>
          </w:p>
        </w:tc>
        <w:tc>
          <w:tcPr>
            <w:tcW w:w="3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 %</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 %</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12.8 %</w:t>
            </w: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0.2 %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0.3 %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23"/>
        </w:trPr>
        <w:tc>
          <w:tcPr>
            <w:tcW w:w="486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Operating income (loss)</w:t>
            </w:r>
          </w:p>
        </w:tc>
        <w:tc>
          <w:tcPr>
            <w:tcW w:w="3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320" w:type="dxa"/>
            <w:vAlign w:val="bottom"/>
          </w:tcPr>
          <w:p>
            <w:pPr>
              <w:spacing w:after="0"/>
              <w:rPr>
                <w:sz w:val="19"/>
                <w:szCs w:val="19"/>
                <w:color w:val="auto"/>
              </w:rPr>
            </w:pPr>
          </w:p>
        </w:tc>
        <w:tc>
          <w:tcPr>
            <w:tcW w:w="1300" w:type="dxa"/>
            <w:vAlign w:val="bottom"/>
            <w:gridSpan w:val="2"/>
          </w:tcPr>
          <w:p>
            <w:pPr>
              <w:ind w:left="800"/>
              <w:spacing w:after="0"/>
              <w:rPr>
                <w:sz w:val="20"/>
                <w:szCs w:val="20"/>
                <w:color w:val="auto"/>
              </w:rPr>
            </w:pPr>
            <w:r>
              <w:rPr>
                <w:rFonts w:ascii="Arial" w:cs="Arial" w:eastAsia="Arial" w:hAnsi="Arial"/>
                <w:sz w:val="18"/>
                <w:szCs w:val="18"/>
                <w:color w:val="auto"/>
              </w:rPr>
              <w:t>— %</w:t>
            </w:r>
          </w:p>
        </w:tc>
        <w:tc>
          <w:tcPr>
            <w:tcW w:w="32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320" w:type="dxa"/>
            <w:vAlign w:val="bottom"/>
          </w:tcPr>
          <w:p>
            <w:pPr>
              <w:spacing w:after="0"/>
              <w:rPr>
                <w:sz w:val="19"/>
                <w:szCs w:val="19"/>
                <w:color w:val="auto"/>
              </w:rPr>
            </w:pPr>
          </w:p>
        </w:tc>
        <w:tc>
          <w:tcPr>
            <w:tcW w:w="1300" w:type="dxa"/>
            <w:vAlign w:val="bottom"/>
            <w:gridSpan w:val="2"/>
          </w:tcPr>
          <w:p>
            <w:pPr>
              <w:ind w:left="800"/>
              <w:spacing w:after="0"/>
              <w:rPr>
                <w:sz w:val="20"/>
                <w:szCs w:val="20"/>
                <w:color w:val="auto"/>
              </w:rPr>
            </w:pPr>
            <w:r>
              <w:rPr>
                <w:rFonts w:ascii="Arial" w:cs="Arial" w:eastAsia="Arial" w:hAnsi="Arial"/>
                <w:sz w:val="18"/>
                <w:szCs w:val="18"/>
                <w:color w:val="auto"/>
              </w:rPr>
              <w:t>— %</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3"/>
        </w:trPr>
        <w:tc>
          <w:tcPr>
            <w:tcW w:w="486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Income (loss) before income taxes</w:t>
            </w:r>
          </w:p>
        </w:tc>
        <w:tc>
          <w:tcPr>
            <w:tcW w:w="3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30"/>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 (benefit)</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2.8 %</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0.8 %</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3"/>
        </w:trPr>
        <w:tc>
          <w:tcPr>
            <w:tcW w:w="4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 (loss)</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rPr>
                <w:sz w:val="20"/>
                <w:szCs w:val="20"/>
                <w:color w:val="auto"/>
              </w:rPr>
            </w:pPr>
            <w:r>
              <w:rPr>
                <w:rFonts w:ascii="Arial" w:cs="Arial" w:eastAsia="Arial" w:hAnsi="Arial"/>
                <w:sz w:val="18"/>
                <w:szCs w:val="18"/>
                <w:color w:val="auto"/>
                <w:w w:val="94"/>
              </w:rPr>
              <w:t>Less: Net loss attributable to redeemable noncontrolling interest</w:t>
            </w:r>
          </w:p>
        </w:tc>
        <w:tc>
          <w:tcPr>
            <w:tcW w:w="320" w:type="dxa"/>
            <w:vAlign w:val="bottom"/>
          </w:tcPr>
          <w:p>
            <w:pPr>
              <w:spacing w:after="0"/>
              <w:rPr>
                <w:sz w:val="19"/>
                <w:szCs w:val="19"/>
                <w:color w:val="auto"/>
              </w:rPr>
            </w:pPr>
          </w:p>
        </w:tc>
        <w:tc>
          <w:tcPr>
            <w:tcW w:w="1300" w:type="dxa"/>
            <w:vAlign w:val="bottom"/>
            <w:gridSpan w:val="2"/>
          </w:tcPr>
          <w:p>
            <w:pPr>
              <w:ind w:left="800"/>
              <w:spacing w:after="0"/>
              <w:rPr>
                <w:sz w:val="20"/>
                <w:szCs w:val="20"/>
                <w:color w:val="auto"/>
              </w:rPr>
            </w:pPr>
            <w:r>
              <w:rPr>
                <w:rFonts w:ascii="Arial" w:cs="Arial" w:eastAsia="Arial" w:hAnsi="Arial"/>
                <w:sz w:val="18"/>
                <w:szCs w:val="18"/>
                <w:color w:val="auto"/>
              </w:rPr>
              <w:t>— %</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gridSpan w:val="2"/>
          </w:tcPr>
          <w:p>
            <w:pPr>
              <w:ind w:left="800"/>
              <w:spacing w:after="0"/>
              <w:rPr>
                <w:sz w:val="20"/>
                <w:szCs w:val="20"/>
                <w:color w:val="auto"/>
              </w:rPr>
            </w:pPr>
            <w:r>
              <w:rPr>
                <w:rFonts w:ascii="Arial" w:cs="Arial" w:eastAsia="Arial" w:hAnsi="Arial"/>
                <w:sz w:val="18"/>
                <w:szCs w:val="18"/>
                <w:color w:val="auto"/>
              </w:rPr>
              <w:t>— %</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8"/>
        </w:trPr>
        <w:tc>
          <w:tcPr>
            <w:tcW w:w="48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income (loss) attributable to Vera Bradley, Inc.</w:t>
            </w: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The following tables present net revenues and operating income (loss) by operating segment, both in dollars and as a percentage of associated net revenues, and store data for the periods indicated ($ in thousands, except as otherwise indicated):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20" w:type="dxa"/>
            <w:vAlign w:val="bottom"/>
            <w:gridSpan w:val="7"/>
          </w:tcPr>
          <w:p>
            <w:pPr>
              <w:ind w:left="540"/>
              <w:spacing w:after="0"/>
              <w:rPr>
                <w:sz w:val="20"/>
                <w:szCs w:val="20"/>
                <w:color w:val="auto"/>
              </w:rPr>
            </w:pPr>
            <w:r>
              <w:rPr>
                <w:rFonts w:ascii="Arial" w:cs="Arial" w:eastAsia="Arial" w:hAnsi="Arial"/>
                <w:sz w:val="14"/>
                <w:szCs w:val="14"/>
                <w:b w:val="1"/>
                <w:bCs w:val="1"/>
                <w:color w:val="auto"/>
              </w:rPr>
              <w:t>Thirteen Weeks Ended</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4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Twenty-Six Weeks Ended</w:t>
            </w:r>
          </w:p>
        </w:tc>
        <w:tc>
          <w:tcPr>
            <w:tcW w:w="0" w:type="dxa"/>
            <w:vAlign w:val="bottom"/>
          </w:tcPr>
          <w:p>
            <w:pPr>
              <w:spacing w:after="0"/>
              <w:rPr>
                <w:sz w:val="1"/>
                <w:szCs w:val="1"/>
                <w:color w:val="auto"/>
              </w:rPr>
            </w:pPr>
          </w:p>
        </w:tc>
      </w:tr>
      <w:tr>
        <w:trPr>
          <w:trHeight w:val="26"/>
        </w:trPr>
        <w:tc>
          <w:tcPr>
            <w:tcW w:w="484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484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jc w:val="center"/>
              <w:ind w:right="420"/>
              <w:spacing w:after="0" w:line="133" w:lineRule="exact"/>
              <w:rPr>
                <w:sz w:val="20"/>
                <w:szCs w:val="20"/>
                <w:color w:val="auto"/>
              </w:rPr>
            </w:pPr>
            <w:r>
              <w:rPr>
                <w:rFonts w:ascii="Arial" w:cs="Arial" w:eastAsia="Arial" w:hAnsi="Arial"/>
                <w:sz w:val="14"/>
                <w:szCs w:val="14"/>
                <w:b w:val="1"/>
                <w:bCs w:val="1"/>
                <w:color w:val="auto"/>
                <w:w w:val="93"/>
              </w:rPr>
              <w:t>July 29,</w:t>
            </w:r>
          </w:p>
        </w:tc>
        <w:tc>
          <w:tcPr>
            <w:tcW w:w="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center"/>
              <w:ind w:right="233"/>
              <w:spacing w:after="0" w:line="133" w:lineRule="exact"/>
              <w:rPr>
                <w:sz w:val="20"/>
                <w:szCs w:val="20"/>
                <w:color w:val="auto"/>
              </w:rPr>
            </w:pPr>
            <w:r>
              <w:rPr>
                <w:rFonts w:ascii="Arial" w:cs="Arial" w:eastAsia="Arial" w:hAnsi="Arial"/>
                <w:sz w:val="14"/>
                <w:szCs w:val="14"/>
                <w:b w:val="1"/>
                <w:bCs w:val="1"/>
                <w:color w:val="auto"/>
                <w:w w:val="93"/>
              </w:rPr>
              <w:t>July 30,</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jc w:val="center"/>
              <w:ind w:right="420"/>
              <w:spacing w:after="0" w:line="133" w:lineRule="exact"/>
              <w:rPr>
                <w:sz w:val="20"/>
                <w:szCs w:val="20"/>
                <w:color w:val="auto"/>
              </w:rPr>
            </w:pPr>
            <w:r>
              <w:rPr>
                <w:rFonts w:ascii="Arial" w:cs="Arial" w:eastAsia="Arial" w:hAnsi="Arial"/>
                <w:sz w:val="14"/>
                <w:szCs w:val="14"/>
                <w:b w:val="1"/>
                <w:bCs w:val="1"/>
                <w:color w:val="auto"/>
                <w:w w:val="93"/>
              </w:rPr>
              <w:t>July 29,</w:t>
            </w:r>
          </w:p>
        </w:tc>
        <w:tc>
          <w:tcPr>
            <w:tcW w:w="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center"/>
              <w:ind w:right="233"/>
              <w:spacing w:after="0" w:line="133" w:lineRule="exact"/>
              <w:rPr>
                <w:sz w:val="20"/>
                <w:szCs w:val="20"/>
                <w:color w:val="auto"/>
              </w:rPr>
            </w:pPr>
            <w:r>
              <w:rPr>
                <w:rFonts w:ascii="Arial" w:cs="Arial" w:eastAsia="Arial" w:hAnsi="Arial"/>
                <w:sz w:val="14"/>
                <w:szCs w:val="14"/>
                <w:b w:val="1"/>
                <w:bCs w:val="1"/>
                <w:color w:val="auto"/>
                <w:w w:val="93"/>
              </w:rPr>
              <w:t>July 30,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48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34"/>
              <w:spacing w:after="0"/>
              <w:rPr>
                <w:sz w:val="20"/>
                <w:szCs w:val="20"/>
                <w:color w:val="auto"/>
              </w:rPr>
            </w:pPr>
            <w:r>
              <w:rPr>
                <w:rFonts w:ascii="Arial" w:cs="Arial" w:eastAsia="Arial" w:hAnsi="Arial"/>
                <w:sz w:val="14"/>
                <w:szCs w:val="14"/>
                <w:b w:val="1"/>
                <w:bCs w:val="1"/>
                <w:color w:val="auto"/>
                <w:w w:val="89"/>
              </w:rPr>
              <w:t>2023</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33"/>
              <w:spacing w:after="0"/>
              <w:rPr>
                <w:sz w:val="20"/>
                <w:szCs w:val="20"/>
                <w:color w:val="auto"/>
              </w:rPr>
            </w:pPr>
            <w:r>
              <w:rPr>
                <w:rFonts w:ascii="Arial" w:cs="Arial" w:eastAsia="Arial" w:hAnsi="Arial"/>
                <w:sz w:val="14"/>
                <w:szCs w:val="14"/>
                <w:b w:val="1"/>
                <w:bCs w:val="1"/>
                <w:color w:val="auto"/>
                <w:w w:val="89"/>
              </w:rPr>
              <w:t>2022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34"/>
              <w:spacing w:after="0"/>
              <w:rPr>
                <w:sz w:val="20"/>
                <w:szCs w:val="20"/>
                <w:color w:val="auto"/>
              </w:rPr>
            </w:pPr>
            <w:r>
              <w:rPr>
                <w:rFonts w:ascii="Arial" w:cs="Arial" w:eastAsia="Arial" w:hAnsi="Arial"/>
                <w:sz w:val="14"/>
                <w:szCs w:val="14"/>
                <w:b w:val="1"/>
                <w:bCs w:val="1"/>
                <w:color w:val="auto"/>
                <w:w w:val="89"/>
              </w:rPr>
              <w:t>2023</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33"/>
              <w:spacing w:after="0"/>
              <w:rPr>
                <w:sz w:val="20"/>
                <w:szCs w:val="20"/>
                <w:color w:val="auto"/>
              </w:rPr>
            </w:pPr>
            <w:r>
              <w:rPr>
                <w:rFonts w:ascii="Arial" w:cs="Arial" w:eastAsia="Arial" w:hAnsi="Arial"/>
                <w:sz w:val="14"/>
                <w:szCs w:val="14"/>
                <w:b w:val="1"/>
                <w:bCs w:val="1"/>
                <w:color w:val="auto"/>
                <w:w w:val="89"/>
              </w:rPr>
              <w:t>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840" w:type="dxa"/>
            <w:vAlign w:val="bottom"/>
          </w:tcPr>
          <w:p>
            <w:pPr>
              <w:ind w:left="20"/>
              <w:spacing w:after="0"/>
              <w:rPr>
                <w:sz w:val="20"/>
                <w:szCs w:val="20"/>
                <w:color w:val="auto"/>
              </w:rPr>
            </w:pPr>
            <w:r>
              <w:rPr>
                <w:rFonts w:ascii="Arial" w:cs="Arial" w:eastAsia="Arial" w:hAnsi="Arial"/>
                <w:sz w:val="18"/>
                <w:szCs w:val="18"/>
                <w:b w:val="1"/>
                <w:bCs w:val="1"/>
                <w:color w:val="auto"/>
              </w:rPr>
              <w:t>Net Revenues by Segment: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VB Direct</w:t>
            </w:r>
          </w:p>
        </w:tc>
        <w:tc>
          <w:tcPr>
            <w:tcW w:w="3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85,702</w:t>
            </w:r>
          </w:p>
        </w:tc>
        <w:tc>
          <w:tcPr>
            <w:tcW w:w="10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87,013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144,607</w:t>
            </w:r>
          </w:p>
        </w:tc>
        <w:tc>
          <w:tcPr>
            <w:tcW w:w="10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148,649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Arial" w:cs="Arial" w:eastAsia="Arial" w:hAnsi="Arial"/>
                <w:sz w:val="18"/>
                <w:szCs w:val="18"/>
                <w:color w:val="auto"/>
              </w:rPr>
              <w:t>VB Indirect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ind w:right="134"/>
              <w:spacing w:after="0"/>
              <w:rPr>
                <w:sz w:val="20"/>
                <w:szCs w:val="20"/>
                <w:color w:val="auto"/>
              </w:rPr>
            </w:pPr>
            <w:r>
              <w:rPr>
                <w:rFonts w:ascii="Arial" w:cs="Arial" w:eastAsia="Arial" w:hAnsi="Arial"/>
                <w:sz w:val="18"/>
                <w:szCs w:val="18"/>
                <w:color w:val="auto"/>
              </w:rPr>
              <w:t>17,363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ind w:right="133"/>
              <w:spacing w:after="0"/>
              <w:rPr>
                <w:sz w:val="20"/>
                <w:szCs w:val="20"/>
                <w:color w:val="auto"/>
              </w:rPr>
            </w:pPr>
            <w:r>
              <w:rPr>
                <w:rFonts w:ascii="Arial" w:cs="Arial" w:eastAsia="Arial" w:hAnsi="Arial"/>
                <w:sz w:val="18"/>
                <w:szCs w:val="18"/>
                <w:color w:val="auto"/>
              </w:rPr>
              <w:t>17,325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ind w:right="134"/>
              <w:spacing w:after="0"/>
              <w:rPr>
                <w:sz w:val="20"/>
                <w:szCs w:val="20"/>
                <w:color w:val="auto"/>
              </w:rPr>
            </w:pPr>
            <w:r>
              <w:rPr>
                <w:rFonts w:ascii="Arial" w:cs="Arial" w:eastAsia="Arial" w:hAnsi="Arial"/>
                <w:sz w:val="18"/>
                <w:szCs w:val="18"/>
                <w:color w:val="auto"/>
              </w:rPr>
              <w:t>32,736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ind w:right="133"/>
              <w:spacing w:after="0"/>
              <w:rPr>
                <w:sz w:val="20"/>
                <w:szCs w:val="20"/>
                <w:color w:val="auto"/>
              </w:rPr>
            </w:pPr>
            <w:r>
              <w:rPr>
                <w:rFonts w:ascii="Arial" w:cs="Arial" w:eastAsia="Arial" w:hAnsi="Arial"/>
                <w:sz w:val="18"/>
                <w:szCs w:val="18"/>
                <w:color w:val="auto"/>
              </w:rPr>
              <w:t>34,302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Pura Vida</w:t>
            </w: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25,107</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26,033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45,191</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45,879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40" w:type="dxa"/>
            <w:vAlign w:val="bottom"/>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128,172</w:t>
            </w:r>
          </w:p>
        </w:tc>
        <w:tc>
          <w:tcPr>
            <w:tcW w:w="100" w:type="dxa"/>
            <w:vAlign w:val="bottom"/>
          </w:tcPr>
          <w:p>
            <w:pPr>
              <w:spacing w:after="0"/>
              <w:rPr>
                <w:sz w:val="19"/>
                <w:szCs w:val="19"/>
                <w:color w:val="auto"/>
              </w:rPr>
            </w:pPr>
          </w:p>
        </w:tc>
        <w:tc>
          <w:tcPr>
            <w:tcW w:w="32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130,371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222,534</w:t>
            </w:r>
          </w:p>
        </w:tc>
        <w:tc>
          <w:tcPr>
            <w:tcW w:w="100" w:type="dxa"/>
            <w:vAlign w:val="bottom"/>
          </w:tcPr>
          <w:p>
            <w:pPr>
              <w:spacing w:after="0"/>
              <w:rPr>
                <w:sz w:val="19"/>
                <w:szCs w:val="19"/>
                <w:color w:val="auto"/>
              </w:rPr>
            </w:pPr>
          </w:p>
        </w:tc>
        <w:tc>
          <w:tcPr>
            <w:tcW w:w="32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228,830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Percentage of Net Revenues by Segment:</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840" w:type="dxa"/>
            <w:vAlign w:val="bottom"/>
          </w:tcPr>
          <w:p>
            <w:pPr>
              <w:ind w:left="20"/>
              <w:spacing w:after="0"/>
              <w:rPr>
                <w:sz w:val="20"/>
                <w:szCs w:val="20"/>
                <w:color w:val="auto"/>
              </w:rPr>
            </w:pPr>
            <w:r>
              <w:rPr>
                <w:rFonts w:ascii="Arial" w:cs="Arial" w:eastAsia="Arial" w:hAnsi="Arial"/>
                <w:sz w:val="18"/>
                <w:szCs w:val="18"/>
                <w:color w:val="auto"/>
              </w:rPr>
              <w:t>VB Direct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66.9 %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66.7 %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65.0 %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VB Indirect</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Pura Vida</w:t>
            </w: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19.6 %</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20.0 %</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20.3 %</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4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920" w:type="dxa"/>
            <w:vAlign w:val="bottom"/>
            <w:gridSpan w:val="7"/>
          </w:tcPr>
          <w:p>
            <w:pPr>
              <w:ind w:left="560"/>
              <w:spacing w:after="0"/>
              <w:rPr>
                <w:sz w:val="20"/>
                <w:szCs w:val="20"/>
                <w:color w:val="auto"/>
              </w:rPr>
            </w:pPr>
            <w:r>
              <w:rPr>
                <w:rFonts w:ascii="Arial" w:cs="Arial" w:eastAsia="Arial" w:hAnsi="Arial"/>
                <w:sz w:val="14"/>
                <w:szCs w:val="14"/>
                <w:b w:val="1"/>
                <w:bCs w:val="1"/>
                <w:color w:val="auto"/>
              </w:rPr>
              <w:t>Thirteen Weeks Ended</w:t>
            </w: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4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Twenty-Six Weeks Ended</w:t>
            </w:r>
          </w:p>
        </w:tc>
        <w:tc>
          <w:tcPr>
            <w:tcW w:w="0" w:type="dxa"/>
            <w:vAlign w:val="bottom"/>
          </w:tcPr>
          <w:p>
            <w:pPr>
              <w:spacing w:after="0"/>
              <w:rPr>
                <w:sz w:val="1"/>
                <w:szCs w:val="1"/>
                <w:color w:val="auto"/>
              </w:rPr>
            </w:pPr>
          </w:p>
        </w:tc>
      </w:tr>
      <w:tr>
        <w:trPr>
          <w:trHeight w:val="26"/>
        </w:trPr>
        <w:tc>
          <w:tcPr>
            <w:tcW w:w="484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4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jc w:val="center"/>
              <w:ind w:right="380"/>
              <w:spacing w:after="0" w:line="133" w:lineRule="exact"/>
              <w:rPr>
                <w:sz w:val="20"/>
                <w:szCs w:val="20"/>
                <w:color w:val="auto"/>
              </w:rPr>
            </w:pPr>
            <w:r>
              <w:rPr>
                <w:rFonts w:ascii="Arial" w:cs="Arial" w:eastAsia="Arial" w:hAnsi="Arial"/>
                <w:sz w:val="14"/>
                <w:szCs w:val="14"/>
                <w:b w:val="1"/>
                <w:bCs w:val="1"/>
                <w:color w:val="auto"/>
                <w:w w:val="93"/>
              </w:rPr>
              <w:t>July 29,</w:t>
            </w:r>
          </w:p>
        </w:tc>
        <w:tc>
          <w:tcPr>
            <w:tcW w:w="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93"/>
              </w:rPr>
              <w:t>July 30,</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jc w:val="center"/>
              <w:ind w:right="380"/>
              <w:spacing w:after="0" w:line="133" w:lineRule="exact"/>
              <w:rPr>
                <w:sz w:val="20"/>
                <w:szCs w:val="20"/>
                <w:color w:val="auto"/>
              </w:rPr>
            </w:pPr>
            <w:r>
              <w:rPr>
                <w:rFonts w:ascii="Arial" w:cs="Arial" w:eastAsia="Arial" w:hAnsi="Arial"/>
                <w:sz w:val="14"/>
                <w:szCs w:val="14"/>
                <w:b w:val="1"/>
                <w:bCs w:val="1"/>
                <w:color w:val="auto"/>
                <w:w w:val="93"/>
              </w:rPr>
              <w:t>July 29,</w:t>
            </w:r>
          </w:p>
        </w:tc>
        <w:tc>
          <w:tcPr>
            <w:tcW w:w="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93"/>
              </w:rPr>
              <w:t>July 30,</w:t>
            </w:r>
          </w:p>
        </w:tc>
        <w:tc>
          <w:tcPr>
            <w:tcW w:w="0" w:type="dxa"/>
            <w:vAlign w:val="bottom"/>
          </w:tcPr>
          <w:p>
            <w:pPr>
              <w:spacing w:after="0"/>
              <w:rPr>
                <w:sz w:val="1"/>
                <w:szCs w:val="1"/>
                <w:color w:val="auto"/>
              </w:rPr>
            </w:pPr>
          </w:p>
        </w:tc>
      </w:tr>
      <w:tr>
        <w:trPr>
          <w:trHeight w:val="192"/>
        </w:trPr>
        <w:tc>
          <w:tcPr>
            <w:tcW w:w="4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14"/>
              <w:spacing w:after="0"/>
              <w:rPr>
                <w:sz w:val="20"/>
                <w:szCs w:val="20"/>
                <w:color w:val="auto"/>
              </w:rPr>
            </w:pPr>
            <w:r>
              <w:rPr>
                <w:rFonts w:ascii="Arial" w:cs="Arial" w:eastAsia="Arial" w:hAnsi="Arial"/>
                <w:sz w:val="14"/>
                <w:szCs w:val="14"/>
                <w:b w:val="1"/>
                <w:bCs w:val="1"/>
                <w:color w:val="auto"/>
                <w:w w:val="96"/>
              </w:rPr>
              <w:t>2023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13"/>
              <w:spacing w:after="0"/>
              <w:rPr>
                <w:sz w:val="20"/>
                <w:szCs w:val="20"/>
                <w:color w:val="auto"/>
              </w:rPr>
            </w:pPr>
            <w:r>
              <w:rPr>
                <w:rFonts w:ascii="Arial" w:cs="Arial" w:eastAsia="Arial" w:hAnsi="Arial"/>
                <w:sz w:val="14"/>
                <w:szCs w:val="14"/>
                <w:b w:val="1"/>
                <w:bCs w:val="1"/>
                <w:color w:val="auto"/>
                <w:w w:val="96"/>
              </w:rPr>
              <w:t>2022</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14"/>
              <w:spacing w:after="0"/>
              <w:rPr>
                <w:sz w:val="20"/>
                <w:szCs w:val="20"/>
                <w:color w:val="auto"/>
              </w:rPr>
            </w:pPr>
            <w:r>
              <w:rPr>
                <w:rFonts w:ascii="Arial" w:cs="Arial" w:eastAsia="Arial" w:hAnsi="Arial"/>
                <w:sz w:val="14"/>
                <w:szCs w:val="14"/>
                <w:b w:val="1"/>
                <w:bCs w:val="1"/>
                <w:color w:val="auto"/>
                <w:w w:val="96"/>
              </w:rPr>
              <w:t>2023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93"/>
              <w:spacing w:after="0"/>
              <w:rPr>
                <w:sz w:val="20"/>
                <w:szCs w:val="20"/>
                <w:color w:val="auto"/>
              </w:rPr>
            </w:pPr>
            <w:r>
              <w:rPr>
                <w:rFonts w:ascii="Arial" w:cs="Arial" w:eastAsia="Arial" w:hAnsi="Arial"/>
                <w:sz w:val="14"/>
                <w:szCs w:val="14"/>
                <w:b w:val="1"/>
                <w:bCs w:val="1"/>
                <w:color w:val="auto"/>
                <w:w w:val="89"/>
              </w:rPr>
              <w:t>2022</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840" w:type="dxa"/>
            <w:vAlign w:val="bottom"/>
          </w:tcPr>
          <w:p>
            <w:pPr>
              <w:ind w:left="20"/>
              <w:spacing w:after="0"/>
              <w:rPr>
                <w:sz w:val="20"/>
                <w:szCs w:val="20"/>
                <w:color w:val="auto"/>
              </w:rPr>
            </w:pPr>
            <w:r>
              <w:rPr>
                <w:rFonts w:ascii="Arial" w:cs="Arial" w:eastAsia="Arial" w:hAnsi="Arial"/>
                <w:sz w:val="18"/>
                <w:szCs w:val="18"/>
                <w:b w:val="1"/>
                <w:bCs w:val="1"/>
                <w:color w:val="auto"/>
              </w:rPr>
              <w:t>Operating Income (Loss) by Segment: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VB Direct</w:t>
            </w:r>
          </w:p>
        </w:tc>
        <w:tc>
          <w:tcPr>
            <w:tcW w:w="3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20,621</w:t>
            </w:r>
          </w:p>
        </w:tc>
        <w:tc>
          <w:tcPr>
            <w:tcW w:w="10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10,044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27,961</w:t>
            </w:r>
          </w:p>
        </w:tc>
        <w:tc>
          <w:tcPr>
            <w:tcW w:w="10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15,547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tcPr>
          <w:p>
            <w:pPr>
              <w:ind w:left="20"/>
              <w:spacing w:after="0"/>
              <w:rPr>
                <w:sz w:val="20"/>
                <w:szCs w:val="20"/>
                <w:color w:val="auto"/>
              </w:rPr>
            </w:pPr>
            <w:r>
              <w:rPr>
                <w:rFonts w:ascii="Arial" w:cs="Arial" w:eastAsia="Arial" w:hAnsi="Arial"/>
                <w:sz w:val="18"/>
                <w:szCs w:val="18"/>
                <w:color w:val="auto"/>
              </w:rPr>
              <w:t>VB Indirect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ind w:right="134"/>
              <w:spacing w:after="0"/>
              <w:rPr>
                <w:sz w:val="20"/>
                <w:szCs w:val="20"/>
                <w:color w:val="auto"/>
              </w:rPr>
            </w:pPr>
            <w:r>
              <w:rPr>
                <w:rFonts w:ascii="Arial" w:cs="Arial" w:eastAsia="Arial" w:hAnsi="Arial"/>
                <w:sz w:val="18"/>
                <w:szCs w:val="18"/>
                <w:color w:val="auto"/>
              </w:rPr>
              <w:t>6,204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ind w:right="133"/>
              <w:spacing w:after="0"/>
              <w:rPr>
                <w:sz w:val="20"/>
                <w:szCs w:val="20"/>
                <w:color w:val="auto"/>
              </w:rPr>
            </w:pPr>
            <w:r>
              <w:rPr>
                <w:rFonts w:ascii="Arial" w:cs="Arial" w:eastAsia="Arial" w:hAnsi="Arial"/>
                <w:sz w:val="18"/>
                <w:szCs w:val="18"/>
                <w:color w:val="auto"/>
              </w:rPr>
              <w:t>3,918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ind w:right="134"/>
              <w:spacing w:after="0"/>
              <w:rPr>
                <w:sz w:val="20"/>
                <w:szCs w:val="20"/>
                <w:color w:val="auto"/>
              </w:rPr>
            </w:pPr>
            <w:r>
              <w:rPr>
                <w:rFonts w:ascii="Arial" w:cs="Arial" w:eastAsia="Arial" w:hAnsi="Arial"/>
                <w:sz w:val="18"/>
                <w:szCs w:val="18"/>
                <w:color w:val="auto"/>
              </w:rPr>
              <w:t>10,910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9,397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Pura Vida</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4,000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(28,534)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5,562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(27,478)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Corporate unallocated</w:t>
            </w: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(17,954)</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(28,249)</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(37,948)</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(48,520)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8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12,871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(42,821)</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6,485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(51,054)</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8"/>
                <w:szCs w:val="18"/>
                <w:b w:val="1"/>
                <w:bCs w:val="1"/>
                <w:color w:val="auto"/>
                <w:w w:val="91"/>
              </w:rPr>
              <w:t>Operating Income (Loss) as a Percentage of Net Revenues by</w:t>
            </w: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8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9"/>
        </w:trPr>
        <w:tc>
          <w:tcPr>
            <w:tcW w:w="4840" w:type="dxa"/>
            <w:vAlign w:val="bottom"/>
          </w:tcPr>
          <w:p>
            <w:pPr>
              <w:ind w:left="20"/>
              <w:spacing w:after="0"/>
              <w:rPr>
                <w:sz w:val="20"/>
                <w:szCs w:val="20"/>
                <w:color w:val="auto"/>
              </w:rPr>
            </w:pPr>
            <w:r>
              <w:rPr>
                <w:rFonts w:ascii="Arial" w:cs="Arial" w:eastAsia="Arial" w:hAnsi="Arial"/>
                <w:sz w:val="18"/>
                <w:szCs w:val="18"/>
                <w:b w:val="1"/>
                <w:bCs w:val="1"/>
                <w:color w:val="auto"/>
              </w:rPr>
              <w:t>Segment:</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VB Direct</w:t>
            </w: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24.1 %</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11.5 %</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19.3 %</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10.5 %</w:t>
            </w: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Arial" w:cs="Arial" w:eastAsia="Arial" w:hAnsi="Arial"/>
                <w:sz w:val="18"/>
                <w:szCs w:val="18"/>
                <w:color w:val="auto"/>
              </w:rPr>
              <w:t>VB Indirect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35.7 %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22.6 %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33.3 %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27.4 %</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Pura Vida</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line="230" w:lineRule="exact"/>
              <w:rPr>
                <w:sz w:val="20"/>
                <w:szCs w:val="20"/>
                <w:color w:val="auto"/>
              </w:rPr>
            </w:pPr>
            <w:r>
              <w:rPr>
                <w:rFonts w:ascii="Arial" w:cs="Arial" w:eastAsia="Arial" w:hAnsi="Arial"/>
                <w:sz w:val="18"/>
                <w:szCs w:val="18"/>
                <w:b w:val="1"/>
                <w:bCs w:val="1"/>
                <w:color w:val="auto"/>
              </w:rPr>
              <w:t xml:space="preserve">Vera Bradley Store Data </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stores opened during period</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Arial" w:cs="Arial" w:eastAsia="Arial" w:hAnsi="Arial"/>
                <w:sz w:val="18"/>
                <w:szCs w:val="18"/>
                <w:color w:val="auto"/>
              </w:rPr>
              <w:t>Total stores closed during period</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ind w:right="74"/>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ind w:right="73"/>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ind w:right="74"/>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ind w:right="73"/>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stores open at end of period</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143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143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Arial" w:cs="Arial" w:eastAsia="Arial" w:hAnsi="Arial"/>
                <w:sz w:val="18"/>
                <w:szCs w:val="18"/>
                <w:color w:val="auto"/>
              </w:rPr>
              <w:t>Total gross square footage at end of period</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ind w:right="134"/>
              <w:spacing w:after="0"/>
              <w:rPr>
                <w:sz w:val="20"/>
                <w:szCs w:val="20"/>
                <w:color w:val="auto"/>
              </w:rPr>
            </w:pPr>
            <w:r>
              <w:rPr>
                <w:rFonts w:ascii="Arial" w:cs="Arial" w:eastAsia="Arial" w:hAnsi="Arial"/>
                <w:sz w:val="18"/>
                <w:szCs w:val="18"/>
                <w:color w:val="auto"/>
              </w:rPr>
              <w:t>375,576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ind w:right="133"/>
              <w:spacing w:after="0"/>
              <w:rPr>
                <w:sz w:val="20"/>
                <w:szCs w:val="20"/>
                <w:color w:val="auto"/>
              </w:rPr>
            </w:pPr>
            <w:r>
              <w:rPr>
                <w:rFonts w:ascii="Arial" w:cs="Arial" w:eastAsia="Arial" w:hAnsi="Arial"/>
                <w:sz w:val="18"/>
                <w:szCs w:val="18"/>
                <w:color w:val="auto"/>
              </w:rPr>
              <w:t>405,829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ind w:right="134"/>
              <w:spacing w:after="0"/>
              <w:rPr>
                <w:sz w:val="20"/>
                <w:szCs w:val="20"/>
                <w:color w:val="auto"/>
              </w:rPr>
            </w:pPr>
            <w:r>
              <w:rPr>
                <w:rFonts w:ascii="Arial" w:cs="Arial" w:eastAsia="Arial" w:hAnsi="Arial"/>
                <w:sz w:val="18"/>
                <w:szCs w:val="18"/>
                <w:color w:val="auto"/>
              </w:rPr>
              <w:t>375,576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405,829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Average net revenues per gross square foot </w:t>
            </w:r>
            <w:r>
              <w:rPr>
                <w:rFonts w:ascii="Arial" w:cs="Arial" w:eastAsia="Arial" w:hAnsi="Arial"/>
                <w:sz w:val="23"/>
                <w:szCs w:val="23"/>
                <w:color w:val="auto"/>
                <w:vertAlign w:val="superscript"/>
              </w:rPr>
              <w:t>(2)</w:t>
            </w:r>
          </w:p>
        </w:tc>
        <w:tc>
          <w:tcPr>
            <w:tcW w:w="3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149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252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04"/>
        </w:trPr>
        <w:tc>
          <w:tcPr>
            <w:tcW w:w="4840" w:type="dxa"/>
            <w:vAlign w:val="bottom"/>
          </w:tcPr>
          <w:p>
            <w:pPr>
              <w:ind w:left="20"/>
              <w:spacing w:after="0"/>
              <w:rPr>
                <w:sz w:val="20"/>
                <w:szCs w:val="20"/>
                <w:color w:val="auto"/>
              </w:rPr>
            </w:pPr>
            <w:r>
              <w:rPr>
                <w:rFonts w:ascii="Arial" w:cs="Arial" w:eastAsia="Arial" w:hAnsi="Arial"/>
                <w:sz w:val="18"/>
                <w:szCs w:val="18"/>
                <w:color w:val="auto"/>
              </w:rPr>
              <w:t xml:space="preserve">Comparable sales (including e-commerce) decrease </w:t>
            </w:r>
            <w:r>
              <w:rPr>
                <w:rFonts w:ascii="Arial" w:cs="Arial" w:eastAsia="Arial" w:hAnsi="Arial"/>
                <w:sz w:val="23"/>
                <w:szCs w:val="23"/>
                <w:color w:val="auto"/>
                <w:vertAlign w:val="superscript"/>
              </w:rPr>
              <w:t>(3)</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(13.8)%</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580" w:right="780" w:hanging="572"/>
        <w:spacing w:after="0" w:line="258" w:lineRule="auto"/>
        <w:tabs>
          <w:tab w:leader="none" w:pos="574"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Vera Bradley full-line and factory outlet stores. These figures do not include Pura Vida retail locations or Pura Vida e-commerce operations.</w:t>
      </w:r>
    </w:p>
    <w:p>
      <w:pPr>
        <w:spacing w:after="0" w:line="1" w:lineRule="exact"/>
        <w:rPr>
          <w:rFonts w:ascii="Arial" w:cs="Arial" w:eastAsia="Arial" w:hAnsi="Arial"/>
          <w:sz w:val="18"/>
          <w:szCs w:val="18"/>
          <w:color w:val="auto"/>
        </w:rPr>
      </w:pPr>
    </w:p>
    <w:p>
      <w:pPr>
        <w:ind w:left="580" w:right="20" w:hanging="572"/>
        <w:spacing w:after="0" w:line="250" w:lineRule="auto"/>
        <w:tabs>
          <w:tab w:leader="none" w:pos="574" w:val="left"/>
        </w:tabs>
        <w:numPr>
          <w:ilvl w:val="0"/>
          <w:numId w:val="30"/>
        </w:numPr>
        <w:rPr>
          <w:rFonts w:ascii="Arial" w:cs="Arial" w:eastAsia="Arial" w:hAnsi="Arial"/>
          <w:sz w:val="18"/>
          <w:szCs w:val="18"/>
          <w:color w:val="auto"/>
        </w:rPr>
      </w:pPr>
      <w:r>
        <w:rPr>
          <w:rFonts w:ascii="Arial" w:cs="Arial" w:eastAsia="Arial" w:hAnsi="Arial"/>
          <w:sz w:val="18"/>
          <w:szCs w:val="18"/>
          <w:color w:val="auto"/>
        </w:rPr>
        <w:t>Dollars not in thousands. Average net revenues per gross square foot are calculated by dividing total net revenues for our stores that have been open at least 12 full fiscal months as of the end of the period by total gross square footage for those stores. Remodeled stores are included in average net revenues per gross square foot unless the store was closed for a portion of the period.</w:t>
      </w:r>
    </w:p>
    <w:p>
      <w:pPr>
        <w:spacing w:after="0" w:line="1" w:lineRule="exact"/>
        <w:rPr>
          <w:rFonts w:ascii="Arial" w:cs="Arial" w:eastAsia="Arial" w:hAnsi="Arial"/>
          <w:sz w:val="18"/>
          <w:szCs w:val="18"/>
          <w:color w:val="auto"/>
        </w:rPr>
      </w:pPr>
    </w:p>
    <w:p>
      <w:pPr>
        <w:ind w:left="580" w:right="220" w:hanging="572"/>
        <w:spacing w:after="0" w:line="295" w:lineRule="auto"/>
        <w:tabs>
          <w:tab w:leader="none" w:pos="574"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Comparable sales are calculated based upon stores that have been open for at least 12 full fiscal months and net revenues from e-commerce operations. Comparable sales decrease is reported as a percentage of the comparable sales for the same period in the prior fiscal year. Remodeled stores are included in comparable sales unless the store was closed for a portion of the current or comparable prior period, in which case the non-comparable temporary closure periods are not included, or the remodel resulted in a significant change in square footage.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Thirteen Weeks Ended July 29, 2023, Compared to Thirteen Weeks Ended July 30, 2022</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Revenues</w:t>
      </w:r>
    </w:p>
    <w:p>
      <w:pPr>
        <w:spacing w:after="0" w:line="10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For the thirteen weeks ended July 29, 2023, net revenues decreased $2.2 million, or 1.7%, to $128.2 million, from $130.4 million in the comparable prior-year period.</w:t>
      </w:r>
    </w:p>
    <w:p>
      <w:pPr>
        <w:spacing w:after="0" w:line="116" w:lineRule="exact"/>
        <w:rPr>
          <w:sz w:val="20"/>
          <w:szCs w:val="20"/>
          <w:color w:val="auto"/>
        </w:rPr>
      </w:pPr>
    </w:p>
    <w:p>
      <w:pPr>
        <w:ind w:right="200"/>
        <w:spacing w:after="0" w:line="283" w:lineRule="auto"/>
        <w:rPr>
          <w:sz w:val="20"/>
          <w:szCs w:val="20"/>
          <w:color w:val="auto"/>
        </w:rPr>
      </w:pPr>
      <w:r>
        <w:rPr>
          <w:rFonts w:ascii="Arial" w:cs="Arial" w:eastAsia="Arial" w:hAnsi="Arial"/>
          <w:sz w:val="16"/>
          <w:szCs w:val="16"/>
          <w:i w:val="1"/>
          <w:iCs w:val="1"/>
          <w:color w:val="auto"/>
        </w:rPr>
        <w:t>VB Direct</w:t>
      </w:r>
      <w:r>
        <w:rPr>
          <w:rFonts w:ascii="Arial" w:cs="Arial" w:eastAsia="Arial" w:hAnsi="Arial"/>
          <w:sz w:val="16"/>
          <w:szCs w:val="16"/>
          <w:color w:val="auto"/>
        </w:rPr>
        <w:t>. For the thirteen weeks ended July 29, 2023, net revenues in the VB Direct segment decreased $1.3 million, or 1.5%, to $85.7 million, from</w:t>
      </w:r>
      <w:r>
        <w:rPr>
          <w:rFonts w:ascii="Arial" w:cs="Arial" w:eastAsia="Arial" w:hAnsi="Arial"/>
          <w:sz w:val="16"/>
          <w:szCs w:val="16"/>
          <w:i w:val="1"/>
          <w:iCs w:val="1"/>
          <w:color w:val="auto"/>
        </w:rPr>
        <w:t xml:space="preserve"> </w:t>
      </w:r>
      <w:r>
        <w:rPr>
          <w:rFonts w:ascii="Arial" w:cs="Arial" w:eastAsia="Arial" w:hAnsi="Arial"/>
          <w:sz w:val="16"/>
          <w:szCs w:val="16"/>
          <w:color w:val="auto"/>
        </w:rPr>
        <w:t>$87.0 million in the comparable prior-year period. Vera Bradley comparable sales decreased 5.3%, which includes a 5.8% decrease in comparable store sales and a 4.1% decrease in e-commerce sales. In addition, non-comparable store revenue decreased $1.1 million. Closed retail store locations were partially offset by two factory outlet stores opened in the current year. The decrease in comparable sales and comparable store sales was impacted by reduced conversion and units sold primarily in the factory outlet channel and the elimination of one online outlet sale during the quarter. These decreases were partially offset by sales from the Vera Bradley annual outlet sale held during the current-year period but not in the comparable prior-year period.</w:t>
      </w:r>
    </w:p>
    <w:p>
      <w:pPr>
        <w:spacing w:after="0" w:line="102" w:lineRule="exact"/>
        <w:rPr>
          <w:sz w:val="20"/>
          <w:szCs w:val="20"/>
          <w:color w:val="auto"/>
        </w:rPr>
      </w:pPr>
    </w:p>
    <w:p>
      <w:pPr>
        <w:ind w:right="220"/>
        <w:spacing w:after="0" w:line="291" w:lineRule="auto"/>
        <w:rPr>
          <w:sz w:val="20"/>
          <w:szCs w:val="20"/>
          <w:color w:val="auto"/>
        </w:rPr>
      </w:pPr>
      <w:r>
        <w:rPr>
          <w:rFonts w:ascii="Arial" w:cs="Arial" w:eastAsia="Arial" w:hAnsi="Arial"/>
          <w:sz w:val="17"/>
          <w:szCs w:val="17"/>
          <w:i w:val="1"/>
          <w:iCs w:val="1"/>
          <w:color w:val="auto"/>
        </w:rPr>
        <w:t>VB Indirect</w:t>
      </w:r>
      <w:r>
        <w:rPr>
          <w:rFonts w:ascii="Arial" w:cs="Arial" w:eastAsia="Arial" w:hAnsi="Arial"/>
          <w:sz w:val="17"/>
          <w:szCs w:val="17"/>
          <w:color w:val="auto"/>
        </w:rPr>
        <w:t>. For the thirteen weeks ended July 29, 2023, net revenues in the VB Indirect segment increased $0.1 million, or 0.2%, to $17.4 million, from</w:t>
      </w:r>
      <w:r>
        <w:rPr>
          <w:rFonts w:ascii="Arial" w:cs="Arial" w:eastAsia="Arial" w:hAnsi="Arial"/>
          <w:sz w:val="17"/>
          <w:szCs w:val="17"/>
          <w:i w:val="1"/>
          <w:iCs w:val="1"/>
          <w:color w:val="auto"/>
        </w:rPr>
        <w:t xml:space="preserve"> </w:t>
      </w:r>
      <w:r>
        <w:rPr>
          <w:rFonts w:ascii="Arial" w:cs="Arial" w:eastAsia="Arial" w:hAnsi="Arial"/>
          <w:sz w:val="17"/>
          <w:szCs w:val="17"/>
          <w:color w:val="auto"/>
        </w:rPr>
        <w:t>$17.3 million in the comparable prior-year period. An increase in key account orders was offset by a decrease in specialty account orders.</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Pura Vida. </w:t>
      </w:r>
      <w:r>
        <w:rPr>
          <w:rFonts w:ascii="Arial" w:cs="Arial" w:eastAsia="Arial" w:hAnsi="Arial"/>
          <w:sz w:val="16"/>
          <w:szCs w:val="16"/>
          <w:color w:val="auto"/>
        </w:rPr>
        <w:t>For the thirteen weeks ended July 29, 2023, net revenues in the Pura Vida segment decreased $0.9 million, or 3.6%, to $25.1 million, from</w:t>
      </w:r>
    </w:p>
    <w:p>
      <w:pPr>
        <w:spacing w:after="0" w:line="46" w:lineRule="exact"/>
        <w:rPr>
          <w:sz w:val="20"/>
          <w:szCs w:val="20"/>
          <w:color w:val="auto"/>
        </w:rPr>
      </w:pPr>
    </w:p>
    <w:p>
      <w:pPr>
        <w:ind w:right="220"/>
        <w:spacing w:after="0" w:line="260" w:lineRule="auto"/>
        <w:rPr>
          <w:sz w:val="20"/>
          <w:szCs w:val="20"/>
          <w:color w:val="auto"/>
        </w:rPr>
      </w:pPr>
      <w:r>
        <w:rPr>
          <w:rFonts w:ascii="Arial" w:cs="Arial" w:eastAsia="Arial" w:hAnsi="Arial"/>
          <w:sz w:val="18"/>
          <w:szCs w:val="18"/>
          <w:color w:val="auto"/>
        </w:rPr>
        <w:t>$26.0 million in the comparable prior-year period. The decrease was primarily due to a decline in wholesale and e-commerce sales, partially offset by an increase in retail store sales associated with four non-comparable retail stores opened in the prior year.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0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For the thirteen weeks ended July 29, 2023, gross profit increased $11.5 million, or 19.0%, to $72.0 million, from $60.5 million in the comparable prior-year period. As a percentage of net revenues, gross profit increased to 56.2% for the thirteen weeks ended July 29, 2023, from 46.4% in the comparable prior-year period. Prior year gross margin as a percentage of net revenues was negatively impacted by approximately 470 basis points for inventory adjustments related to the exit of certain technology products and excess mask inventory, approximately 90 basis points for purchase order cancellation fees related to certain spring 2023 products, and overhead deleverage. In addition, the rate for the current-year period was positively impacted by a decrease in inbound and outbound freight and shipping costs and the sell-through of previously reserved excess inventory, partially offset by increased promotional activity.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77"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For the thirteen weeks ended July 29, 2023, SG&amp;A expenses decreased $14.6 million, or 19.8%, to $59.4 million, from $74.0 million in the comparable prior-year period. As a percentage of net revenues, SG&amp;A expenses decreased to 46.3% for the thirteen weeks ended July 29, 2023, from 56.8% in the comparable prior-year period. SG&amp;A expenses related to Vera Bradley and corporate unallocated were $47.7 million compared to $60.6 million in the comparable prior-year period. SG&amp;A expenses related to Pura Vida were $11.7 million compared to $13.4 million in the comparable prior-year period. The decrease in consolidated SG&amp;A expenses for the thirteen weeks ended July 29, 2023 was primarily due to a $5.6 million decrease in severance charges which included retirement severance in the prior year for our former CEO; a $2.8 million decrease in expenses associated with cost savings initiatives and CEO search fees that did not recur in the current year; a decrease in employee-related expenses of $2.3 million due to a reduction in headcount, partially offset by an increase in incentive compensation due to Company performance estimates; $0.8 million related to store impairment charges in the prior year that did not recur in the current year; and $3.1 million in other net expense reductions which included spending reductions related to information technology contracts, visual merchandising, certain professional fees, and other expenses. SG&amp;A expenses as a percentage of net revenues decreased primarily due to the aforementioned items, partially offset by SG&amp;A expense deleverage associated with a decrease in sales.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Goodwill and Intangible Assets</w:t>
      </w:r>
    </w:p>
    <w:p>
      <w:pPr>
        <w:spacing w:after="0" w:line="90"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color w:val="auto"/>
        </w:rPr>
        <w:t xml:space="preserve">There were no impairment charges of goodwill and intangible assets for the thirteen weeks ended July 29, 2023. For the thirteen weeks ended July 30, 2022, impairment of goodwill and intangible assets totaled $29.3 million. These charges related to Pura Vida goodwill and the indefinite-lived Pura Vida brand asset and are reflected within the Pura Vida segment. For additional information, refer to </w:t>
      </w:r>
      <w:r>
        <w:rPr>
          <w:rFonts w:ascii="Arial" w:cs="Arial" w:eastAsia="Arial" w:hAnsi="Arial"/>
          <w:sz w:val="16"/>
          <w:szCs w:val="16"/>
          <w:i w:val="1"/>
          <w:iCs w:val="1"/>
          <w:color w:val="auto"/>
        </w:rPr>
        <w:t>Goodwill and Other Intangible Assets</w:t>
      </w:r>
      <w:r>
        <w:rPr>
          <w:rFonts w:ascii="Arial" w:cs="Arial" w:eastAsia="Arial" w:hAnsi="Arial"/>
          <w:sz w:val="16"/>
          <w:szCs w:val="16"/>
          <w:color w:val="auto"/>
        </w:rPr>
        <w:t xml:space="preserve"> herein.</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90"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For the thirteen weeks ended July 29, 2023, net other income increased $0.2 million to $0.3 million compared to $42.0 thousand in the comparable prior-year period. The increase in net other income was primarily due to ticket sales from the Vera Bradley annual outlet sale and sublease income.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 (Loss)</w:t>
      </w:r>
    </w:p>
    <w:p>
      <w:pPr>
        <w:spacing w:after="0" w:line="104"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For the thirteen weeks ended July 29, 2023, operating income increased $55.7 million, or 130.1%, to $12.9 million in the current-year period, from an operating loss of $(42.8) million in the comparable prior-year period. As a percentage of net revenues, operating income (loss) was 10.0% and (32.8)% for the thirteen weeks ended July 29, 2023 and July 30, 2022, respectively. Operating income increased due to the factors described in the captions above.</w:t>
      </w:r>
    </w:p>
    <w:p>
      <w:pPr>
        <w:spacing w:after="0" w:line="9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i w:val="1"/>
          <w:iCs w:val="1"/>
          <w:color w:val="auto"/>
        </w:rPr>
        <w:t>VB Direct</w:t>
      </w:r>
      <w:r>
        <w:rPr>
          <w:rFonts w:ascii="Arial" w:cs="Arial" w:eastAsia="Arial" w:hAnsi="Arial"/>
          <w:sz w:val="17"/>
          <w:szCs w:val="17"/>
          <w:color w:val="auto"/>
        </w:rPr>
        <w:t>. For the thirteen weeks ended July 29, 2023, operating income in the VB Direct segment increased $10.5 million, or 105.3%, to $20.6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from $10.1 million in the comparable prior-year period. As a percentage of VB Direct segment net revenues, operating income in the VB Direct segment was 24.1% and 11.5% for the thirteen weeks ended July 29, 2023 and July 30, 2022, respectively. The increase in operating income as a percentage of VB Direct segment net revenues was primarily due to an increase in gross margin as a percentage of net revenues as described above; a decrease in employee-related expenses due to closed stores and cost savings initiatives; store impairment charges in the prior year that did not recur in the current year; and a reduction in spending associated with visual merchandising, professional fees, and other variable expenses. These increases were partially offset by SG&amp;A expense deleverage associated with decreased sales.</w:t>
      </w:r>
    </w:p>
    <w:p>
      <w:pPr>
        <w:spacing w:after="0" w:line="123"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i w:val="1"/>
          <w:iCs w:val="1"/>
          <w:color w:val="auto"/>
        </w:rPr>
        <w:t>VB Indirect</w:t>
      </w:r>
      <w:r>
        <w:rPr>
          <w:rFonts w:ascii="Arial" w:cs="Arial" w:eastAsia="Arial" w:hAnsi="Arial"/>
          <w:sz w:val="16"/>
          <w:szCs w:val="16"/>
          <w:color w:val="auto"/>
        </w:rPr>
        <w:t>. For the thirteen weeks ended July 29, 2023, operating income in the VB Indirect segment increased $2.3 million, or 58.3%, to $6.2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from $3.9 million in the comparable prior-year period. As a percentage of VB Indirect segment net revenues, operating income in the VB Indirect segment was 35.7% and 22.6% for the thirteen weeks ended July 29, 2023 and July 30, 2022, respectively. The increase in operating income as a percentage of VB Indirect segment net revenues was due to an increase in gross margin as a percentage of net revenues as described above.</w:t>
      </w:r>
    </w:p>
    <w:p>
      <w:pPr>
        <w:spacing w:after="0" w:line="103"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i w:val="1"/>
          <w:iCs w:val="1"/>
          <w:color w:val="auto"/>
        </w:rPr>
        <w:t xml:space="preserve">Pura Vida. </w:t>
      </w:r>
      <w:r>
        <w:rPr>
          <w:rFonts w:ascii="Arial" w:cs="Arial" w:eastAsia="Arial" w:hAnsi="Arial"/>
          <w:sz w:val="16"/>
          <w:szCs w:val="16"/>
          <w:color w:val="auto"/>
        </w:rPr>
        <w:t>For the thirteen weeks ended July 29, 2023, operating income in the Pura Vida segment increased $32.5 million, or 114.0%, to $4.0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from an operating loss of $(28.5) million in the comparable prior-year period. As a percentage of Pura Vida segment net revenues, operating income (loss) in the Pura Vida segment was 15.9% and (109.6)% for the thirteen weeks ended July 29, 2023 and July 30, 2022, respectively. The increase in operating income as a percentage of Pura Vida net revenues was primarily due to goodwill and indefinite-lived Pura Vida brand impairment charges in the prior-year period of $19.4 million and $9.9 million, respectively; a decrease in marketing and advertising expense; a decrease in employee-related expense due to headcount reductions and cost savings initiatives; and an increase in gross margin as a percentage of net revenues as described above, including inventory adjustments for excess mask products which impacted the operating loss as a percentage of net revenues by approximately 370 basis points in the prior year. These benefits to operating income as a percentage of net revenues were partially offset by expenses associated with non-comparable retail stores opened in the prior year and SG&amp;A expense deleverage associated with a decrease in sales, excluding non-comparable stores.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Corporate Unallocated</w:t>
      </w:r>
      <w:r>
        <w:rPr>
          <w:rFonts w:ascii="Arial" w:cs="Arial" w:eastAsia="Arial" w:hAnsi="Arial"/>
          <w:sz w:val="17"/>
          <w:szCs w:val="17"/>
          <w:color w:val="auto"/>
        </w:rPr>
        <w:t>. For the thirteen weeks ended July 29, 2023, unallocated expenses decreased $10.2 million, or 36.4%, to $18.0 million from</w:t>
      </w:r>
    </w:p>
    <w:p>
      <w:pPr>
        <w:spacing w:after="0" w:line="35" w:lineRule="exact"/>
        <w:rPr>
          <w:sz w:val="20"/>
          <w:szCs w:val="20"/>
          <w:color w:val="auto"/>
        </w:rPr>
      </w:pPr>
    </w:p>
    <w:p>
      <w:pPr>
        <w:jc w:val="both"/>
        <w:ind w:right="60"/>
        <w:spacing w:after="0" w:line="252" w:lineRule="auto"/>
        <w:rPr>
          <w:sz w:val="20"/>
          <w:szCs w:val="20"/>
          <w:color w:val="auto"/>
        </w:rPr>
      </w:pPr>
      <w:r>
        <w:rPr>
          <w:rFonts w:ascii="Arial" w:cs="Arial" w:eastAsia="Arial" w:hAnsi="Arial"/>
          <w:sz w:val="18"/>
          <w:szCs w:val="18"/>
          <w:color w:val="auto"/>
        </w:rPr>
        <w:t>$28.2 million in the comparable prior-year period. The decrease in unallocated expenses was primarily due to prior year severance charges of $5.7 million which included severance associated with the retirement of our former CEO that did not recur in the current year; prior year consulting fees of $2.8 million associated with cost savings initiatives and the CEO search that did not recur in the current year; a reduction in employee-related expenses of $1.2 million primarily related to lower headcount, partially offset by an increase in incentive compensation expense as a result of Company performance estimates; and $0.5 million in other net corporate expense reductions including a reduction in corporate advertising spending, information technology contracts, and other corporate expenses.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 (Benefit)</w:t>
      </w:r>
    </w:p>
    <w:p>
      <w:pPr>
        <w:spacing w:after="0" w:line="104"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The effective tax rate for the thirteen weeks ended July 29, 2023, was 28.0%, compared to 13.9% for the thirteen weeks ended July 30, 2022. The year-over year effective tax rate increase was primarily due to the relative impact of permanent items in the current-year period compared to the prior-year period, primarily as a result of noncontrolling interest in the prior-year period and non-deductible executive compensation.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(Loss)</w:t>
      </w:r>
    </w:p>
    <w:p>
      <w:pPr>
        <w:spacing w:after="0" w:line="9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For the thirteen weeks ended July 29, 2023, net income increased $46.2 million to $9.3 million from a net loss of $(36.9) million in the comparable prior-year period due to the factors described in the captions above</w:t>
      </w:r>
      <w:r>
        <w:rPr>
          <w:rFonts w:ascii="Arial" w:cs="Arial" w:eastAsia="Arial" w:hAnsi="Arial"/>
          <w:sz w:val="18"/>
          <w:szCs w:val="18"/>
          <w:i w:val="1"/>
          <w:iCs w:val="1"/>
          <w:color w:val="auto"/>
        </w:rPr>
        <w:t>.</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 Attributable to Redeemable Noncontrolling Interest</w:t>
      </w:r>
    </w:p>
    <w:p>
      <w:pPr>
        <w:spacing w:after="0" w:line="90"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For the thirteen weeks ended July 30, 2022, net loss attributable to redeemable noncontrolling interest was $(7.1) million. This represents the allocation of the Pura Vida net loss to the noncontrolling interest. On January 30, 2023, we purchased the remaining 25% interest in Pura Vida resulting in 100% ownership. As a result, there was no noncontrolling interest for the current-year period.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(Loss) Attributable to Vera Bradley, Inc.</w:t>
      </w:r>
    </w:p>
    <w:p>
      <w:pPr>
        <w:spacing w:after="0" w:line="104"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For the thirteen weeks ended July 29, 2023, net income attributable to Vera Bradley, Inc. increased $39.1 million to $9.3 million from a net loss of $(29.8) million in the comparable prior-year period due to the factors described in the captions above.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Twenty-Six Weeks Ended July 29, 2023, Compared to Twenty-Six Weeks Ended July 30, 2022</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Revenues</w:t>
      </w:r>
    </w:p>
    <w:p>
      <w:pPr>
        <w:spacing w:after="0" w:line="10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For the twenty-six weeks ended July 29, 2023, net revenues decreased $6.3 million, or 2.8%, to $222.5 million, from $228.8 million in the comparable prior-year period.</w:t>
      </w:r>
    </w:p>
    <w:p>
      <w:pPr>
        <w:spacing w:after="0" w:line="116" w:lineRule="exact"/>
        <w:rPr>
          <w:sz w:val="20"/>
          <w:szCs w:val="20"/>
          <w:color w:val="auto"/>
        </w:rPr>
      </w:pPr>
    </w:p>
    <w:p>
      <w:pPr>
        <w:ind w:right="100"/>
        <w:spacing w:after="0" w:line="261" w:lineRule="auto"/>
        <w:rPr>
          <w:sz w:val="20"/>
          <w:szCs w:val="20"/>
          <w:color w:val="auto"/>
        </w:rPr>
      </w:pPr>
      <w:r>
        <w:rPr>
          <w:rFonts w:ascii="Arial" w:cs="Arial" w:eastAsia="Arial" w:hAnsi="Arial"/>
          <w:sz w:val="17"/>
          <w:szCs w:val="17"/>
          <w:i w:val="1"/>
          <w:iCs w:val="1"/>
          <w:color w:val="auto"/>
        </w:rPr>
        <w:t>VB Direct</w:t>
      </w:r>
      <w:r>
        <w:rPr>
          <w:rFonts w:ascii="Arial" w:cs="Arial" w:eastAsia="Arial" w:hAnsi="Arial"/>
          <w:sz w:val="17"/>
          <w:szCs w:val="17"/>
          <w:color w:val="auto"/>
        </w:rPr>
        <w:t>. For the twenty-six weeks ended July 29, 2023, net revenues in the VB Direct segment decreased $4.0 million, or 2.7%, to $144.6 million, from</w:t>
      </w:r>
      <w:r>
        <w:rPr>
          <w:rFonts w:ascii="Arial" w:cs="Arial" w:eastAsia="Arial" w:hAnsi="Arial"/>
          <w:sz w:val="17"/>
          <w:szCs w:val="17"/>
          <w:i w:val="1"/>
          <w:iCs w:val="1"/>
          <w:color w:val="auto"/>
        </w:rPr>
        <w:t xml:space="preserve"> </w:t>
      </w:r>
      <w:r>
        <w:rPr>
          <w:rFonts w:ascii="Arial" w:cs="Arial" w:eastAsia="Arial" w:hAnsi="Arial"/>
          <w:sz w:val="17"/>
          <w:szCs w:val="17"/>
          <w:color w:val="auto"/>
        </w:rPr>
        <w:t>$148.6 million in the comparable prior-year period. Vera Bradley comparable sales decreased 4.5%, which includes a 7.0% decrease in comparable store sales. E-commerce sales were flat compared to the prior-year period. In addition, non-comparable store revenue decreased $1.7 million. Closed retail store locations were partially offset by two factory outlet stores opened in the current year. The decrease in comparable sales and comparable store sales was impacted by reduced traffic, conversion, and units sold primarily in the factory outlet channel and the elimination of one online outlet sale during the second quarter of the current year. These decreases were partially offset by sales from the Vera Bradley annual outlet sale held during the current-year period but not in the comparable prior-year period.</w:t>
      </w:r>
    </w:p>
    <w:p>
      <w:pPr>
        <w:spacing w:after="0" w:line="118"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i w:val="1"/>
          <w:iCs w:val="1"/>
          <w:color w:val="auto"/>
        </w:rPr>
        <w:t>VB Indirect</w:t>
      </w:r>
      <w:r>
        <w:rPr>
          <w:rFonts w:ascii="Arial" w:cs="Arial" w:eastAsia="Arial" w:hAnsi="Arial"/>
          <w:sz w:val="18"/>
          <w:szCs w:val="18"/>
          <w:color w:val="auto"/>
        </w:rPr>
        <w:t>. For the twenty-six weeks ended July 29, 2023, net revenues in the VB Indirect segment decreased $1.6 million, or 4.6%, to $32.7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from $34.3 million in the comparable prior-year period. The decrease was primarily due to a one-time key account order that did not recur in the current-year period, along with channel mix changes.</w:t>
      </w:r>
    </w:p>
    <w:p>
      <w:pPr>
        <w:spacing w:after="0" w:line="121" w:lineRule="exact"/>
        <w:rPr>
          <w:sz w:val="20"/>
          <w:szCs w:val="20"/>
          <w:color w:val="auto"/>
        </w:rPr>
      </w:pPr>
    </w:p>
    <w:p>
      <w:pPr>
        <w:jc w:val="both"/>
        <w:ind w:right="240"/>
        <w:spacing w:after="0" w:line="286" w:lineRule="auto"/>
        <w:rPr>
          <w:sz w:val="20"/>
          <w:szCs w:val="20"/>
          <w:color w:val="auto"/>
        </w:rPr>
      </w:pPr>
      <w:r>
        <w:rPr>
          <w:rFonts w:ascii="Arial" w:cs="Arial" w:eastAsia="Arial" w:hAnsi="Arial"/>
          <w:sz w:val="17"/>
          <w:szCs w:val="17"/>
          <w:i w:val="1"/>
          <w:iCs w:val="1"/>
          <w:color w:val="auto"/>
        </w:rPr>
        <w:t xml:space="preserve">Pura Vida. </w:t>
      </w:r>
      <w:r>
        <w:rPr>
          <w:rFonts w:ascii="Arial" w:cs="Arial" w:eastAsia="Arial" w:hAnsi="Arial"/>
          <w:sz w:val="17"/>
          <w:szCs w:val="17"/>
          <w:color w:val="auto"/>
        </w:rPr>
        <w:t>For the twenty-six weeks ended July 29, 2023, net revenues in the Pura Vida segment decreased $0.7 million, or 1.5%, to $45.2 million, from</w:t>
      </w:r>
      <w:r>
        <w:rPr>
          <w:rFonts w:ascii="Arial" w:cs="Arial" w:eastAsia="Arial" w:hAnsi="Arial"/>
          <w:sz w:val="17"/>
          <w:szCs w:val="17"/>
          <w:i w:val="1"/>
          <w:iCs w:val="1"/>
          <w:color w:val="auto"/>
        </w:rPr>
        <w:t xml:space="preserve"> </w:t>
      </w:r>
      <w:r>
        <w:rPr>
          <w:rFonts w:ascii="Arial" w:cs="Arial" w:eastAsia="Arial" w:hAnsi="Arial"/>
          <w:sz w:val="17"/>
          <w:szCs w:val="17"/>
          <w:color w:val="auto"/>
        </w:rPr>
        <w:t>$45.9 million in the comparable prior-year period. The decrease was primarily due to a decline in wholesale and e-commerce sales, partially offset by an increase in retail store sales associated with four non-comparable retail stores opened in the prior year.</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9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For the twenty-six weeks ended July 29, 2023, gross profit increased $10.8 million, or 9.5%, to $123.8 million, from $113.0 million in the comparable prior-year period. As a percentage of net revenues, gross profit increased to 55.6% for the twenty-six weeks ended July 29, 2023, from 49.4% in the comparable prior-year period. Prior year gross margin as a percentage of net revenues was negatively impacted by approximately 270 basis points for inventory adjustments related to the exit of certain technology products and excess mask inventory, approximately 50 basis points for purchase order cancellation fees related to certain spring 2023 products, and overhead deleverage. In addition, the rate the current-year period was positively impacted by a decrease in inbound and outbound freight and shipping costs and the sell-through of previously reserved excess inventory.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90" w:lineRule="exact"/>
        <w:rPr>
          <w:sz w:val="20"/>
          <w:szCs w:val="20"/>
          <w:color w:val="auto"/>
        </w:rPr>
      </w:pPr>
    </w:p>
    <w:p>
      <w:pPr>
        <w:ind w:right="260"/>
        <w:spacing w:after="0" w:line="253" w:lineRule="auto"/>
        <w:rPr>
          <w:sz w:val="20"/>
          <w:szCs w:val="20"/>
          <w:color w:val="auto"/>
        </w:rPr>
      </w:pPr>
      <w:r>
        <w:rPr>
          <w:rFonts w:ascii="Arial" w:cs="Arial" w:eastAsia="Arial" w:hAnsi="Arial"/>
          <w:sz w:val="16"/>
          <w:szCs w:val="16"/>
          <w:color w:val="auto"/>
        </w:rPr>
        <w:t>For the twenty-six weeks ended July 29, 2023, SG&amp;A expenses decreased $17.1 million, or 12.6%, to $117.9 million, from $135.0 million in the comparable prior-year period. As a percentage of net revenues, SG&amp;A expenses decreased to 53.0% for the twenty-six weeks ended July 29, 2023, from 59.0% in the comparable prior-year period. SG&amp;A expenses related to Vera Bradley and corporate unallocated were $95.5 million compared to</w:t>
      </w:r>
    </w:p>
    <w:p>
      <w:pPr>
        <w:spacing w:after="0" w:line="1"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$111.0 million in the comparable prior-year period. SG&amp;A expenses related to Pura Vida were $22.4 million compared to $24.0 million in the comparable prior-year period. The decrease in consolidated SG&amp;A expenses for the twenty-six weeks ended July 29, 2023 was primarily due to a decrease in employee-related expenses of $4.5 million due to a reduction in headcount, partially offset by an increase in incentive compensation due to Company performance estimates; a decrease in severance charges of $3.6 million, which includes severance related to our CFO transition in the current year more than offset by the retirement severance related to our former CEO in the prior year; a $2.9 million decrease in expenses associated with cost savings initiatives and CEO search fees that did not recur in the current year; $1.4 million related to store and lease right-of-use asset impairment charges in the prior year that did not recur in the current year; and $4.7 million in other net expense reductions which included information technology contracts, certain</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1140"/>
        <w:spacing w:after="0" w:line="246" w:lineRule="auto"/>
        <w:rPr>
          <w:sz w:val="20"/>
          <w:szCs w:val="20"/>
          <w:color w:val="auto"/>
        </w:rPr>
      </w:pPr>
      <w:r>
        <w:rPr>
          <w:rFonts w:ascii="Arial" w:cs="Arial" w:eastAsia="Arial" w:hAnsi="Arial"/>
          <w:sz w:val="18"/>
          <w:szCs w:val="18"/>
          <w:color w:val="auto"/>
        </w:rPr>
        <w:t>professional fees, visual merchandising, and other expenses. SG&amp;A expenses as a percentage of net revenues decreased primarily due to the aforementioned items, partially offset by SG&amp;A expense deleverage associated with a decrease in sales.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Goodwill and Intangible Assets</w:t>
      </w:r>
    </w:p>
    <w:p>
      <w:pPr>
        <w:spacing w:after="0" w:line="90"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 xml:space="preserve">There were no impairment charges of goodwill and intangible assets for the twenty-six weeks ended July 29, 2023. For the twenty-six weeks ended July 30, 2022, impairment of goodwill and intangible assets totaled $29.3 million. These charges related to Pura Vida goodwill and the indefinite-lived Pura Vida brand asset and are reflected within the Pura Vida segment. For additional information, refer to </w:t>
      </w:r>
      <w:r>
        <w:rPr>
          <w:rFonts w:ascii="Arial" w:cs="Arial" w:eastAsia="Arial" w:hAnsi="Arial"/>
          <w:sz w:val="16"/>
          <w:szCs w:val="16"/>
          <w:i w:val="1"/>
          <w:iCs w:val="1"/>
          <w:color w:val="auto"/>
        </w:rPr>
        <w:t>Goodwill and Other Intangible Assets</w:t>
      </w:r>
      <w:r>
        <w:rPr>
          <w:rFonts w:ascii="Arial" w:cs="Arial" w:eastAsia="Arial" w:hAnsi="Arial"/>
          <w:sz w:val="16"/>
          <w:szCs w:val="16"/>
          <w:color w:val="auto"/>
        </w:rPr>
        <w:t xml:space="preserve"> herein.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10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For the twenty-six weeks ended July 29, 2023, net other income increased $0.4 million to $0.6 million compared to $0.2 million in the comparable prior-year period. The increase in net other income was primarily due to a legal settlement in the current year that did not occur in the prior year, ticket sales from the Vera Bradley annual outlet sale, and sublease income.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 (Loss)</w:t>
      </w:r>
    </w:p>
    <w:p>
      <w:pPr>
        <w:spacing w:after="0" w:line="90"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For the twenty-six weeks ended July 29, 2023, operating income increased $57.6 million, or 112.7%, to $6.5 million in the current-year period, from an operating loss of $(51.1) million in the comparable prior-year period. As a percentage of net revenues, operating income (loss) was 2.9% and (22.3)% for the twenty-six weeks ended July 29, 2023 and July 30, 2022, respectively. Operating income increased due to the factors described in the captions above.</w:t>
      </w:r>
    </w:p>
    <w:p>
      <w:pPr>
        <w:spacing w:after="0" w:line="9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i w:val="1"/>
          <w:iCs w:val="1"/>
          <w:color w:val="auto"/>
        </w:rPr>
        <w:t>VB Direct</w:t>
      </w:r>
      <w:r>
        <w:rPr>
          <w:rFonts w:ascii="Arial" w:cs="Arial" w:eastAsia="Arial" w:hAnsi="Arial"/>
          <w:sz w:val="16"/>
          <w:szCs w:val="16"/>
          <w:color w:val="auto"/>
        </w:rPr>
        <w:t>. For the twenty-six weeks ended July 29, 2023, operating income in the VB Direct segment increased $12.5 million, or 79.8%, to $28.0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from $15.5 million in the comparable prior-year period. As a percentage of VB Direct segment net revenues, operating income in the VB Direct segment was 19.3% and 10.5% for the twenty-six weeks ended July 29, 2023 and July 30, 2022, respectively. The increase in operating income as a percentage of VB Direct segment net revenues was primarily due to an increase in gross margin as a percentage of net revenues as described above; a decrease in employee-related expenses due to closed stores and cost savings initiatives; store impairment charges in the prior year that did not recur in the current year; and a reduction in spending associated with advertising, visual merchandising, professional fees, and other variable expenses. These increases were partially offset by SG&amp;A expense deleverage associated with decreased sales and severance expenses in the current year.</w:t>
      </w:r>
    </w:p>
    <w:p>
      <w:pPr>
        <w:spacing w:after="0" w:line="112"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VB Indirect</w:t>
      </w:r>
      <w:r>
        <w:rPr>
          <w:rFonts w:ascii="Arial" w:cs="Arial" w:eastAsia="Arial" w:hAnsi="Arial"/>
          <w:sz w:val="18"/>
          <w:szCs w:val="18"/>
          <w:color w:val="auto"/>
        </w:rPr>
        <w:t>. For the twenty-six weeks ended July 29, 2023, operating income in the VB Indirect segment increased $1.5 million, or 16.1%, to $10.9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from $9.4 million in the comparable prior-year period. As a percentage of VB Indirect segment net revenues, operating income in the VB Indirect segment was 33.3% and 27.4% for the twenty-six weeks ended July 29, 2023 and July 30, 2022, respectively. The increase in operating income as a percentage of VB Indirect segment net revenues was due to an increase in gross margin as a percentage of net revenues as described above. These increases were partially offset by SG&amp;A expense deleverage associated with decreased sales.</w:t>
      </w:r>
    </w:p>
    <w:p>
      <w:pPr>
        <w:spacing w:after="0" w:line="134"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i w:val="1"/>
          <w:iCs w:val="1"/>
          <w:color w:val="auto"/>
        </w:rPr>
        <w:t xml:space="preserve">Pura Vida. </w:t>
      </w:r>
      <w:r>
        <w:rPr>
          <w:rFonts w:ascii="Arial" w:cs="Arial" w:eastAsia="Arial" w:hAnsi="Arial"/>
          <w:sz w:val="16"/>
          <w:szCs w:val="16"/>
          <w:color w:val="auto"/>
        </w:rPr>
        <w:t>For the twenty-six weeks ended July 29, 2023, operating income in the Pura Vida segment increased $33.1 million, or 120.2%, to $5.6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from a net loss of $(27.5) million in the comparable prior-year period. As a percentage of Pura Vida segment net revenues, operating income (loss) in the Pura Vida segment was 12.3% and (59.9)% for the twenty-six weeks ended July 29, 2023 and July 30, 2022, respectively. The increase in operating income as a percentage of Pura Vida net revenues was primarily due to goodwill and indefinite-lived Pura Vida brand impairment charges in the prior-year period of $19.4 million and $9.9 million, respectively; a decrease in marketing and advertising expenses; a decrease in employee-related expenses due to headcount reductions and cost savings initiatives; and an increase in gross margin as a percentage of net revenues as described above, including inventory adjustments for excess mask products which impacted the operating loss as a percentage of net revenues by approximately 210 basis points in the prior year. These increases were partially offset by SG&amp;A expense deleverage associated with decreased sales.</w:t>
      </w:r>
    </w:p>
    <w:p>
      <w:pPr>
        <w:spacing w:after="0" w:line="111" w:lineRule="exact"/>
        <w:rPr>
          <w:sz w:val="20"/>
          <w:szCs w:val="20"/>
          <w:color w:val="auto"/>
        </w:rPr>
      </w:pPr>
    </w:p>
    <w:p>
      <w:pPr>
        <w:ind w:right="380"/>
        <w:spacing w:after="0" w:line="291" w:lineRule="auto"/>
        <w:rPr>
          <w:sz w:val="20"/>
          <w:szCs w:val="20"/>
          <w:color w:val="auto"/>
        </w:rPr>
      </w:pPr>
      <w:r>
        <w:rPr>
          <w:rFonts w:ascii="Arial" w:cs="Arial" w:eastAsia="Arial" w:hAnsi="Arial"/>
          <w:sz w:val="16"/>
          <w:szCs w:val="16"/>
          <w:i w:val="1"/>
          <w:iCs w:val="1"/>
          <w:color w:val="auto"/>
        </w:rPr>
        <w:t>Corporate Unallocated</w:t>
      </w:r>
      <w:r>
        <w:rPr>
          <w:rFonts w:ascii="Arial" w:cs="Arial" w:eastAsia="Arial" w:hAnsi="Arial"/>
          <w:sz w:val="16"/>
          <w:szCs w:val="16"/>
          <w:color w:val="auto"/>
        </w:rPr>
        <w:t>. For the twenty-six weeks ended July 29, 2023, unallocated expenses decreased $10.6 million, or 21.8%, to $37.9 million from</w:t>
      </w:r>
      <w:r>
        <w:rPr>
          <w:rFonts w:ascii="Arial" w:cs="Arial" w:eastAsia="Arial" w:hAnsi="Arial"/>
          <w:sz w:val="16"/>
          <w:szCs w:val="16"/>
          <w:i w:val="1"/>
          <w:iCs w:val="1"/>
          <w:color w:val="auto"/>
        </w:rPr>
        <w:t xml:space="preserve"> </w:t>
      </w:r>
      <w:r>
        <w:rPr>
          <w:rFonts w:ascii="Arial" w:cs="Arial" w:eastAsia="Arial" w:hAnsi="Arial"/>
          <w:sz w:val="16"/>
          <w:szCs w:val="16"/>
          <w:color w:val="auto"/>
        </w:rPr>
        <w:t>$48.5 million in the comparable prior-year period. The decrease in unallocated expenses was primarily due to a reduction in severance charges of</w:t>
      </w:r>
    </w:p>
    <w:p>
      <w:pPr>
        <w:ind w:right="60"/>
        <w:spacing w:after="0" w:line="270" w:lineRule="auto"/>
        <w:rPr>
          <w:sz w:val="20"/>
          <w:szCs w:val="20"/>
          <w:color w:val="auto"/>
        </w:rPr>
      </w:pPr>
      <w:r>
        <w:rPr>
          <w:rFonts w:ascii="Arial" w:cs="Arial" w:eastAsia="Arial" w:hAnsi="Arial"/>
          <w:sz w:val="17"/>
          <w:szCs w:val="17"/>
          <w:color w:val="auto"/>
        </w:rPr>
        <w:t>$4.0 million which included severance related to our CFO transition in the current year more than offset by severance associated with the retirement of our former CEO in the prior year that did not recur in the current year; prior year consulting fees of $2.9 million associated with cost savings initiatives and the CEO search that did not recur in the current year; a reduction in employee-related expenses of $1.8 million primarily related to lower headcount, partially offset by an increase in incentive compensation expense as a result of Company performance estimates; $0.6 million for a lease right-of-use asset charge in the prior year that did not recur in the current year; and $1.1 million in other net corporate expense reductions including a reduction in information technology contracts, corporate advertising expense, and other corporate expenses.</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 (Benefit)</w:t>
      </w:r>
    </w:p>
    <w:p>
      <w:pPr>
        <w:spacing w:after="0" w:line="9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effective tax rate for the twenty-six weeks ended July 29, 2023, was 29.0%, compared to 14.7% for the twenty-six weeks ended July 30, 2022. The year-over year effective tax rate increase was primarily due to the relative impact of permanent and discrete items in the current-year period compared to the prior-year period, primarily as a result of stock-based compensation, noncontrolling interest in the prior-year period, and non-deductible executive compensation.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(Loss)</w:t>
      </w:r>
    </w:p>
    <w:p>
      <w:pPr>
        <w:spacing w:after="0" w:line="10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For the twenty-six weeks ended July 29, 2023, net income increased $48.2 million to $4.6 million from a net loss of $(43.6) million in the comparable prior-year period due to the factors described in the captions above</w:t>
      </w:r>
      <w:r>
        <w:rPr>
          <w:rFonts w:ascii="Arial" w:cs="Arial" w:eastAsia="Arial" w:hAnsi="Arial"/>
          <w:sz w:val="18"/>
          <w:szCs w:val="18"/>
          <w:i w:val="1"/>
          <w:iCs w:val="1"/>
          <w:color w:val="auto"/>
        </w:rPr>
        <w: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 Attributable to Redeemable Noncontrolling Interest</w:t>
      </w:r>
    </w:p>
    <w:p>
      <w:pPr>
        <w:spacing w:after="0" w:line="10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For the twenty-six weeks ended July 30, 2022, net loss attributable to redeemable noncontrolling interest was $(6.9) million. This represents the allocation of the Pura Vida net loss to the noncontrolling interest. On January 30, 2023, we purchased the remaining 25% interest in Pura Vida resulting in 100% ownership. As a result, there was no noncontrolling interest for the current-year period.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(Loss) Attributable to Vera Bradley, Inc.</w:t>
      </w:r>
    </w:p>
    <w:p>
      <w:pPr>
        <w:spacing w:after="0" w:line="90" w:lineRule="exact"/>
        <w:rPr>
          <w:sz w:val="20"/>
          <w:szCs w:val="20"/>
          <w:color w:val="auto"/>
        </w:rPr>
      </w:pPr>
    </w:p>
    <w:p>
      <w:pPr>
        <w:ind w:right="800"/>
        <w:spacing w:after="0" w:line="342" w:lineRule="auto"/>
        <w:rPr>
          <w:sz w:val="20"/>
          <w:szCs w:val="20"/>
          <w:color w:val="auto"/>
        </w:rPr>
      </w:pPr>
      <w:r>
        <w:rPr>
          <w:rFonts w:ascii="Arial" w:cs="Arial" w:eastAsia="Arial" w:hAnsi="Arial"/>
          <w:sz w:val="16"/>
          <w:szCs w:val="16"/>
          <w:color w:val="auto"/>
        </w:rPr>
        <w:t>For the twenty-six weeks ended July 29, 2023, net income attributable to Vera Bradley, Inc. increased $41.3 million to $4.6 million from net loss attributable to Vera Bradley, Inc. of $(36.7) million in the comparable prior-year period due to the factors described in the captions above.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90"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Our primary sources of liquidity are cash on hand and cash equivalents, as well as cash flow from operations. We also have access to additional liquidity, if needed, through borrowings under our $75.0 million asset-based revolving credit agreement (the “Credit Agreement”). There was no debt outstanding as of July 29, 2023. Historically, our primary cash needs have been for merchandise inventories; payroll; store rent; capital expenditures associated with operational equipment, buildings, information technology, and opening new stores; and share repurchases. The most significant components of our working capital are cash and cash equivalents, merchandise inventories, accounts receivable, accounts payable, and other current liabilities.</w:t>
      </w:r>
    </w:p>
    <w:p>
      <w:pPr>
        <w:spacing w:after="0" w:line="188"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We believe that cash on hand and cash equivalents, cash flows from operating activities, and the availability of borrowings under our Credit Agreement or other financing arrangements will be sufficient to meet working capital requirements and anticipated capital expenditures, and other strategic uses of cash, if any, for the foreseeable future.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Analysis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 summary of operating, investing, and financing activities is shown in the following table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80" w:type="dxa"/>
            <w:vAlign w:val="bottom"/>
            <w:gridSpan w:val="4"/>
          </w:tcPr>
          <w:p>
            <w:pPr>
              <w:jc w:val="right"/>
              <w:ind w:right="617"/>
              <w:spacing w:after="0"/>
              <w:rPr>
                <w:sz w:val="20"/>
                <w:szCs w:val="20"/>
                <w:color w:val="auto"/>
              </w:rPr>
            </w:pPr>
            <w:r>
              <w:rPr>
                <w:rFonts w:ascii="Arial" w:cs="Arial" w:eastAsia="Arial" w:hAnsi="Arial"/>
                <w:sz w:val="14"/>
                <w:szCs w:val="14"/>
                <w:b w:val="1"/>
                <w:bCs w:val="1"/>
                <w:color w:val="auto"/>
              </w:rPr>
              <w:t>Twenty-Six Weeks Ended</w:t>
            </w:r>
          </w:p>
        </w:tc>
      </w:tr>
      <w:tr>
        <w:trPr>
          <w:trHeight w:val="25"/>
        </w:trPr>
        <w:tc>
          <w:tcPr>
            <w:tcW w:w="8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28"/>
        </w:trPr>
        <w:tc>
          <w:tcPr>
            <w:tcW w:w="8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180"/>
              <w:spacing w:after="0" w:line="129" w:lineRule="exact"/>
              <w:rPr>
                <w:sz w:val="20"/>
                <w:szCs w:val="20"/>
                <w:color w:val="auto"/>
              </w:rPr>
            </w:pPr>
            <w:r>
              <w:rPr>
                <w:rFonts w:ascii="Arial" w:cs="Arial" w:eastAsia="Arial" w:hAnsi="Arial"/>
                <w:sz w:val="14"/>
                <w:szCs w:val="14"/>
                <w:b w:val="1"/>
                <w:bCs w:val="1"/>
                <w:color w:val="auto"/>
              </w:rPr>
              <w:t>July 29,</w:t>
            </w:r>
          </w:p>
        </w:tc>
        <w:tc>
          <w:tcPr>
            <w:tcW w:w="300" w:type="dxa"/>
            <w:vAlign w:val="bottom"/>
          </w:tcPr>
          <w:p>
            <w:pPr>
              <w:spacing w:after="0"/>
              <w:rPr>
                <w:sz w:val="11"/>
                <w:szCs w:val="11"/>
                <w:color w:val="auto"/>
              </w:rPr>
            </w:pPr>
          </w:p>
        </w:tc>
        <w:tc>
          <w:tcPr>
            <w:tcW w:w="1140" w:type="dxa"/>
            <w:vAlign w:val="bottom"/>
          </w:tcPr>
          <w:p>
            <w:pPr>
              <w:jc w:val="right"/>
              <w:ind w:right="397"/>
              <w:spacing w:after="0" w:line="129" w:lineRule="exact"/>
              <w:rPr>
                <w:sz w:val="20"/>
                <w:szCs w:val="20"/>
                <w:color w:val="auto"/>
              </w:rPr>
            </w:pPr>
            <w:r>
              <w:rPr>
                <w:rFonts w:ascii="Arial" w:cs="Arial" w:eastAsia="Arial" w:hAnsi="Arial"/>
                <w:sz w:val="14"/>
                <w:szCs w:val="14"/>
                <w:b w:val="1"/>
                <w:bCs w:val="1"/>
                <w:color w:val="auto"/>
              </w:rPr>
              <w:t>July 30,</w:t>
            </w:r>
          </w:p>
        </w:tc>
      </w:tr>
      <w:tr>
        <w:trPr>
          <w:trHeight w:val="196"/>
        </w:trPr>
        <w:tc>
          <w:tcPr>
            <w:tcW w:w="82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2022</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(27,118)</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(11,727)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(4,391)</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(18,500)</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(Used in) Operating Activities</w:t>
      </w:r>
    </w:p>
    <w:p>
      <w:pPr>
        <w:spacing w:after="0" w:line="1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provided by (used in) operating activities consists primarily of net income (loss) adjusted for non-cash items, including depreciation, amortization, impairment charges, deferred taxes, and stock-based compensation; and the effect of changes in assets and liabilities.</w:t>
      </w:r>
    </w:p>
    <w:p>
      <w:pPr>
        <w:spacing w:after="0" w:line="11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Net cash provided by operating activities for the twenty-six weeks ended July 29, 2023 was $16.0 million compared to net cash used in operating activities of $27.1 million for the twenty-six weeks ended July 30, 2022. The increase in cash provided by operating activities was primarily related to an increase in net income of $48.2 million, partially offset by the change in non-cash items of $23.3 million, as well as the change in assets and liabilities. A source of cash was provided by lower inventory receipts; the timing of collection of tenant allowances associated with our store leases; a lower accounts receivable change due</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to lower sales and timing; and an increase in incentive compensation liability in the current-year period compared to the prior-year period. These sources of cash were partially offset by a lower amount of accrued liabilities for severance and cost savings initiatives; timing of accounts payable; and the change in income taxes. There was a net income tax refund of $6.8 million in the prior-year period compared to net cash payments of $0.6 million in the current-year period. Severance payments totaled $4.9 million in the current year compared to $0.9 million in the prior year.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90"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Investing activities consist primarily of investments and capital expenditures related to new store openings, buildings, operational equipment, and information technology investments.</w:t>
      </w:r>
    </w:p>
    <w:p>
      <w:pPr>
        <w:spacing w:after="0" w:line="116" w:lineRule="exact"/>
        <w:rPr>
          <w:sz w:val="20"/>
          <w:szCs w:val="20"/>
          <w:color w:val="auto"/>
        </w:rPr>
      </w:pPr>
    </w:p>
    <w:p>
      <w:pPr>
        <w:ind w:right="300"/>
        <w:spacing w:after="0" w:line="291" w:lineRule="auto"/>
        <w:rPr>
          <w:sz w:val="20"/>
          <w:szCs w:val="20"/>
          <w:color w:val="auto"/>
        </w:rPr>
      </w:pPr>
      <w:r>
        <w:rPr>
          <w:rFonts w:ascii="Arial" w:cs="Arial" w:eastAsia="Arial" w:hAnsi="Arial"/>
          <w:sz w:val="16"/>
          <w:szCs w:val="16"/>
          <w:color w:val="auto"/>
        </w:rPr>
        <w:t>Net cash used in investing activities was $11.7 million for the twenty-six weeks ended July 29, 2023 compared to $4.4 million for the twenty-six weeks ended July 30, 2022. The increase in cash used in investing activities was a result of the purchase of the remaining 25% interest in Pura Vida for</w:t>
      </w:r>
    </w:p>
    <w:p>
      <w:pPr>
        <w:jc w:val="both"/>
        <w:ind w:right="160"/>
        <w:spacing w:after="0" w:line="260" w:lineRule="auto"/>
        <w:rPr>
          <w:sz w:val="20"/>
          <w:szCs w:val="20"/>
          <w:color w:val="auto"/>
        </w:rPr>
      </w:pPr>
      <w:r>
        <w:rPr>
          <w:rFonts w:ascii="Arial" w:cs="Arial" w:eastAsia="Arial" w:hAnsi="Arial"/>
          <w:sz w:val="18"/>
          <w:szCs w:val="18"/>
          <w:color w:val="auto"/>
        </w:rPr>
        <w:t>$10.0 million, partially offset by a decline in property, plant, and equipment spending primarily as a result of a lower amount of new store construction in the current year and Vera Bradley relocations in the prior year that did not recur.</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Capital expenditures for fiscal 2024 are expected to be approximately $5.0 million.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Financing Activities</w:t>
      </w:r>
    </w:p>
    <w:p>
      <w:pPr>
        <w:spacing w:after="0" w:line="171"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Net cash used in financing activities was $2.4 million for the twenty-six weeks ended July 29, 2023 compared to $18.5 million for the twenty-six weeks ended July 30, 2022. The decrease in cash used in financing activities was primarily due to $1.4 million of common stock repurchases in the current-year period compared to $16.5 million in the comparable prior-year period.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w:t>
      </w:r>
    </w:p>
    <w:p>
      <w:pPr>
        <w:spacing w:after="0" w:line="9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September 7, 2018, Vera Bradley Designs, Inc. (“VBD”), a wholly-owned subsidiary of the Company, entered into an asset-based revolving Credit Agreement (the “Credit Agreement”) among VBD, JPMorgan Chase Bank, N.A., as administrative agent, and the lenders from time to time party thereto. The Credit Agreement provides for certain credit facilities to VBD in an aggregate principal amount not to initially exceed the lesser of $75.0 million or the amount of borrowing availability determined in accordance with a borrowing base of certain assets. Borrowings under the credit facilities are available to finance general corporate purposes of VBD and its subsidiaries, including but not limited to Vera Bradley International, LLC and Vera Bradley Sales, LLC (collectively, the “Named Subsidiaries”). The Credit Agreement also contains an option for VBD to arrange with lenders to increase the aggregate principal amount by up to $25.0 million.</w:t>
      </w:r>
    </w:p>
    <w:p>
      <w:pPr>
        <w:spacing w:after="0" w:line="73"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On August 3, 2023, subsequent to the end of the second quarter, certain subsidiaries of the Company, JP Morgan Chase Bank, N.A., as the administrative agent, and lenders from time to time party thereto, entered into a Third Amendment (the “Third Amendment”) to the Credit Agreement.</w:t>
      </w:r>
    </w:p>
    <w:p>
      <w:pPr>
        <w:spacing w:after="0" w:line="15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For further information regarding the Credit Agreement and the Third Amendment, please see Note 6 of the Notes to Condensed Consolidated Financial Statements herein.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Cash Requirements</w:t>
      </w:r>
    </w:p>
    <w:p>
      <w:pPr>
        <w:spacing w:after="0" w:line="9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As of July 29, 2023, there were no material changes outside the ordinary course of business to material cash requirements, as disclosed in our Annual Report on Form 10-K for the fiscal year ended January 28, 2023.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Off-Balance-Sheet Arrangements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any off-balance-sheet financing or unconsolidated special-purpose entities.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08" w:lineRule="exact"/>
        <w:rPr>
          <w:sz w:val="20"/>
          <w:szCs w:val="20"/>
          <w:color w:val="auto"/>
        </w:rPr>
      </w:pPr>
    </w:p>
    <w:p>
      <w:pPr>
        <w:ind w:right="340"/>
        <w:spacing w:after="0" w:line="301" w:lineRule="auto"/>
        <w:rPr>
          <w:sz w:val="20"/>
          <w:szCs w:val="20"/>
          <w:color w:val="auto"/>
        </w:rPr>
      </w:pPr>
      <w:r>
        <w:rPr>
          <w:rFonts w:ascii="Arial" w:cs="Arial" w:eastAsia="Arial" w:hAnsi="Arial"/>
          <w:sz w:val="16"/>
          <w:szCs w:val="16"/>
          <w:color w:val="auto"/>
        </w:rPr>
        <w:t>The preparation of financial statements in accordance with accounting principles generally accepted in the United States requires management to make estimates and assumptions that affect the reported amounts of assets, liabilities, revenues, and expenses, as well as the related disclosures of contingent assets and liabilities at the date of the financial statements. A summary of the Company’s significant accounting policies is included in Note 2 to the Company’s consolidated financial statements in the Company’s Annual Report on Form 10-K for the fiscal year ended January 28, 2023.</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Certain accounting policies and estimates of the Company are considered critical, as these policies and estimates are the most important to the depiction of the Company’s consolidated financial statements and require significant, difficult, or complex judgments, often about the effect of matters that are inherently uncertain. Such policies are summarized in the “Management’s Discussion and Analysis of Financial Condition and Results of Operations” in the Company’s Annual Report on Form 10-K for the fiscal year ended January 28, 2023. There were no significant changes to any of the critical accounting policies and estimates described in the Annual Report as of July 29, 2023.</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9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Refer to Note 1 “Description of the Company and Basis of Presentation” within Item 1 “Financial Statements” of this Quarterly Report on Form 10-Q for a discussion of recently issued accounting pronouncements.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10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As of July 29, 2023, there was no material change in the market risks described in “Quantitative and Qualitative Disclosures About Market Risks” in the Company’s Annual Report on Form 10-K for the fiscal year ended January 28, 2023.</w:t>
      </w:r>
    </w:p>
    <w:p>
      <w:pPr>
        <w:spacing w:after="0" w:line="19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9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At the end of the period covered by this Quarterly Report on Form 10-Q, the Company carried out an evaluation, under the supervision and with the participation of the Company’s Disclosure Committee and management, including the Chief Executive Officer and the Chief Financial Officer, of the effectiveness of the design and operation of the Company’s disclosure controls and procedures pursuant to Rule 13a-15 of the Securities Exchange Act of 1934. Based on that evaluation, the Chief Executive Officer and Chief Financial Officer concluded that the Company’s disclosure controls and procedures were effective as of July 29, 2023.</w:t>
      </w:r>
    </w:p>
    <w:p>
      <w:pPr>
        <w:spacing w:after="0" w:line="134"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most recent fiscal quarter that has materially affected, or that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LEGAL PROCEEDINGS</w:t>
      </w:r>
    </w:p>
    <w:p>
      <w:pPr>
        <w:spacing w:after="0" w:line="108"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In August of 2019, Vesi Incorporated (“Vesi”) filed suit against the Company in the U.S. District Court for the Southern District of Ohio related to the Company’s licensing business and alleging breach of fiduciary duty, unfair competition, defamation, and tortious interference with prospective business relationships. The complaint sought damages in an amount not less than $10.0 million for punitive damages, attorney fees, prejudgment interest, and any other additional relief. In November 2019, the Company filed a counterclaim against the principals of Vesi as personal guarantors for monies owed to the Company by Vesi. The Company filed a motion for summary judgement asking the Court to dismiss all claims with prejudice and grant judgement on its counterclaim. On January 4, 2023, the Court granted the Company’s motion for summary judgment dismissing Vesi’s claims and also granted judgment on the Company’s counterclaims against the principals of Vesi for an immaterial amount. Vesi has appealed this decision. At this time, we are not able to estimate a possible loss or range of loss that may result from this matter or to determine whether such loss, if any, would have a material adverse effect on our financial condition or results of operations. The Company denies any liability and is vigorously defending itself, and management believes that the Company has a number of meritorious legal defenses.</w:t>
      </w:r>
    </w:p>
    <w:p>
      <w:pPr>
        <w:spacing w:after="0" w:line="5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is subject to other legal proceedings from time to time in the ordinary course of business but does not believe any of these such claims would have a material adverse impact on the Company at this time.</w:t>
      </w:r>
    </w:p>
    <w:p>
      <w:pPr>
        <w:spacing w:after="0" w:line="19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0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There have been no material changes to the risk factors previously set forth in the Company’s Annual Report on Form 10-K for the fiscal year ended January 28, 2023.</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08"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In December 2021, the Company's board of directors approved a new share repurchase plan (the “2021 Share Repurchase Program”) which authorized Company management to utilize up to $50.0 million of available cash for repurchases of shares of the Company's common stock. The 2021 Share Repurchase Program was effective beginning December 13, 2021 and expires in December 2024.</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Details regarding the activity under the program during the thirteen weeks ended July 29, 2023 are as follows: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3"/>
              </w:rPr>
              <w:t>Total Number of Shares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tcPr>
          <w:p>
            <w:pPr>
              <w:jc w:val="center"/>
              <w:ind w:right="57"/>
              <w:spacing w:after="0"/>
              <w:rPr>
                <w:sz w:val="20"/>
                <w:szCs w:val="20"/>
                <w:color w:val="auto"/>
              </w:rPr>
            </w:pPr>
            <w:r>
              <w:rPr>
                <w:rFonts w:ascii="Arial" w:cs="Arial" w:eastAsia="Arial" w:hAnsi="Arial"/>
                <w:sz w:val="14"/>
                <w:szCs w:val="14"/>
                <w:b w:val="1"/>
                <w:bCs w:val="1"/>
                <w:color w:val="auto"/>
                <w:w w:val="96"/>
              </w:rPr>
              <w:t>Maximum Approximate</w:t>
            </w:r>
          </w:p>
        </w:tc>
        <w:tc>
          <w:tcPr>
            <w:tcW w:w="0" w:type="dxa"/>
            <w:vAlign w:val="bottom"/>
          </w:tcPr>
          <w:p>
            <w:pPr>
              <w:spacing w:after="0"/>
              <w:rPr>
                <w:sz w:val="1"/>
                <w:szCs w:val="1"/>
                <w:color w:val="auto"/>
              </w:rPr>
            </w:pPr>
          </w:p>
        </w:tc>
      </w:tr>
      <w:tr>
        <w:trPr>
          <w:trHeight w:val="148"/>
        </w:trPr>
        <w:tc>
          <w:tcPr>
            <w:tcW w:w="3540" w:type="dxa"/>
            <w:vAlign w:val="bottom"/>
          </w:tcPr>
          <w:p>
            <w:pPr>
              <w:spacing w:after="0"/>
              <w:rPr>
                <w:sz w:val="12"/>
                <w:szCs w:val="12"/>
                <w:color w:val="auto"/>
              </w:rPr>
            </w:pPr>
          </w:p>
        </w:tc>
        <w:tc>
          <w:tcPr>
            <w:tcW w:w="19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Total Number of Shares</w:t>
            </w:r>
          </w:p>
        </w:tc>
        <w:tc>
          <w:tcPr>
            <w:tcW w:w="160" w:type="dxa"/>
            <w:vAlign w:val="bottom"/>
          </w:tcPr>
          <w:p>
            <w:pPr>
              <w:spacing w:after="0"/>
              <w:rPr>
                <w:sz w:val="12"/>
                <w:szCs w:val="12"/>
                <w:color w:val="auto"/>
              </w:rPr>
            </w:pPr>
          </w:p>
        </w:tc>
        <w:tc>
          <w:tcPr>
            <w:tcW w:w="17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Average Price Paid per</w:t>
            </w:r>
          </w:p>
        </w:tc>
        <w:tc>
          <w:tcPr>
            <w:tcW w:w="1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100" w:type="dxa"/>
            <w:vAlign w:val="bottom"/>
          </w:tcPr>
          <w:p>
            <w:pPr>
              <w:spacing w:after="0"/>
              <w:rPr>
                <w:sz w:val="12"/>
                <w:szCs w:val="12"/>
                <w:color w:val="auto"/>
              </w:rPr>
            </w:pPr>
          </w:p>
        </w:tc>
        <w:tc>
          <w:tcPr>
            <w:tcW w:w="1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Dollar Value of Shares that</w:t>
            </w:r>
          </w:p>
        </w:tc>
        <w:tc>
          <w:tcPr>
            <w:tcW w:w="0" w:type="dxa"/>
            <w:vAlign w:val="bottom"/>
          </w:tcPr>
          <w:p>
            <w:pPr>
              <w:spacing w:after="0"/>
              <w:rPr>
                <w:sz w:val="1"/>
                <w:szCs w:val="1"/>
                <w:color w:val="auto"/>
              </w:rPr>
            </w:pPr>
          </w:p>
        </w:tc>
      </w:tr>
      <w:tr>
        <w:trPr>
          <w:trHeight w:val="144"/>
        </w:trPr>
        <w:tc>
          <w:tcPr>
            <w:tcW w:w="3540" w:type="dxa"/>
            <w:vAlign w:val="bottom"/>
            <w:vMerge w:val="restart"/>
          </w:tcPr>
          <w:p>
            <w:pPr>
              <w:ind w:left="1560"/>
              <w:spacing w:after="0"/>
              <w:rPr>
                <w:sz w:val="20"/>
                <w:szCs w:val="20"/>
                <w:color w:val="auto"/>
              </w:rPr>
            </w:pPr>
            <w:r>
              <w:rPr>
                <w:rFonts w:ascii="Arial" w:cs="Arial" w:eastAsia="Arial" w:hAnsi="Arial"/>
                <w:sz w:val="14"/>
                <w:szCs w:val="14"/>
                <w:b w:val="1"/>
                <w:bCs w:val="1"/>
                <w:color w:val="auto"/>
              </w:rPr>
              <w:t>Period</w:t>
            </w:r>
          </w:p>
        </w:tc>
        <w:tc>
          <w:tcPr>
            <w:tcW w:w="19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18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2"/>
              </w:rPr>
              <w:t>Publicly Announced Plans or</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tcPr>
          <w:p>
            <w:pPr>
              <w:jc w:val="center"/>
              <w:ind w:right="57"/>
              <w:spacing w:after="0" w:line="145" w:lineRule="exact"/>
              <w:rPr>
                <w:sz w:val="20"/>
                <w:szCs w:val="20"/>
                <w:color w:val="auto"/>
              </w:rPr>
            </w:pPr>
            <w:r>
              <w:rPr>
                <w:rFonts w:ascii="Arial" w:cs="Arial" w:eastAsia="Arial" w:hAnsi="Arial"/>
                <w:sz w:val="14"/>
                <w:szCs w:val="14"/>
                <w:b w:val="1"/>
                <w:bCs w:val="1"/>
                <w:color w:val="auto"/>
                <w:w w:val="91"/>
              </w:rPr>
              <w:t>May Yet be Purchased</w:t>
            </w:r>
          </w:p>
        </w:tc>
        <w:tc>
          <w:tcPr>
            <w:tcW w:w="0" w:type="dxa"/>
            <w:vAlign w:val="bottom"/>
          </w:tcPr>
          <w:p>
            <w:pPr>
              <w:spacing w:after="0"/>
              <w:rPr>
                <w:sz w:val="1"/>
                <w:szCs w:val="1"/>
                <w:color w:val="auto"/>
              </w:rPr>
            </w:pPr>
          </w:p>
        </w:tc>
      </w:tr>
      <w:tr>
        <w:trPr>
          <w:trHeight w:val="196"/>
        </w:trPr>
        <w:tc>
          <w:tcPr>
            <w:tcW w:w="3540" w:type="dxa"/>
            <w:vAlign w:val="bottom"/>
            <w:vMerge w:val="continue"/>
          </w:tcPr>
          <w:p>
            <w:pPr>
              <w:spacing w:after="0"/>
              <w:rPr>
                <w:sz w:val="17"/>
                <w:szCs w:val="17"/>
                <w:color w:val="auto"/>
              </w:rPr>
            </w:pPr>
          </w:p>
        </w:tc>
        <w:tc>
          <w:tcPr>
            <w:tcW w:w="1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Purchased</w:t>
            </w:r>
          </w:p>
        </w:tc>
        <w:tc>
          <w:tcPr>
            <w:tcW w:w="160" w:type="dxa"/>
            <w:vAlign w:val="bottom"/>
          </w:tcPr>
          <w:p>
            <w:pPr>
              <w:spacing w:after="0"/>
              <w:rPr>
                <w:sz w:val="17"/>
                <w:szCs w:val="17"/>
                <w:color w:val="auto"/>
              </w:rPr>
            </w:pPr>
          </w:p>
        </w:tc>
        <w:tc>
          <w:tcPr>
            <w:tcW w:w="1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Share</w:t>
            </w: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100" w:type="dxa"/>
            <w:vAlign w:val="bottom"/>
          </w:tcPr>
          <w:p>
            <w:pPr>
              <w:spacing w:after="0"/>
              <w:rPr>
                <w:sz w:val="17"/>
                <w:szCs w:val="17"/>
                <w:color w:val="auto"/>
              </w:rPr>
            </w:pPr>
          </w:p>
        </w:tc>
        <w:tc>
          <w:tcPr>
            <w:tcW w:w="1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Under the Plans or Program</w:t>
            </w:r>
          </w:p>
        </w:tc>
        <w:tc>
          <w:tcPr>
            <w:tcW w:w="0" w:type="dxa"/>
            <w:vAlign w:val="bottom"/>
          </w:tcPr>
          <w:p>
            <w:pPr>
              <w:spacing w:after="0"/>
              <w:rPr>
                <w:sz w:val="1"/>
                <w:szCs w:val="1"/>
                <w:color w:val="auto"/>
              </w:rPr>
            </w:pPr>
          </w:p>
        </w:tc>
      </w:tr>
      <w:tr>
        <w:trPr>
          <w:trHeight w:val="229"/>
        </w:trPr>
        <w:tc>
          <w:tcPr>
            <w:tcW w:w="3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April 30, 2023 - May 27, 2023</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47,620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10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47,620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26,748,176</w:t>
            </w:r>
          </w:p>
        </w:tc>
        <w:tc>
          <w:tcPr>
            <w:tcW w:w="0" w:type="dxa"/>
            <w:vAlign w:val="bottom"/>
          </w:tcPr>
          <w:p>
            <w:pPr>
              <w:spacing w:after="0"/>
              <w:rPr>
                <w:sz w:val="1"/>
                <w:szCs w:val="1"/>
                <w:color w:val="auto"/>
              </w:rPr>
            </w:pPr>
          </w:p>
        </w:tc>
      </w:tr>
      <w:tr>
        <w:trPr>
          <w:trHeight w:val="229"/>
        </w:trPr>
        <w:tc>
          <w:tcPr>
            <w:tcW w:w="3540" w:type="dxa"/>
            <w:vAlign w:val="bottom"/>
          </w:tcPr>
          <w:p>
            <w:pPr>
              <w:ind w:left="20"/>
              <w:spacing w:after="0"/>
              <w:rPr>
                <w:sz w:val="20"/>
                <w:szCs w:val="20"/>
                <w:color w:val="auto"/>
              </w:rPr>
            </w:pPr>
            <w:r>
              <w:rPr>
                <w:rFonts w:ascii="Arial" w:cs="Arial" w:eastAsia="Arial" w:hAnsi="Arial"/>
                <w:sz w:val="18"/>
                <w:szCs w:val="18"/>
                <w:color w:val="auto"/>
              </w:rPr>
              <w:t>May 28, 2023 - July 1, 2023</w:t>
            </w:r>
          </w:p>
        </w:tc>
        <w:tc>
          <w:tcPr>
            <w:tcW w:w="1820" w:type="dxa"/>
            <w:vAlign w:val="bottom"/>
          </w:tcPr>
          <w:p>
            <w:pPr>
              <w:jc w:val="right"/>
              <w:spacing w:after="0"/>
              <w:rPr>
                <w:sz w:val="20"/>
                <w:szCs w:val="20"/>
                <w:color w:val="auto"/>
              </w:rPr>
            </w:pPr>
            <w:r>
              <w:rPr>
                <w:rFonts w:ascii="Arial" w:cs="Arial" w:eastAsia="Arial" w:hAnsi="Arial"/>
                <w:sz w:val="18"/>
                <w:szCs w:val="18"/>
                <w:color w:val="auto"/>
              </w:rPr>
              <w:t>44,100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44,100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26,496,016</w:t>
            </w: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July 2, 2023 - July 29, 2023</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28,500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100" w:type="dxa"/>
            <w:vAlign w:val="bottom"/>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26,315,414</w:t>
            </w:r>
          </w:p>
        </w:tc>
        <w:tc>
          <w:tcPr>
            <w:tcW w:w="0" w:type="dxa"/>
            <w:vAlign w:val="bottom"/>
          </w:tcPr>
          <w:p>
            <w:pPr>
              <w:spacing w:after="0"/>
              <w:rPr>
                <w:sz w:val="1"/>
                <w:szCs w:val="1"/>
                <w:color w:val="auto"/>
              </w:rPr>
            </w:pPr>
          </w:p>
        </w:tc>
      </w:tr>
      <w:tr>
        <w:trPr>
          <w:trHeight w:val="223"/>
        </w:trPr>
        <w:tc>
          <w:tcPr>
            <w:tcW w:w="3540" w:type="dxa"/>
            <w:vAlign w:val="bottom"/>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120,220</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w:t>
            </w:r>
          </w:p>
        </w:tc>
        <w:tc>
          <w:tcPr>
            <w:tcW w:w="100" w:type="dxa"/>
            <w:vAlign w:val="bottom"/>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120,220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5.</w:t>
        <w:tab/>
        <w:t>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Trading Plans of Directors and Executive Officers</w:t>
      </w:r>
    </w:p>
    <w:p>
      <w:pPr>
        <w:spacing w:after="0" w:line="90"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During the thirteen weeks ended July 29, 2023, none of the Company’s directors or executive officers adopted or terminated any contract, instruction, or written plan for the purchase or sale of Company securities that was intended to satisfy the affirmative defense conditions of Rule 10b5-1(c) or any “non-Rule 10b5-1 trading arrangement.”</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7920" w:type="dxa"/>
            <w:vAlign w:val="bottom"/>
            <w:gridSpan w:val="6"/>
          </w:tcPr>
          <w:p>
            <w:pPr>
              <w:ind w:left="4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380" w:type="dxa"/>
            <w:vAlign w:val="bottom"/>
            <w:gridSpan w:val="7"/>
          </w:tcPr>
          <w:p>
            <w:pPr>
              <w:ind w:left="120"/>
              <w:spacing w:after="0"/>
              <w:rPr>
                <w:sz w:val="20"/>
                <w:szCs w:val="20"/>
                <w:color w:val="auto"/>
              </w:rPr>
            </w:pPr>
            <w:r>
              <w:rPr>
                <w:rFonts w:ascii="Arial" w:cs="Arial" w:eastAsia="Arial" w:hAnsi="Arial"/>
                <w:sz w:val="18"/>
                <w:szCs w:val="18"/>
                <w:color w:val="auto"/>
              </w:rPr>
              <w:t>a. Exhibits</w:t>
            </w: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780" w:type="dxa"/>
            <w:vAlign w:val="bottom"/>
            <w:gridSpan w:val="2"/>
          </w:tcPr>
          <w:p>
            <w:pPr>
              <w:jc w:val="center"/>
              <w:ind w:left="112"/>
              <w:spacing w:after="0"/>
              <w:rPr>
                <w:sz w:val="20"/>
                <w:szCs w:val="20"/>
                <w:color w:val="auto"/>
              </w:rPr>
            </w:pPr>
            <w:r>
              <w:rPr>
                <w:rFonts w:ascii="Arial" w:cs="Arial" w:eastAsia="Arial" w:hAnsi="Arial"/>
                <w:sz w:val="14"/>
                <w:szCs w:val="14"/>
                <w:b w:val="1"/>
                <w:bCs w:val="1"/>
                <w:color w:val="auto"/>
                <w:w w:val="98"/>
              </w:rPr>
              <w:t>Exhibit</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2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7"/>
              </w:rPr>
              <w:t>No.</w:t>
            </w:r>
          </w:p>
        </w:tc>
        <w:tc>
          <w:tcPr>
            <w:tcW w:w="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620" w:type="dxa"/>
            <w:vAlign w:val="bottom"/>
            <w:tcBorders>
              <w:bottom w:val="single" w:sz="8" w:color="auto"/>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20" w:type="dxa"/>
            <w:vAlign w:val="bottom"/>
            <w:gridSpan w:val="4"/>
          </w:tcPr>
          <w:p>
            <w:pPr>
              <w:ind w:left="20"/>
              <w:spacing w:after="0"/>
              <w:rPr>
                <w:sz w:val="20"/>
                <w:szCs w:val="20"/>
                <w:color w:val="auto"/>
              </w:rPr>
            </w:pPr>
            <w:r>
              <w:rPr>
                <w:rFonts w:ascii="Arial" w:cs="Arial" w:eastAsia="Arial" w:hAnsi="Arial"/>
                <w:sz w:val="18"/>
                <w:szCs w:val="18"/>
                <w:color w:val="0000FF"/>
              </w:rPr>
              <w:t>CEO Section 302 Certification</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320" w:type="dxa"/>
            <w:vAlign w:val="bottom"/>
          </w:tcPr>
          <w:p>
            <w:pPr>
              <w:spacing w:after="0"/>
              <w:rPr>
                <w:sz w:val="20"/>
                <w:szCs w:val="20"/>
                <w:color w:val="auto"/>
              </w:rPr>
            </w:pPr>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p>
        </w:tc>
        <w:tc>
          <w:tcPr>
            <w:tcW w:w="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20" w:type="dxa"/>
            <w:vAlign w:val="bottom"/>
            <w:gridSpan w:val="4"/>
          </w:tcPr>
          <w:p>
            <w:pPr>
              <w:ind w:left="20"/>
              <w:spacing w:after="0"/>
              <w:rPr>
                <w:sz w:val="20"/>
                <w:szCs w:val="20"/>
                <w:color w:val="auto"/>
              </w:rPr>
            </w:pPr>
            <w:r>
              <w:rPr>
                <w:rFonts w:ascii="Arial" w:cs="Arial" w:eastAsia="Arial" w:hAnsi="Arial"/>
                <w:sz w:val="18"/>
                <w:szCs w:val="18"/>
                <w:color w:val="0000FF"/>
              </w:rPr>
              <w:t>CFO Section 302 Certification</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320" w:type="dxa"/>
            <w:vAlign w:val="bottom"/>
          </w:tcPr>
          <w:p>
            <w:pPr>
              <w:spacing w:after="0"/>
              <w:rPr>
                <w:sz w:val="20"/>
                <w:szCs w:val="20"/>
                <w:color w:val="auto"/>
              </w:rPr>
            </w:pPr>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1</w:t>
            </w:r>
          </w:p>
        </w:tc>
        <w:tc>
          <w:tcPr>
            <w:tcW w:w="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20" w:type="dxa"/>
            <w:vAlign w:val="bottom"/>
            <w:gridSpan w:val="4"/>
          </w:tcPr>
          <w:p>
            <w:pPr>
              <w:ind w:left="20"/>
              <w:spacing w:after="0"/>
              <w:rPr>
                <w:sz w:val="20"/>
                <w:szCs w:val="20"/>
                <w:color w:val="auto"/>
              </w:rPr>
            </w:pPr>
            <w:r>
              <w:rPr>
                <w:rFonts w:ascii="Arial" w:cs="Arial" w:eastAsia="Arial" w:hAnsi="Arial"/>
                <w:sz w:val="18"/>
                <w:szCs w:val="18"/>
                <w:color w:val="0000FF"/>
              </w:rPr>
              <w:t>Section 906 Certifications*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56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20" w:type="dxa"/>
            <w:vAlign w:val="bottom"/>
            <w:gridSpan w:val="4"/>
          </w:tcPr>
          <w:p>
            <w:pPr>
              <w:ind w:left="20"/>
              <w:spacing w:after="0"/>
              <w:rPr>
                <w:sz w:val="20"/>
                <w:szCs w:val="20"/>
                <w:color w:val="auto"/>
              </w:rPr>
            </w:pPr>
            <w:r>
              <w:rPr>
                <w:rFonts w:ascii="Arial" w:cs="Arial" w:eastAsia="Arial" w:hAnsi="Arial"/>
                <w:sz w:val="18"/>
                <w:szCs w:val="18"/>
                <w:color w:val="auto"/>
                <w:w w:val="95"/>
              </w:rPr>
              <w:t>Inline XBRL Instance Document (the instance document does not appear in the Interactive Data File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20" w:type="dxa"/>
            <w:vAlign w:val="bottom"/>
            <w:gridSpan w:val="4"/>
          </w:tcPr>
          <w:p>
            <w:pPr>
              <w:ind w:left="20"/>
              <w:spacing w:after="0"/>
              <w:rPr>
                <w:sz w:val="20"/>
                <w:szCs w:val="20"/>
                <w:color w:val="auto"/>
              </w:rPr>
            </w:pPr>
            <w:r>
              <w:rPr>
                <w:rFonts w:ascii="Arial" w:cs="Arial" w:eastAsia="Arial" w:hAnsi="Arial"/>
                <w:sz w:val="18"/>
                <w:szCs w:val="18"/>
                <w:color w:val="auto"/>
              </w:rPr>
              <w:t>because its XBRL tags are embedded within the Inline XBRL document)</w:t>
            </w: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Arial" w:cs="Arial" w:eastAsia="Arial" w:hAnsi="Arial"/>
                <w:sz w:val="18"/>
                <w:szCs w:val="18"/>
                <w:color w:val="auto"/>
              </w:rPr>
              <w:t>101.SCH</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20" w:type="dxa"/>
            <w:vAlign w:val="bottom"/>
            <w:gridSpan w:val="4"/>
          </w:tcPr>
          <w:p>
            <w:pPr>
              <w:ind w:left="20"/>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20" w:type="dxa"/>
            <w:vAlign w:val="bottom"/>
            <w:gridSpan w:val="4"/>
          </w:tcPr>
          <w:p>
            <w:pPr>
              <w:ind w:left="20"/>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Arial" w:cs="Arial" w:eastAsia="Arial" w:hAnsi="Arial"/>
                <w:sz w:val="18"/>
                <w:szCs w:val="18"/>
                <w:color w:val="auto"/>
              </w:rPr>
              <w:t>101.LAB</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20" w:type="dxa"/>
            <w:vAlign w:val="bottom"/>
            <w:gridSpan w:val="4"/>
          </w:tcPr>
          <w:p>
            <w:pPr>
              <w:ind w:left="20"/>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Arial" w:cs="Arial" w:eastAsia="Arial" w:hAnsi="Arial"/>
                <w:sz w:val="18"/>
                <w:szCs w:val="18"/>
                <w:color w:val="auto"/>
              </w:rPr>
              <w:t>101.PRE</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20" w:type="dxa"/>
            <w:vAlign w:val="bottom"/>
            <w:gridSpan w:val="4"/>
          </w:tcPr>
          <w:p>
            <w:pPr>
              <w:ind w:left="20"/>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Arial" w:cs="Arial" w:eastAsia="Arial" w:hAnsi="Arial"/>
                <w:sz w:val="18"/>
                <w:szCs w:val="18"/>
                <w:color w:val="auto"/>
              </w:rPr>
              <w:t>101.DEF</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20" w:type="dxa"/>
            <w:vAlign w:val="bottom"/>
            <w:gridSpan w:val="4"/>
          </w:tcPr>
          <w:p>
            <w:pPr>
              <w:ind w:left="20"/>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83"/>
        </w:trPr>
        <w:tc>
          <w:tcPr>
            <w:tcW w:w="340" w:type="dxa"/>
            <w:vAlign w:val="bottom"/>
            <w:gridSpan w:val="2"/>
          </w:tcPr>
          <w:p>
            <w:pPr>
              <w:ind w:left="20"/>
              <w:spacing w:after="0"/>
              <w:rPr>
                <w:sz w:val="20"/>
                <w:szCs w:val="20"/>
                <w:color w:val="auto"/>
              </w:rPr>
            </w:pPr>
            <w:r>
              <w:rPr>
                <w:rFonts w:ascii="Arial" w:cs="Arial" w:eastAsia="Arial" w:hAnsi="Arial"/>
                <w:sz w:val="18"/>
                <w:szCs w:val="18"/>
                <w:color w:val="auto"/>
                <w:w w:val="99"/>
              </w:rPr>
              <w:t>104</w:t>
            </w: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20" w:type="dxa"/>
            <w:vAlign w:val="bottom"/>
            <w:gridSpan w:val="4"/>
          </w:tcPr>
          <w:p>
            <w:pPr>
              <w:ind w:left="20"/>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720" w:hanging="694"/>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Furnished, not filed.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10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4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640" w:type="dxa"/>
            <w:vAlign w:val="bottom"/>
          </w:tcPr>
          <w:p>
            <w:pPr>
              <w:spacing w:after="0"/>
              <w:rPr>
                <w:sz w:val="17"/>
                <w:szCs w:val="17"/>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Vera Bradley, Inc.</w:t>
            </w:r>
          </w:p>
        </w:tc>
      </w:tr>
      <w:tr>
        <w:trPr>
          <w:trHeight w:val="230"/>
        </w:trPr>
        <w:tc>
          <w:tcPr>
            <w:tcW w:w="5640" w:type="dxa"/>
            <w:vAlign w:val="bottom"/>
          </w:tcPr>
          <w:p>
            <w:pPr>
              <w:spacing w:after="0"/>
              <w:rPr>
                <w:sz w:val="20"/>
                <w:szCs w:val="20"/>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(Registrant)</w:t>
            </w:r>
          </w:p>
        </w:tc>
      </w:tr>
      <w:tr>
        <w:trPr>
          <w:trHeight w:val="512"/>
        </w:trPr>
        <w:tc>
          <w:tcPr>
            <w:tcW w:w="5640" w:type="dxa"/>
            <w:vAlign w:val="bottom"/>
          </w:tcPr>
          <w:p>
            <w:pPr>
              <w:spacing w:after="0"/>
              <w:rPr>
                <w:sz w:val="20"/>
                <w:szCs w:val="20"/>
                <w:color w:val="auto"/>
              </w:rPr>
            </w:pPr>
            <w:r>
              <w:rPr>
                <w:rFonts w:ascii="Arial" w:cs="Arial" w:eastAsia="Arial" w:hAnsi="Arial"/>
                <w:sz w:val="18"/>
                <w:szCs w:val="18"/>
                <w:color w:val="auto"/>
              </w:rPr>
              <w:t>Date: September 6, 2023</w:t>
            </w:r>
          </w:p>
        </w:tc>
        <w:tc>
          <w:tcPr>
            <w:tcW w:w="5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Schwindle</w:t>
            </w:r>
          </w:p>
        </w:tc>
      </w:tr>
      <w:tr>
        <w:trPr>
          <w:trHeight w:val="222"/>
        </w:trPr>
        <w:tc>
          <w:tcPr>
            <w:tcW w:w="564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Michael Schwindle</w:t>
            </w:r>
          </w:p>
        </w:tc>
      </w:tr>
      <w:tr>
        <w:trPr>
          <w:trHeight w:val="230"/>
        </w:trPr>
        <w:tc>
          <w:tcPr>
            <w:tcW w:w="5640" w:type="dxa"/>
            <w:vAlign w:val="bottom"/>
          </w:tcPr>
          <w:p>
            <w:pPr>
              <w:spacing w:after="0"/>
              <w:rPr>
                <w:sz w:val="20"/>
                <w:szCs w:val="20"/>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20"/>
          </w:cols>
          <w:pgMar w:left="320" w:top="121" w:right="35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Jacqueline Ardrey, certify that:</w:t>
      </w:r>
    </w:p>
    <w:p>
      <w:pPr>
        <w:spacing w:after="0" w:line="104" w:lineRule="exact"/>
        <w:rPr>
          <w:sz w:val="20"/>
          <w:szCs w:val="20"/>
          <w:color w:val="auto"/>
        </w:rPr>
      </w:pPr>
    </w:p>
    <w:p>
      <w:pPr>
        <w:ind w:left="660" w:hanging="65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Vera Bradley, Inc.;</w:t>
      </w:r>
    </w:p>
    <w:p>
      <w:pPr>
        <w:spacing w:after="0" w:line="90"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 w:lineRule="exact"/>
        <w:rPr>
          <w:rFonts w:ascii="Arial" w:cs="Arial" w:eastAsia="Arial" w:hAnsi="Arial"/>
          <w:sz w:val="17"/>
          <w:szCs w:val="17"/>
          <w:color w:val="auto"/>
        </w:rPr>
      </w:pPr>
    </w:p>
    <w:p>
      <w:pPr>
        <w:jc w:val="both"/>
        <w:ind w:left="660" w:right="120" w:hanging="652"/>
        <w:spacing w:after="0" w:line="263"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48" w:lineRule="exact"/>
        <w:rPr>
          <w:rFonts w:ascii="Arial" w:cs="Arial" w:eastAsia="Arial" w:hAnsi="Arial"/>
          <w:sz w:val="18"/>
          <w:szCs w:val="18"/>
          <w:color w:val="auto"/>
        </w:rPr>
      </w:pPr>
    </w:p>
    <w:p>
      <w:pPr>
        <w:ind w:left="1300" w:right="120" w:hanging="644"/>
        <w:spacing w:after="0" w:line="263" w:lineRule="auto"/>
        <w:tabs>
          <w:tab w:leader="none" w:pos="1297"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1300" w:right="40" w:hanging="644"/>
        <w:spacing w:after="0" w:line="263" w:lineRule="auto"/>
        <w:tabs>
          <w:tab w:leader="none" w:pos="1294"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1300" w:right="220" w:hanging="644"/>
        <w:spacing w:after="0" w:line="334" w:lineRule="auto"/>
        <w:tabs>
          <w:tab w:leader="none" w:pos="1297"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220" w:hanging="644"/>
        <w:spacing w:after="0" w:line="263" w:lineRule="auto"/>
        <w:tabs>
          <w:tab w:leader="none" w:pos="1294"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660" w:right="80" w:hanging="652"/>
        <w:spacing w:after="0" w:line="342"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 w:lineRule="exact"/>
        <w:rPr>
          <w:rFonts w:ascii="Arial" w:cs="Arial" w:eastAsia="Arial" w:hAnsi="Arial"/>
          <w:sz w:val="16"/>
          <w:szCs w:val="16"/>
          <w:color w:val="auto"/>
        </w:rPr>
      </w:pPr>
    </w:p>
    <w:p>
      <w:pPr>
        <w:ind w:left="1300" w:right="460" w:hanging="644"/>
        <w:spacing w:after="0" w:line="334" w:lineRule="auto"/>
        <w:tabs>
          <w:tab w:leader="none" w:pos="1297" w:val="left"/>
        </w:tabs>
        <w:numPr>
          <w:ilvl w:val="1"/>
          <w:numId w:val="3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140" w:hanging="644"/>
        <w:spacing w:after="0" w:line="273" w:lineRule="auto"/>
        <w:tabs>
          <w:tab w:leader="none" w:pos="1294"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tbl>
      <w:tblPr>
        <w:tblLayout w:type="fixed"/>
        <w:tblInd w:w="1320" w:type="dxa"/>
        <w:tblCellMar>
          <w:top w:w="0" w:type="dxa"/>
          <w:left w:w="0" w:type="dxa"/>
          <w:bottom w:w="0" w:type="dxa"/>
          <w:right w:w="0" w:type="dxa"/>
        </w:tblCellMar>
      </w:tblP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Date: September 6, 2023</w:t>
            </w:r>
          </w:p>
        </w:tc>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Jacqueline Ardrey</w:t>
            </w:r>
          </w:p>
        </w:tc>
      </w:tr>
      <w:tr>
        <w:trPr>
          <w:trHeight w:val="222"/>
        </w:trPr>
        <w:tc>
          <w:tcPr>
            <w:tcW w:w="4980" w:type="dxa"/>
            <w:vAlign w:val="bottom"/>
          </w:tcPr>
          <w:p>
            <w:pPr>
              <w:spacing w:after="0"/>
              <w:rPr>
                <w:sz w:val="19"/>
                <w:szCs w:val="19"/>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auto"/>
              </w:rPr>
              <w:t>Jacqueline Ardrey</w:t>
            </w:r>
          </w:p>
        </w:tc>
      </w:tr>
      <w:tr>
        <w:trPr>
          <w:trHeight w:val="230"/>
        </w:trPr>
        <w:tc>
          <w:tcPr>
            <w:tcW w:w="4980" w:type="dxa"/>
            <w:vAlign w:val="bottom"/>
          </w:tcPr>
          <w:p>
            <w:pPr>
              <w:spacing w:after="0"/>
              <w:rPr>
                <w:sz w:val="20"/>
                <w:szCs w:val="20"/>
                <w:color w:val="auto"/>
              </w:rPr>
            </w:pPr>
          </w:p>
        </w:tc>
        <w:tc>
          <w:tcPr>
            <w:tcW w:w="4920" w:type="dxa"/>
            <w:vAlign w:val="bottom"/>
          </w:tcPr>
          <w:p>
            <w:pPr>
              <w:ind w:left="20"/>
              <w:spacing w:after="0"/>
              <w:rPr>
                <w:sz w:val="20"/>
                <w:szCs w:val="20"/>
                <w:color w:val="auto"/>
              </w:rPr>
            </w:pPr>
            <w:r>
              <w:rPr>
                <w:rFonts w:ascii="Arial" w:cs="Arial" w:eastAsia="Arial" w:hAnsi="Arial"/>
                <w:sz w:val="18"/>
                <w:szCs w:val="18"/>
                <w:i w:val="1"/>
                <w:iCs w:val="1"/>
                <w:color w:val="auto"/>
              </w:rPr>
              <w:t>Chief Executive Officer</w:t>
            </w:r>
          </w:p>
        </w:tc>
      </w:tr>
    </w:tbl>
    <w:p>
      <w:pPr>
        <w:sectPr>
          <w:pgSz w:w="11900" w:h="16838" w:orient="portrait"/>
          <w:cols w:equalWidth="0" w:num="1">
            <w:col w:w="11240"/>
          </w:cols>
          <w:pgMar w:left="320" w:top="891"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Michael Schwindle, certify that:</w:t>
      </w:r>
    </w:p>
    <w:p>
      <w:pPr>
        <w:spacing w:after="0" w:line="104" w:lineRule="exact"/>
        <w:rPr>
          <w:sz w:val="20"/>
          <w:szCs w:val="20"/>
          <w:color w:val="auto"/>
        </w:rPr>
      </w:pPr>
    </w:p>
    <w:p>
      <w:pPr>
        <w:ind w:left="660" w:hanging="652"/>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Vera Bradley, Inc.;</w:t>
      </w:r>
    </w:p>
    <w:p>
      <w:pPr>
        <w:spacing w:after="0" w:line="90"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 w:lineRule="exact"/>
        <w:rPr>
          <w:rFonts w:ascii="Arial" w:cs="Arial" w:eastAsia="Arial" w:hAnsi="Arial"/>
          <w:sz w:val="17"/>
          <w:szCs w:val="17"/>
          <w:color w:val="auto"/>
        </w:rPr>
      </w:pPr>
    </w:p>
    <w:p>
      <w:pPr>
        <w:jc w:val="both"/>
        <w:ind w:left="660" w:right="120" w:hanging="652"/>
        <w:spacing w:after="0" w:line="263"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48" w:lineRule="exact"/>
        <w:rPr>
          <w:rFonts w:ascii="Arial" w:cs="Arial" w:eastAsia="Arial" w:hAnsi="Arial"/>
          <w:sz w:val="18"/>
          <w:szCs w:val="18"/>
          <w:color w:val="auto"/>
        </w:rPr>
      </w:pPr>
    </w:p>
    <w:p>
      <w:pPr>
        <w:ind w:left="1300" w:right="120" w:hanging="644"/>
        <w:spacing w:after="0" w:line="263" w:lineRule="auto"/>
        <w:tabs>
          <w:tab w:leader="none" w:pos="1297"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1300" w:right="40" w:hanging="644"/>
        <w:spacing w:after="0" w:line="263" w:lineRule="auto"/>
        <w:tabs>
          <w:tab w:leader="none" w:pos="1294"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1300" w:right="220" w:hanging="644"/>
        <w:spacing w:after="0" w:line="334" w:lineRule="auto"/>
        <w:tabs>
          <w:tab w:leader="none" w:pos="1297" w:val="left"/>
        </w:tabs>
        <w:numPr>
          <w:ilvl w:val="1"/>
          <w:numId w:val="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220" w:hanging="644"/>
        <w:spacing w:after="0" w:line="263" w:lineRule="auto"/>
        <w:tabs>
          <w:tab w:leader="none" w:pos="1294"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660" w:right="80" w:hanging="652"/>
        <w:spacing w:after="0" w:line="342" w:lineRule="auto"/>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 w:lineRule="exact"/>
        <w:rPr>
          <w:rFonts w:ascii="Arial" w:cs="Arial" w:eastAsia="Arial" w:hAnsi="Arial"/>
          <w:sz w:val="16"/>
          <w:szCs w:val="16"/>
          <w:color w:val="auto"/>
        </w:rPr>
      </w:pPr>
    </w:p>
    <w:p>
      <w:pPr>
        <w:ind w:left="1300" w:right="460" w:hanging="644"/>
        <w:spacing w:after="0" w:line="334" w:lineRule="auto"/>
        <w:tabs>
          <w:tab w:leader="none" w:pos="1297" w:val="left"/>
        </w:tabs>
        <w:numPr>
          <w:ilvl w:val="1"/>
          <w:numId w:val="3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140" w:hanging="644"/>
        <w:spacing w:after="0" w:line="273" w:lineRule="auto"/>
        <w:tabs>
          <w:tab w:leader="none" w:pos="1294"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tbl>
      <w:tblPr>
        <w:tblLayout w:type="fixed"/>
        <w:tblInd w:w="1320" w:type="dxa"/>
        <w:tblCellMar>
          <w:top w:w="0" w:type="dxa"/>
          <w:left w:w="0" w:type="dxa"/>
          <w:bottom w:w="0" w:type="dxa"/>
          <w:right w:w="0" w:type="dxa"/>
        </w:tblCellMar>
      </w:tblP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Date: September 6, 2023</w:t>
            </w:r>
          </w:p>
        </w:tc>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Michael Schwindle</w:t>
            </w:r>
          </w:p>
        </w:tc>
      </w:tr>
      <w:tr>
        <w:trPr>
          <w:trHeight w:val="222"/>
        </w:trPr>
        <w:tc>
          <w:tcPr>
            <w:tcW w:w="4980" w:type="dxa"/>
            <w:vAlign w:val="bottom"/>
          </w:tcPr>
          <w:p>
            <w:pPr>
              <w:spacing w:after="0"/>
              <w:rPr>
                <w:sz w:val="19"/>
                <w:szCs w:val="19"/>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auto"/>
              </w:rPr>
              <w:t>Michael Schwindle</w:t>
            </w:r>
          </w:p>
        </w:tc>
      </w:tr>
      <w:tr>
        <w:trPr>
          <w:trHeight w:val="230"/>
        </w:trPr>
        <w:tc>
          <w:tcPr>
            <w:tcW w:w="4980" w:type="dxa"/>
            <w:vAlign w:val="bottom"/>
          </w:tcPr>
          <w:p>
            <w:pPr>
              <w:spacing w:after="0"/>
              <w:rPr>
                <w:sz w:val="20"/>
                <w:szCs w:val="20"/>
                <w:color w:val="auto"/>
              </w:rPr>
            </w:pPr>
          </w:p>
        </w:tc>
        <w:tc>
          <w:tcPr>
            <w:tcW w:w="4920" w:type="dxa"/>
            <w:vAlign w:val="bottom"/>
          </w:tcPr>
          <w:p>
            <w:pPr>
              <w:ind w:left="20"/>
              <w:spacing w:after="0"/>
              <w:rPr>
                <w:sz w:val="20"/>
                <w:szCs w:val="20"/>
                <w:color w:val="auto"/>
              </w:rPr>
            </w:pPr>
            <w:r>
              <w:rPr>
                <w:rFonts w:ascii="Arial" w:cs="Arial" w:eastAsia="Arial" w:hAnsi="Arial"/>
                <w:sz w:val="18"/>
                <w:szCs w:val="18"/>
                <w:i w:val="1"/>
                <w:iCs w:val="1"/>
                <w:color w:val="auto"/>
              </w:rPr>
              <w:t>Chief Financial Officer</w:t>
            </w:r>
          </w:p>
        </w:tc>
      </w:tr>
    </w:tbl>
    <w:p>
      <w:pPr>
        <w:sectPr>
          <w:pgSz w:w="11900" w:h="16838" w:orient="portrait"/>
          <w:cols w:equalWidth="0" w:num="1">
            <w:col w:w="11240"/>
          </w:cols>
          <w:pgMar w:left="320" w:top="891"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38" w:lineRule="exact"/>
        <w:rPr>
          <w:sz w:val="20"/>
          <w:szCs w:val="20"/>
          <w:color w:val="auto"/>
        </w:rPr>
      </w:pPr>
    </w:p>
    <w:p>
      <w:pPr>
        <w:ind w:left="180"/>
        <w:spacing w:after="0"/>
        <w:rPr>
          <w:sz w:val="20"/>
          <w:szCs w:val="20"/>
          <w:color w:val="auto"/>
        </w:rPr>
      </w:pPr>
      <w:r>
        <w:rPr>
          <w:rFonts w:ascii="Arial" w:cs="Arial" w:eastAsia="Arial" w:hAnsi="Arial"/>
          <w:sz w:val="17"/>
          <w:szCs w:val="17"/>
          <w:color w:val="auto"/>
        </w:rPr>
        <w:t>I, Jacqueline Ardrey, the Chief Executive Officer of Vera Bradley, Inc., certify that (i) the quarterly report on Form 10-Q for the fiscal quarter ended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July 29, 2023 (the “Report”) fully complies with the requirements of Section 13(a) or 15(d) of the Securities Exchange Act of 1934, and (ii) the information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contained in the Report fairly presents, in all material respects, the financial condition and results of operations of Vera Bradley, Inc. as of the dates and for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periods set forth therein.</w:t>
      </w:r>
    </w:p>
    <w:p>
      <w:pPr>
        <w:spacing w:after="0" w:line="3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/s/ Jacqueline Ardrey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14605</wp:posOffset>
            </wp:positionV>
            <wp:extent cx="353187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531870" cy="8890"/>
                    </a:xfrm>
                    <a:prstGeom prst="rect">
                      <a:avLst/>
                    </a:prstGeom>
                    <a:noFill/>
                  </pic:spPr>
                </pic:pic>
              </a:graphicData>
            </a:graphic>
          </wp:anchor>
        </w:drawing>
      </w:r>
    </w:p>
    <w:p>
      <w:pPr>
        <w:spacing w:after="0" w:line="16"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Jacqueline Ardrey</w:t>
      </w:r>
    </w:p>
    <w:p>
      <w:pPr>
        <w:spacing w:after="0" w:line="23" w:lineRule="exact"/>
        <w:rPr>
          <w:sz w:val="20"/>
          <w:szCs w:val="20"/>
          <w:color w:val="auto"/>
        </w:rPr>
      </w:pPr>
    </w:p>
    <w:p>
      <w:pPr>
        <w:ind w:left="5680"/>
        <w:spacing w:after="0"/>
        <w:rPr>
          <w:sz w:val="20"/>
          <w:szCs w:val="20"/>
          <w:color w:val="auto"/>
        </w:rPr>
      </w:pPr>
      <w:r>
        <w:rPr>
          <w:rFonts w:ascii="Arial" w:cs="Arial" w:eastAsia="Arial" w:hAnsi="Arial"/>
          <w:sz w:val="18"/>
          <w:szCs w:val="18"/>
          <w:i w:val="1"/>
          <w:iCs w:val="1"/>
          <w:color w:val="auto"/>
        </w:rPr>
        <w:t>Chief Executive Officer</w:t>
      </w:r>
    </w:p>
    <w:p>
      <w:pPr>
        <w:spacing w:after="0" w:line="292"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September 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14605</wp:posOffset>
            </wp:positionV>
            <wp:extent cx="35318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16"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Date</w:t>
      </w:r>
    </w:p>
    <w:p>
      <w:pPr>
        <w:spacing w:after="0" w:line="347" w:lineRule="exact"/>
        <w:rPr>
          <w:sz w:val="20"/>
          <w:szCs w:val="20"/>
          <w:color w:val="auto"/>
        </w:rPr>
      </w:pPr>
    </w:p>
    <w:p>
      <w:pPr>
        <w:ind w:firstLine="180"/>
        <w:spacing w:after="0" w:line="259" w:lineRule="auto"/>
        <w:rPr>
          <w:sz w:val="20"/>
          <w:szCs w:val="20"/>
          <w:color w:val="auto"/>
        </w:rPr>
      </w:pPr>
      <w:r>
        <w:rPr>
          <w:rFonts w:ascii="Arial" w:cs="Arial" w:eastAsia="Arial" w:hAnsi="Arial"/>
          <w:sz w:val="18"/>
          <w:szCs w:val="18"/>
          <w:color w:val="auto"/>
        </w:rPr>
        <w:t>I, Michael Schwindle, the Chief Financial Officer of Vera Bradley, Inc., certify that (i) the quarterly report on Form 10-Q for the fiscal quarter ended July 29, 2023 (the “Report”) fully complies with the requirements of Section 13(a) or 15(d) of the Securities Exchange Act of 1934, and (ii) the information contained in the Report fairly presents, in all material respects, the financial condition and results of operations of Vera Bradley, Inc. as of the dates and for the periods set forth therein.</w:t>
      </w:r>
    </w:p>
    <w:p>
      <w:pPr>
        <w:spacing w:after="0" w:line="1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/s/ Michael Schwindle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14605</wp:posOffset>
            </wp:positionV>
            <wp:extent cx="35318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16"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Michael Schwindle</w:t>
      </w:r>
    </w:p>
    <w:p>
      <w:pPr>
        <w:spacing w:after="0" w:line="23" w:lineRule="exact"/>
        <w:rPr>
          <w:sz w:val="20"/>
          <w:szCs w:val="20"/>
          <w:color w:val="auto"/>
        </w:rPr>
      </w:pPr>
    </w:p>
    <w:p>
      <w:pPr>
        <w:ind w:left="5680"/>
        <w:spacing w:after="0"/>
        <w:rPr>
          <w:sz w:val="20"/>
          <w:szCs w:val="20"/>
          <w:color w:val="auto"/>
        </w:rPr>
      </w:pPr>
      <w:r>
        <w:rPr>
          <w:rFonts w:ascii="Arial" w:cs="Arial" w:eastAsia="Arial" w:hAnsi="Arial"/>
          <w:sz w:val="18"/>
          <w:szCs w:val="18"/>
          <w:i w:val="1"/>
          <w:iCs w:val="1"/>
          <w:color w:val="auto"/>
        </w:rPr>
        <w:t>Chief Financial Officer</w:t>
      </w:r>
    </w:p>
    <w:p>
      <w:pPr>
        <w:spacing w:after="0" w:line="292"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September 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14605</wp:posOffset>
            </wp:positionV>
            <wp:extent cx="353187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531870" cy="8890"/>
                    </a:xfrm>
                    <a:prstGeom prst="rect">
                      <a:avLst/>
                    </a:prstGeom>
                    <a:noFill/>
                  </pic:spPr>
                </pic:pic>
              </a:graphicData>
            </a:graphic>
          </wp:anchor>
        </w:drawing>
      </w:r>
    </w:p>
    <w:p>
      <w:pPr>
        <w:spacing w:after="0" w:line="16"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Date</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1."/>
      <w:numFmt w:val="decimal"/>
      <w:start w:val="1"/>
    </w:lvl>
    <w:lvl w:ilvl="1">
      <w:lvlJc w:val="left"/>
      <w:lvlText w:val="•"/>
      <w:numFmt w:val="bullet"/>
      <w:start w:val="1"/>
    </w:lvl>
  </w:abstractNum>
  <w:abstractNum w:abstractNumId="4">
    <w:nsid w:val="7C83E458"/>
    <w:multiLevelType w:val="hybridMultilevel"/>
    <w:lvl w:ilvl="0">
      <w:lvlJc w:val="left"/>
      <w:lvlText w:val="%1."/>
      <w:numFmt w:val="decimal"/>
      <w:start w:val="2"/>
    </w:lvl>
  </w:abstractNum>
  <w:abstractNum w:abstractNumId="5">
    <w:nsid w:val="257130A3"/>
    <w:multiLevelType w:val="hybridMultilevel"/>
    <w:lvl w:ilvl="0">
      <w:lvlJc w:val="left"/>
      <w:lvlText w:val="(%1)"/>
      <w:numFmt w:val="decimal"/>
      <w:start w:val="1"/>
    </w:lvl>
  </w:abstractNum>
  <w:abstractNum w:abstractNumId="6">
    <w:nsid w:val="62BBD95A"/>
    <w:multiLevelType w:val="hybridMultilevel"/>
    <w:lvl w:ilvl="0">
      <w:lvlJc w:val="left"/>
      <w:lvlText w:val="(%1)"/>
      <w:numFmt w:val="decimal"/>
      <w:start w:val="1"/>
    </w:lvl>
  </w:abstractNum>
  <w:abstractNum w:abstractNumId="7">
    <w:nsid w:val="436C6125"/>
    <w:multiLevelType w:val="hybridMultilevel"/>
    <w:lvl w:ilvl="0">
      <w:lvlJc w:val="left"/>
      <w:lvlText w:val="(%1)"/>
      <w:numFmt w:val="decimal"/>
      <w:start w:val="1"/>
    </w:lvl>
  </w:abstractNum>
  <w:abstractNum w:abstractNumId="8">
    <w:nsid w:val="628C895D"/>
    <w:multiLevelType w:val="hybridMultilevel"/>
    <w:lvl w:ilvl="0">
      <w:lvlJc w:val="left"/>
      <w:lvlText w:val="(%1)"/>
      <w:numFmt w:val="decimal"/>
      <w:start w:val="1"/>
    </w:lvl>
  </w:abstractNum>
  <w:abstractNum w:abstractNumId="9">
    <w:nsid w:val="333AB105"/>
    <w:multiLevelType w:val="hybridMultilevel"/>
    <w:lvl w:ilvl="0">
      <w:lvlJc w:val="left"/>
      <w:lvlText w:val="%1."/>
      <w:numFmt w:val="decimal"/>
      <w:start w:val="3"/>
    </w:lvl>
  </w:abstractNum>
  <w:abstractNum w:abstractNumId="10">
    <w:nsid w:val="721DA317"/>
    <w:multiLevelType w:val="hybridMultilevel"/>
    <w:lvl w:ilvl="0">
      <w:lvlJc w:val="left"/>
      <w:lvlText w:val="%1."/>
      <w:numFmt w:val="decimal"/>
      <w:start w:val="4"/>
    </w:lvl>
  </w:abstractNum>
  <w:abstractNum w:abstractNumId="11">
    <w:nsid w:val="2443A858"/>
    <w:multiLevelType w:val="hybridMultilevel"/>
    <w:lvl w:ilvl="0">
      <w:lvlJc w:val="left"/>
      <w:lvlText w:val="%1."/>
      <w:numFmt w:val="decimal"/>
      <w:start w:val="5"/>
    </w:lvl>
    <w:lvl w:ilvl="1">
      <w:lvlJc w:val="left"/>
      <w:lvlText w:val="•"/>
      <w:numFmt w:val="bullet"/>
      <w:start w:val="1"/>
    </w:lvl>
  </w:abstractNum>
  <w:abstractNum w:abstractNumId="12">
    <w:nsid w:val="2D1D5AE9"/>
    <w:multiLevelType w:val="hybridMultilevel"/>
    <w:lvl w:ilvl="0">
      <w:lvlJc w:val="left"/>
      <w:lvlText w:val="(%1)"/>
      <w:numFmt w:val="decimal"/>
      <w:start w:val="1"/>
    </w:lvl>
  </w:abstractNum>
  <w:abstractNum w:abstractNumId="13">
    <w:nsid w:val="6763845E"/>
    <w:multiLevelType w:val="hybridMultilevel"/>
    <w:lvl w:ilvl="0">
      <w:lvlJc w:val="left"/>
      <w:lvlText w:val="%1."/>
      <w:numFmt w:val="decimal"/>
      <w:start w:val="6"/>
    </w:lvl>
  </w:abstractNum>
  <w:abstractNum w:abstractNumId="14">
    <w:nsid w:val="75A2A8D4"/>
    <w:multiLevelType w:val="hybridMultilevel"/>
    <w:lvl w:ilvl="0">
      <w:lvlJc w:val="left"/>
      <w:lvlText w:val="(%1)"/>
      <w:numFmt w:val="lowerRoman"/>
      <w:start w:val="5"/>
    </w:lvl>
  </w:abstractNum>
  <w:abstractNum w:abstractNumId="15">
    <w:nsid w:val="8EDBDAB"/>
    <w:multiLevelType w:val="hybridMultilevel"/>
    <w:lvl w:ilvl="0">
      <w:lvlJc w:val="left"/>
      <w:lvlText w:val="%1."/>
      <w:numFmt w:val="decimal"/>
      <w:start w:val="7"/>
    </w:lvl>
  </w:abstractNum>
  <w:abstractNum w:abstractNumId="16">
    <w:nsid w:val="79838CB2"/>
    <w:multiLevelType w:val="hybridMultilevel"/>
    <w:lvl w:ilvl="0">
      <w:lvlJc w:val="left"/>
      <w:lvlText w:val="%1."/>
      <w:numFmt w:val="decimal"/>
      <w:start w:val="9"/>
    </w:lvl>
  </w:abstractNum>
  <w:abstractNum w:abstractNumId="17">
    <w:nsid w:val="4353D0CD"/>
    <w:multiLevelType w:val="hybridMultilevel"/>
    <w:lvl w:ilvl="0">
      <w:lvlJc w:val="left"/>
      <w:lvlText w:val="%1."/>
      <w:numFmt w:val="decimal"/>
      <w:start w:val="10"/>
    </w:lvl>
  </w:abstractNum>
  <w:abstractNum w:abstractNumId="18">
    <w:nsid w:val="B03E0C6"/>
    <w:multiLevelType w:val="hybridMultilevel"/>
    <w:lvl w:ilvl="0">
      <w:lvlJc w:val="left"/>
      <w:lvlText w:val="%1."/>
      <w:numFmt w:val="decimal"/>
      <w:start w:val="13"/>
    </w:lvl>
  </w:abstractNum>
  <w:abstractNum w:abstractNumId="19">
    <w:nsid w:val="189A769B"/>
    <w:multiLevelType w:val="hybridMultilevel"/>
    <w:lvl w:ilvl="0">
      <w:lvlJc w:val="left"/>
      <w:lvlText w:val="(%1)"/>
      <w:numFmt w:val="decimal"/>
      <w:start w:val="1"/>
    </w:lvl>
  </w:abstractNum>
  <w:abstractNum w:abstractNumId="20">
    <w:nsid w:val="54E49EB4"/>
    <w:multiLevelType w:val="hybridMultilevel"/>
    <w:lvl w:ilvl="0">
      <w:lvlJc w:val="left"/>
      <w:lvlText w:val="(%1)"/>
      <w:numFmt w:val="decimal"/>
      <w:start w:val="1"/>
    </w:lvl>
  </w:abstractNum>
  <w:abstractNum w:abstractNumId="21">
    <w:nsid w:val="71F32454"/>
    <w:multiLevelType w:val="hybridMultilevel"/>
    <w:lvl w:ilvl="0">
      <w:lvlJc w:val="left"/>
      <w:lvlText w:val="%1."/>
      <w:numFmt w:val="decimal"/>
      <w:start w:val="14"/>
    </w:lvl>
  </w:abstractNum>
  <w:abstractNum w:abstractNumId="22">
    <w:nsid w:val="2CA88611"/>
    <w:multiLevelType w:val="hybridMultilevel"/>
    <w:lvl w:ilvl="0">
      <w:lvlJc w:val="left"/>
      <w:lvlText w:val="(%1)"/>
      <w:numFmt w:val="decimal"/>
      <w:start w:val="1"/>
    </w:lvl>
  </w:abstractNum>
  <w:abstractNum w:abstractNumId="23">
    <w:nsid w:val="836C40E"/>
    <w:multiLevelType w:val="hybridMultilevel"/>
    <w:lvl w:ilvl="0">
      <w:lvlJc w:val="left"/>
      <w:lvlText w:val="(%1)"/>
      <w:numFmt w:val="decimal"/>
      <w:start w:val="1"/>
    </w:lvl>
  </w:abstractNum>
  <w:abstractNum w:abstractNumId="24">
    <w:nsid w:val="2901D82"/>
    <w:multiLevelType w:val="hybridMultilevel"/>
    <w:lvl w:ilvl="0">
      <w:lvlJc w:val="left"/>
      <w:lvlText w:val="(%1)"/>
      <w:numFmt w:val="decimal"/>
      <w:start w:val="1"/>
    </w:lvl>
  </w:abstractNum>
  <w:abstractNum w:abstractNumId="25">
    <w:nsid w:val="3A95F874"/>
    <w:multiLevelType w:val="hybridMultilevel"/>
    <w:lvl w:ilvl="0">
      <w:lvlJc w:val="left"/>
      <w:lvlText w:val="(%1)"/>
      <w:numFmt w:val="decimal"/>
      <w:start w:val="1"/>
    </w:lvl>
  </w:abstractNum>
  <w:abstractNum w:abstractNumId="26">
    <w:nsid w:val="8138641"/>
    <w:multiLevelType w:val="hybridMultilevel"/>
    <w:lvl w:ilvl="0">
      <w:lvlJc w:val="left"/>
      <w:lvlText w:val="%1."/>
      <w:numFmt w:val="decimal"/>
      <w:start w:val="15"/>
    </w:lvl>
  </w:abstractNum>
  <w:abstractNum w:abstractNumId="27">
    <w:nsid w:val="1E7FF521"/>
    <w:multiLevelType w:val="hybridMultilevel"/>
    <w:lvl w:ilvl="0">
      <w:lvlJc w:val="left"/>
      <w:lvlText w:val="•"/>
      <w:numFmt w:val="bullet"/>
      <w:start w:val="1"/>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1)"/>
      <w:numFmt w:val="decimal"/>
      <w:start w:val="1"/>
    </w:lvl>
  </w:abstractNum>
  <w:abstractNum w:abstractNumId="30">
    <w:nsid w:val="6CEAF087"/>
    <w:multiLevelType w:val="hybridMultilevel"/>
    <w:lvl w:ilvl="0">
      <w:lvlJc w:val="left"/>
      <w:lvlText w:val="*"/>
      <w:numFmt w:val="bullet"/>
      <w:start w:val="1"/>
    </w:lvl>
  </w:abstractNum>
  <w:abstractNum w:abstractNumId="31">
    <w:nsid w:val="22221A70"/>
    <w:multiLevelType w:val="hybridMultilevel"/>
    <w:lvl w:ilvl="0">
      <w:lvlJc w:val="left"/>
      <w:lvlText w:val="%1."/>
      <w:numFmt w:val="decimal"/>
      <w:start w:val="1"/>
    </w:lvl>
    <w:lvl w:ilvl="1">
      <w:lvlJc w:val="left"/>
      <w:lvlText w:val="(%2)"/>
      <w:numFmt w:val="lowerLetter"/>
      <w:start w:val="1"/>
    </w:lvl>
  </w:abstractNum>
  <w:abstractNum w:abstractNumId="32">
    <w:nsid w:val="4516DDE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2023-09-06T13:58:27Z</dcterms:created>
  <dcterms:modified xsi:type="dcterms:W3CDTF">2023-09-06T13:58:27Z</dcterms:modified>
</cp:coreProperties>
</file>