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420370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386080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ind w:left="4400"/>
        <w:spacing w:after="0"/>
        <w:rPr>
          <w:sz w:val="20"/>
          <w:szCs w:val="20"/>
          <w:color w:val="auto"/>
        </w:rPr>
      </w:pPr>
      <w:r>
        <w:rPr>
          <w:rFonts w:ascii="Arial" w:cs="Arial" w:eastAsia="Arial" w:hAnsi="Arial"/>
          <w:sz w:val="18"/>
          <w:szCs w:val="18"/>
          <w:color w:val="auto"/>
        </w:rPr>
        <w:t>___________________________</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w:t>
      </w:r>
    </w:p>
    <w:p>
      <w:pPr>
        <w:spacing w:after="0" w:line="235"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1934</w:t>
      </w:r>
    </w:p>
    <w:p>
      <w:pPr>
        <w:spacing w:after="0" w:line="23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October 30, 2021</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28"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1934</w:t>
      </w:r>
    </w:p>
    <w:p>
      <w:pPr>
        <w:spacing w:after="0" w:line="245" w:lineRule="exact"/>
        <w:rPr>
          <w:sz w:val="24"/>
          <w:szCs w:val="24"/>
          <w:color w:val="auto"/>
        </w:rPr>
      </w:pPr>
    </w:p>
    <w:p>
      <w:pPr>
        <w:ind w:left="336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3710305</wp:posOffset>
            </wp:positionH>
            <wp:positionV relativeFrom="paragraph">
              <wp:posOffset>-7620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001-34918</w:t>
      </w:r>
    </w:p>
    <w:p>
      <w:pPr>
        <w:spacing w:after="0" w:line="202"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14605</wp:posOffset>
            </wp:positionV>
            <wp:extent cx="1268730" cy="128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28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VERA BRADLEY, INC.</w:t>
      </w: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4"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35" w:lineRule="exact"/>
        <w:rPr>
          <w:sz w:val="24"/>
          <w:szCs w:val="24"/>
          <w:color w:val="auto"/>
        </w:rPr>
      </w:pPr>
    </w:p>
    <w:tbl>
      <w:tblPr>
        <w:tblLayout w:type="fixed"/>
        <w:tblInd w:w="1540" w:type="dxa"/>
        <w:tblCellMar>
          <w:top w:w="0" w:type="dxa"/>
          <w:left w:w="0" w:type="dxa"/>
          <w:bottom w:w="0" w:type="dxa"/>
          <w:right w:w="0" w:type="dxa"/>
        </w:tblCellMar>
      </w:tblPr>
      <w:tr>
        <w:trPr>
          <w:trHeight w:val="225"/>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5"/>
              </w:rPr>
              <w:t>Indiana</w:t>
            </w:r>
          </w:p>
        </w:tc>
        <w:tc>
          <w:tcPr>
            <w:tcW w:w="5100" w:type="dxa"/>
            <w:vAlign w:val="bottom"/>
          </w:tcPr>
          <w:p>
            <w:pPr>
              <w:jc w:val="right"/>
              <w:ind w:right="60"/>
              <w:spacing w:after="0"/>
              <w:rPr>
                <w:sz w:val="20"/>
                <w:szCs w:val="20"/>
                <w:color w:val="auto"/>
              </w:rPr>
            </w:pPr>
            <w:r>
              <w:rPr>
                <w:rFonts w:ascii="Arial" w:cs="Arial" w:eastAsia="Arial" w:hAnsi="Arial"/>
                <w:sz w:val="18"/>
                <w:szCs w:val="18"/>
                <w:b w:val="1"/>
                <w:bCs w:val="1"/>
                <w:color w:val="auto"/>
              </w:rPr>
              <w:t>27-2935063</w:t>
            </w:r>
          </w:p>
        </w:tc>
        <w:tc>
          <w:tcPr>
            <w:tcW w:w="0" w:type="dxa"/>
            <w:vAlign w:val="bottom"/>
          </w:tcPr>
          <w:p>
            <w:pPr>
              <w:spacing w:after="0"/>
              <w:rPr>
                <w:sz w:val="1"/>
                <w:szCs w:val="1"/>
                <w:color w:val="auto"/>
              </w:rPr>
            </w:pPr>
          </w:p>
        </w:tc>
      </w:tr>
      <w:tr>
        <w:trPr>
          <w:trHeight w:val="144"/>
        </w:trPr>
        <w:tc>
          <w:tcPr>
            <w:tcW w:w="2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900"/>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00" w:type="dxa"/>
            <w:vAlign w:val="bottom"/>
          </w:tcPr>
          <w:p>
            <w:pPr>
              <w:jc w:val="center"/>
              <w:ind w:left="388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448"/>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9"/>
              </w:rPr>
              <w:t>12420 Stonebridge Road,</w:t>
            </w:r>
          </w:p>
        </w:tc>
        <w:tc>
          <w:tcPr>
            <w:tcW w:w="5100" w:type="dxa"/>
            <w:vAlign w:val="bottom"/>
            <w:vMerge w:val="restart"/>
          </w:tcPr>
          <w:p>
            <w:pPr>
              <w:jc w:val="right"/>
              <w:ind w:right="260"/>
              <w:spacing w:after="0"/>
              <w:rPr>
                <w:sz w:val="20"/>
                <w:szCs w:val="20"/>
                <w:color w:val="auto"/>
              </w:rPr>
            </w:pPr>
            <w:r>
              <w:rPr>
                <w:rFonts w:ascii="Arial" w:cs="Arial" w:eastAsia="Arial" w:hAnsi="Arial"/>
                <w:sz w:val="18"/>
                <w:szCs w:val="18"/>
                <w:b w:val="1"/>
                <w:bCs w:val="1"/>
                <w:color w:val="auto"/>
              </w:rPr>
              <w:t>46783</w:t>
            </w:r>
          </w:p>
        </w:tc>
        <w:tc>
          <w:tcPr>
            <w:tcW w:w="0" w:type="dxa"/>
            <w:vAlign w:val="bottom"/>
          </w:tcPr>
          <w:p>
            <w:pPr>
              <w:spacing w:after="0"/>
              <w:rPr>
                <w:sz w:val="1"/>
                <w:szCs w:val="1"/>
                <w:color w:val="auto"/>
              </w:rPr>
            </w:pPr>
          </w:p>
        </w:tc>
      </w:tr>
      <w:tr>
        <w:trPr>
          <w:trHeight w:val="220"/>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1"/>
              </w:rPr>
              <w:t>Roanoke, Indiana</w:t>
            </w:r>
          </w:p>
        </w:tc>
        <w:tc>
          <w:tcPr>
            <w:tcW w:w="5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00" w:type="dxa"/>
            <w:vAlign w:val="bottom"/>
          </w:tcPr>
          <w:p>
            <w:pPr>
              <w:jc w:val="center"/>
              <w:ind w:left="388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462"/>
        </w:trPr>
        <w:tc>
          <w:tcPr>
            <w:tcW w:w="2420" w:type="dxa"/>
            <w:vAlign w:val="bottom"/>
          </w:tcPr>
          <w:p>
            <w:pPr>
              <w:spacing w:after="0"/>
              <w:rPr>
                <w:sz w:val="24"/>
                <w:szCs w:val="24"/>
                <w:color w:val="auto"/>
              </w:rPr>
            </w:pPr>
          </w:p>
        </w:tc>
        <w:tc>
          <w:tcPr>
            <w:tcW w:w="5100" w:type="dxa"/>
            <w:vAlign w:val="bottom"/>
          </w:tcPr>
          <w:p>
            <w:pPr>
              <w:jc w:val="right"/>
              <w:ind w:right="2800"/>
              <w:spacing w:after="0"/>
              <w:rPr>
                <w:sz w:val="20"/>
                <w:szCs w:val="20"/>
                <w:color w:val="auto"/>
              </w:rPr>
            </w:pPr>
            <w:r>
              <w:rPr>
                <w:rFonts w:ascii="Arial" w:cs="Arial" w:eastAsia="Arial" w:hAnsi="Arial"/>
                <w:sz w:val="18"/>
                <w:szCs w:val="18"/>
                <w:b w:val="1"/>
                <w:bCs w:val="1"/>
                <w:color w:val="auto"/>
              </w:rPr>
              <w:t>(877) 708-8372</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5100" w:type="dxa"/>
            <w:vAlign w:val="bottom"/>
          </w:tcPr>
          <w:p>
            <w:pPr>
              <w:jc w:val="center"/>
              <w:ind w:right="17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bl>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1"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 without par value</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VRA</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242"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2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60"/>
          </w:cols>
          <w:pgMar w:left="320" w:top="229" w:right="31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500"/>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4880" w:type="dxa"/>
            <w:vAlign w:val="bottom"/>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14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99"/>
        </w:trPr>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14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49" w:lineRule="exact"/>
        <w:rPr>
          <w:sz w:val="20"/>
          <w:szCs w:val="20"/>
          <w:color w:val="auto"/>
        </w:rPr>
      </w:pPr>
    </w:p>
    <w:p>
      <w:pPr>
        <w:jc w:val="both"/>
        <w:ind w:left="2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1" w:lineRule="exact"/>
        <w:rPr>
          <w:sz w:val="20"/>
          <w:szCs w:val="20"/>
          <w:color w:val="auto"/>
        </w:rPr>
      </w:pPr>
    </w:p>
    <w:p>
      <w:pPr>
        <w:ind w:right="166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The registrant had 33,730,165 shares of its common stock outstanding as of December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913765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00"/>
          </w:cols>
          <w:pgMar w:left="320" w:top="322"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020" w:type="dxa"/>
            <w:vAlign w:val="bottom"/>
            <w:gridSpan w:val="21"/>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20" w:type="dxa"/>
            <w:vAlign w:val="bottom"/>
            <w:gridSpan w:val="8"/>
          </w:tcPr>
          <w:p>
            <w:pPr>
              <w:ind w:left="136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1000" w:type="dxa"/>
            <w:vAlign w:val="bottom"/>
            <w:gridSpan w:val="20"/>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FINANCIAL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008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 (unaudited)</w:t>
              </w:r>
            </w:hyperlink>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 as of October 30, 2021, and January 30, 2021</w:t>
              </w:r>
            </w:hyperlink>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Operations for the Thirteen and Thirty-Nine Weeks Ended October 30, 2021, and</w:t>
              </w:r>
            </w:hyperlink>
          </w:p>
        </w:tc>
        <w:tc>
          <w:tcPr>
            <w:tcW w:w="180" w:type="dxa"/>
            <w:vAlign w:val="bottom"/>
            <w:gridSpan w:val="2"/>
            <w:vMerge w:val="restart"/>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7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October 31, 2020</w:t>
              </w:r>
            </w:hyperlink>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Comprehensive Income for the Thirteen and Thirty-Nine Weeks Ended October 30,</w:t>
              </w:r>
            </w:hyperlink>
          </w:p>
        </w:tc>
        <w:tc>
          <w:tcPr>
            <w:tcW w:w="80" w:type="dxa"/>
            <w:vAlign w:val="bottom"/>
            <w:vMerge w:val="restart"/>
          </w:tcPr>
          <w:p>
            <w:pPr>
              <w:spacing w:after="0"/>
              <w:rPr>
                <w:sz w:val="22"/>
                <w:szCs w:val="22"/>
                <w:color w:val="auto"/>
              </w:rPr>
            </w:pPr>
          </w:p>
        </w:tc>
        <w:tc>
          <w:tcPr>
            <w:tcW w:w="100" w:type="dxa"/>
            <w:vAlign w:val="bottom"/>
            <w:vMerge w:val="restart"/>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8"/>
              </w:rPr>
            </w:pPr>
            <w:hyperlink w:anchor="page6">
              <w:r>
                <w:rPr>
                  <w:rFonts w:ascii="Arial" w:cs="Arial" w:eastAsia="Arial" w:hAnsi="Arial"/>
                  <w:sz w:val="18"/>
                  <w:szCs w:val="18"/>
                  <w:color w:val="0000FF"/>
                  <w:w w:val="88"/>
                </w:rPr>
                <w:t>2021, and October 31, 2020</w:t>
              </w:r>
            </w:hyperlink>
          </w:p>
        </w:tc>
        <w:tc>
          <w:tcPr>
            <w:tcW w:w="6880" w:type="dxa"/>
            <w:vAlign w:val="bottom"/>
            <w:tcBorders>
              <w:top w:val="single" w:sz="8" w:color="0000FF"/>
            </w:tcBorders>
            <w:gridSpan w:val="8"/>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9"/>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Condensed Consolidated Statements of Shareholders' Equity for the Thirteen and Thirty-Nine Weeks Ended October 30, 2021,</w:t>
              </w:r>
            </w:hyperlink>
          </w:p>
        </w:tc>
        <w:tc>
          <w:tcPr>
            <w:tcW w:w="180" w:type="dxa"/>
            <w:vAlign w:val="bottom"/>
            <w:gridSpan w:val="2"/>
            <w:vMerge w:val="restart"/>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1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and October 31, 2020</w:t>
              </w:r>
            </w:hyperlink>
          </w:p>
        </w:tc>
        <w:tc>
          <w:tcPr>
            <w:tcW w:w="98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9"/>
          </w:tcPr>
          <w:p>
            <w:pPr>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Condensed Consolidated Statements of Cash Flows for the Thirty-Nine Weeks Ended October 30, 2021, and October 31, 2020</w:t>
              </w:r>
            </w:hyperlink>
          </w:p>
        </w:tc>
        <w:tc>
          <w:tcPr>
            <w:tcW w:w="180" w:type="dxa"/>
            <w:vAlign w:val="bottom"/>
            <w:gridSpan w:val="2"/>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100" w:type="dxa"/>
            <w:vAlign w:val="bottom"/>
            <w:gridSpan w:val="18"/>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Notes to the Condensed Consolidated Financial Statements</w:t>
              </w:r>
            </w:hyperlink>
          </w:p>
        </w:tc>
        <w:tc>
          <w:tcPr>
            <w:tcW w:w="980" w:type="dxa"/>
            <w:vAlign w:val="bottom"/>
          </w:tcPr>
          <w:p>
            <w:pPr>
              <w:spacing w:after="0"/>
              <w:rPr>
                <w:sz w:val="22"/>
                <w:szCs w:val="22"/>
                <w:color w:val="auto"/>
              </w:rPr>
            </w:pPr>
          </w:p>
        </w:tc>
        <w:tc>
          <w:tcPr>
            <w:tcW w:w="180" w:type="dxa"/>
            <w:vAlign w:val="bottom"/>
            <w:gridSpan w:val="2"/>
          </w:tcPr>
          <w:p>
            <w:pPr>
              <w:jc w:val="right"/>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11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10080" w:type="dxa"/>
            <w:vAlign w:val="bottom"/>
            <w:gridSpan w:val="19"/>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26</w:t>
              </w:r>
            </w:hyperlink>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15"/>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Quantitative and Qualitative Disclosures About Market Risk</w:t>
              </w:r>
            </w:hyperlink>
          </w:p>
        </w:tc>
        <w:tc>
          <w:tcPr>
            <w:tcW w:w="3640" w:type="dxa"/>
            <w:vAlign w:val="bottom"/>
            <w:gridSpan w:val="4"/>
          </w:tcPr>
          <w:p>
            <w:pPr>
              <w:spacing w:after="0"/>
              <w:rPr>
                <w:sz w:val="22"/>
                <w:szCs w:val="22"/>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7"/>
              </w:rPr>
            </w:pPr>
            <w:hyperlink w:anchor="page40">
              <w:r>
                <w:rPr>
                  <w:rFonts w:ascii="Arial" w:cs="Arial" w:eastAsia="Arial" w:hAnsi="Arial"/>
                  <w:sz w:val="18"/>
                  <w:szCs w:val="18"/>
                  <w:color w:val="0000FF"/>
                  <w:w w:val="87"/>
                </w:rPr>
                <w:t>Controls and Procedures</w:t>
              </w:r>
            </w:hyperlink>
          </w:p>
        </w:tc>
        <w:tc>
          <w:tcPr>
            <w:tcW w:w="2580" w:type="dxa"/>
            <w:vAlign w:val="bottom"/>
            <w:tcBorders>
              <w:top w:val="single" w:sz="8" w:color="0000FF"/>
            </w:tcBorders>
            <w:gridSpan w:val="6"/>
          </w:tcPr>
          <w:p>
            <w:pPr>
              <w:spacing w:after="0"/>
              <w:rPr>
                <w:sz w:val="22"/>
                <w:szCs w:val="22"/>
                <w:color w:val="auto"/>
              </w:rPr>
            </w:pPr>
          </w:p>
        </w:tc>
        <w:tc>
          <w:tcPr>
            <w:tcW w:w="5740" w:type="dxa"/>
            <w:vAlign w:val="bottom"/>
            <w:gridSpan w:val="6"/>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39</w:t>
              </w:r>
            </w:hyperlink>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1000" w:type="dxa"/>
            <w:vAlign w:val="bottom"/>
            <w:gridSpan w:val="20"/>
          </w:tcPr>
          <w:p>
            <w:pP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PART II. OTHER INFORMATION</w:t>
              </w:r>
            </w:hyperlink>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840" w:type="dxa"/>
            <w:vAlign w:val="bottom"/>
            <w:tcBorders>
              <w:top w:val="single" w:sz="8" w:color="0000FF"/>
            </w:tcBorders>
            <w:gridSpan w:val="8"/>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Legal Proceedings</w:t>
              </w:r>
            </w:hyperlink>
          </w:p>
        </w:tc>
        <w:tc>
          <w:tcPr>
            <w:tcW w:w="8240" w:type="dxa"/>
            <w:vAlign w:val="bottom"/>
            <w:gridSpan w:val="11"/>
          </w:tcPr>
          <w:p>
            <w:pPr>
              <w:spacing w:after="0"/>
              <w:rPr>
                <w:sz w:val="22"/>
                <w:szCs w:val="22"/>
                <w:color w:val="auto"/>
              </w:rPr>
            </w:pPr>
          </w:p>
        </w:tc>
        <w:tc>
          <w:tcPr>
            <w:tcW w:w="180" w:type="dxa"/>
            <w:vAlign w:val="bottom"/>
            <w:gridSpan w:val="2"/>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40</w:t>
              </w:r>
            </w:hyperlink>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7"/>
              </w:rPr>
            </w:pPr>
            <w:hyperlink w:anchor="page41">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22"/>
                <w:szCs w:val="22"/>
                <w:color w:val="auto"/>
              </w:rPr>
            </w:pPr>
          </w:p>
        </w:tc>
        <w:tc>
          <w:tcPr>
            <w:tcW w:w="8760" w:type="dxa"/>
            <w:vAlign w:val="bottom"/>
            <w:gridSpan w:val="14"/>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40</w:t>
              </w:r>
            </w:hyperlink>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Unregistered Sales of Equity Securities and Use of Proceeds</w:t>
              </w:r>
            </w:hyperlink>
          </w:p>
        </w:tc>
        <w:tc>
          <w:tcPr>
            <w:tcW w:w="5740" w:type="dxa"/>
            <w:vAlign w:val="bottom"/>
            <w:gridSpan w:val="6"/>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41</w:t>
              </w:r>
            </w:hyperlink>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Exhibits</w:t>
              </w:r>
            </w:hyperlink>
          </w:p>
        </w:tc>
        <w:tc>
          <w:tcPr>
            <w:tcW w:w="9480" w:type="dxa"/>
            <w:vAlign w:val="bottom"/>
            <w:gridSpan w:val="17"/>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64" w:lineRule="exact"/>
        <w:rPr>
          <w:sz w:val="20"/>
          <w:szCs w:val="20"/>
          <w:color w:val="auto"/>
        </w:rPr>
      </w:pPr>
    </w:p>
    <w:p>
      <w:pPr>
        <w:ind w:left="660" w:right="1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health pandemics, including the continued outbreak of the novel coronavirus (COVID-19) and actions to contain the spread of the virus by governmental or other actors;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long-term strategic plans;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declines in our comparable sales;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failure of our multi-channel distribution model;</w:t>
      </w:r>
    </w:p>
    <w:p>
      <w:pPr>
        <w:spacing w:after="0" w:line="103"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 including as may be related to the continued outbreak of COVID-19;</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new stores and/or operate current stores as planned;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loss of key management associates or inability to attract and retain the talent required for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data security or privacy breaches or disruptions in our computer systems or website;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disruptions in our supply chain;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new or increased tariffs on our products that could lead to increased product costs and lower profit margins; and</w:t>
      </w:r>
    </w:p>
    <w:p>
      <w:pPr>
        <w:spacing w:after="0" w:line="103"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integration strategies related to the Pura Vida business and possible inability to derive expected benefits from or to successfully integrate any future business acquisition.</w:t>
      </w:r>
    </w:p>
    <w:p>
      <w:pPr>
        <w:spacing w:after="0" w:line="11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3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a discussion of the above described risks and uncertainties and other risks and uncertainties that could cause actual results to differ materially from those contained in our forward-looking statements, please refer to “Risk Factors” in Item 1A of our Annual Report on Form 10-K for the fiscal year ended January 30, 2021, as well as in Item 1A herein.</w:t>
      </w:r>
    </w:p>
    <w:p>
      <w:pPr>
        <w:spacing w:after="0" w:line="13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30,</w:t>
            </w:r>
          </w:p>
        </w:tc>
        <w:tc>
          <w:tcPr>
            <w:tcW w:w="220" w:type="dxa"/>
            <w:vAlign w:val="bottom"/>
          </w:tcPr>
          <w:p>
            <w:pPr>
              <w:spacing w:after="0"/>
              <w:rPr>
                <w:sz w:val="14"/>
                <w:szCs w:val="14"/>
                <w:color w:val="auto"/>
              </w:rPr>
            </w:pPr>
          </w:p>
        </w:tc>
        <w:tc>
          <w:tcPr>
            <w:tcW w:w="1220" w:type="dxa"/>
            <w:vAlign w:val="bottom"/>
          </w:tcPr>
          <w:p>
            <w:pPr>
              <w:jc w:val="right"/>
              <w:ind w:right="280"/>
              <w:spacing w:after="0"/>
              <w:rPr>
                <w:sz w:val="20"/>
                <w:szCs w:val="20"/>
                <w:color w:val="auto"/>
              </w:rPr>
            </w:pPr>
            <w:r>
              <w:rPr>
                <w:rFonts w:ascii="Arial" w:cs="Arial" w:eastAsia="Arial" w:hAnsi="Arial"/>
                <w:sz w:val="14"/>
                <w:szCs w:val="14"/>
                <w:b w:val="1"/>
                <w:bCs w:val="1"/>
                <w:color w:val="auto"/>
              </w:rPr>
              <w:t>January 30,</w:t>
            </w:r>
          </w:p>
        </w:tc>
        <w:tc>
          <w:tcPr>
            <w:tcW w:w="0" w:type="dxa"/>
            <w:vAlign w:val="bottom"/>
          </w:tcPr>
          <w:p>
            <w:pPr>
              <w:spacing w:after="0"/>
              <w:rPr>
                <w:sz w:val="1"/>
                <w:szCs w:val="1"/>
                <w:color w:val="auto"/>
              </w:rPr>
            </w:pPr>
          </w:p>
        </w:tc>
      </w:tr>
      <w:tr>
        <w:trPr>
          <w:trHeight w:val="188"/>
        </w:trPr>
        <w:tc>
          <w:tcPr>
            <w:tcW w:w="8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64,175</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1,295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27,543</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148,265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141,416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receivable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7,372</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17,882</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277,315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259,683</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Operating right-of-use assets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82,980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88,730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63,952</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44,991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47,296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44,254</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3,530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6,342</w:t>
            </w:r>
          </w:p>
        </w:tc>
        <w:tc>
          <w:tcPr>
            <w:tcW w:w="0" w:type="dxa"/>
            <w:vAlign w:val="bottom"/>
          </w:tcPr>
          <w:p>
            <w:pPr>
              <w:spacing w:after="0"/>
              <w:rPr>
                <w:sz w:val="1"/>
                <w:szCs w:val="1"/>
                <w:color w:val="auto"/>
              </w:rPr>
            </w:pPr>
          </w:p>
        </w:tc>
      </w:tr>
      <w:tr>
        <w:trPr>
          <w:trHeight w:val="206"/>
        </w:trPr>
        <w:tc>
          <w:tcPr>
            <w:tcW w:w="8240" w:type="dxa"/>
            <w:vAlign w:val="bottom"/>
          </w:tcPr>
          <w:p>
            <w:pPr>
              <w:ind w:left="48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520,742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513,787</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Redeemable Noncontrolling Interest, and Shareholders’ Equity</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27,093</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Accrued employment costs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13,648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Short-term operating lease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22,321</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Other accrued liabilities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14,043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payable</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6"/>
        </w:trPr>
        <w:tc>
          <w:tcPr>
            <w:tcW w:w="824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78,538</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77,426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91,536</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162,593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169,071</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29,809</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5,000 shares authorized, no shares issued or outstanding</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240" w:type="dxa"/>
            <w:vAlign w:val="bottom"/>
          </w:tcPr>
          <w:p>
            <w:pPr>
              <w:ind w:left="220"/>
              <w:spacing w:after="0" w:line="166" w:lineRule="exact"/>
              <w:rPr>
                <w:sz w:val="20"/>
                <w:szCs w:val="20"/>
                <w:color w:val="auto"/>
              </w:rPr>
            </w:pPr>
            <w:r>
              <w:rPr>
                <w:rFonts w:ascii="Arial" w:cs="Arial" w:eastAsia="Arial" w:hAnsi="Arial"/>
                <w:sz w:val="16"/>
                <w:szCs w:val="16"/>
                <w:color w:val="auto"/>
                <w:w w:val="94"/>
              </w:rPr>
              <w:t>Common stock, without par value; 200,000 shares authorized, 42,429 and 41,808 shares issued and 33,822 and 33,414</w:t>
            </w:r>
          </w:p>
        </w:tc>
        <w:tc>
          <w:tcPr>
            <w:tcW w:w="24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240" w:type="dxa"/>
            <w:vAlign w:val="bottom"/>
          </w:tcPr>
          <w:p>
            <w:pPr>
              <w:ind w:left="220"/>
              <w:spacing w:after="0"/>
              <w:rPr>
                <w:sz w:val="20"/>
                <w:szCs w:val="20"/>
                <w:color w:val="auto"/>
              </w:rPr>
            </w:pPr>
            <w:r>
              <w:rPr>
                <w:rFonts w:ascii="Arial" w:cs="Arial" w:eastAsia="Arial" w:hAnsi="Arial"/>
                <w:sz w:val="16"/>
                <w:szCs w:val="16"/>
                <w:color w:val="auto"/>
              </w:rPr>
              <w:t>shares outstanding, respectively</w:t>
            </w:r>
          </w:p>
        </w:tc>
        <w:tc>
          <w:tcPr>
            <w:tcW w:w="2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paid-in-capital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105,433</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329,209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316,526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 income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Treasury stock</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(109,178)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(107,060)</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shareholders’ equity of Vera Bradley, Inc.</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327,448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314,907</w:t>
            </w:r>
          </w:p>
        </w:tc>
        <w:tc>
          <w:tcPr>
            <w:tcW w:w="0" w:type="dxa"/>
            <w:vAlign w:val="bottom"/>
          </w:tcPr>
          <w:p>
            <w:pPr>
              <w:spacing w:after="0"/>
              <w:rPr>
                <w:sz w:val="1"/>
                <w:szCs w:val="1"/>
                <w:color w:val="auto"/>
              </w:rPr>
            </w:pPr>
          </w:p>
        </w:tc>
      </w:tr>
      <w:tr>
        <w:trPr>
          <w:trHeight w:val="206"/>
        </w:trPr>
        <w:tc>
          <w:tcPr>
            <w:tcW w:w="8240" w:type="dxa"/>
            <w:vAlign w:val="bottom"/>
          </w:tcPr>
          <w:p>
            <w:pPr>
              <w:ind w:left="480"/>
              <w:spacing w:after="0"/>
              <w:rPr>
                <w:sz w:val="20"/>
                <w:szCs w:val="20"/>
                <w:color w:val="auto"/>
              </w:rPr>
            </w:pPr>
            <w:r>
              <w:rPr>
                <w:rFonts w:ascii="Arial" w:cs="Arial" w:eastAsia="Arial" w:hAnsi="Arial"/>
                <w:sz w:val="16"/>
                <w:szCs w:val="16"/>
                <w:color w:val="auto"/>
              </w:rPr>
              <w:t>Total liabilities, redeemable noncontrolling interest, and shareholders’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520,742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513,787</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54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6"/>
                <w:szCs w:val="16"/>
                <w:color w:val="auto"/>
              </w:rPr>
            </w:pPr>
          </w:p>
        </w:tc>
        <w:tc>
          <w:tcPr>
            <w:tcW w:w="274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4"/>
        </w:trPr>
        <w:tc>
          <w:tcPr>
            <w:tcW w:w="5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October 30,</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252"/>
              <w:spacing w:after="0" w:line="135" w:lineRule="exact"/>
              <w:rPr>
                <w:sz w:val="20"/>
                <w:szCs w:val="20"/>
                <w:color w:val="auto"/>
              </w:rPr>
            </w:pPr>
            <w:r>
              <w:rPr>
                <w:rFonts w:ascii="Arial" w:cs="Arial" w:eastAsia="Arial" w:hAnsi="Arial"/>
                <w:sz w:val="14"/>
                <w:szCs w:val="14"/>
                <w:b w:val="1"/>
                <w:bCs w:val="1"/>
                <w:color w:val="auto"/>
              </w:rPr>
              <w:t>October 31,</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October 30,</w:t>
            </w: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272"/>
              <w:spacing w:after="0" w:line="135" w:lineRule="exact"/>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88"/>
        </w:trPr>
        <w:tc>
          <w:tcPr>
            <w:tcW w:w="5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325,903</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138,263</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187,640</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64,458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61,703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194,083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183,640</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522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23"/>
        </w:trPr>
        <w:tc>
          <w:tcPr>
            <w:tcW w:w="5220" w:type="dxa"/>
            <w:vAlign w:val="bottom"/>
          </w:tcPr>
          <w:p>
            <w:pPr>
              <w:ind w:left="2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23"/>
        </w:trPr>
        <w:tc>
          <w:tcPr>
            <w:tcW w:w="52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Less: Net income attributable to redeemable 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23"/>
        </w:trPr>
        <w:tc>
          <w:tcPr>
            <w:tcW w:w="5220" w:type="dxa"/>
            <w:vAlign w:val="bottom"/>
          </w:tcPr>
          <w:p>
            <w:pPr>
              <w:ind w:left="220"/>
              <w:spacing w:after="0"/>
              <w:rPr>
                <w:sz w:val="20"/>
                <w:szCs w:val="20"/>
                <w:color w:val="auto"/>
              </w:rPr>
            </w:pPr>
            <w:r>
              <w:rPr>
                <w:rFonts w:ascii="Arial" w:cs="Arial" w:eastAsia="Arial" w:hAnsi="Arial"/>
                <w:sz w:val="18"/>
                <w:szCs w:val="18"/>
                <w:color w:val="auto"/>
              </w:rPr>
              <w:t>Net income attributable to Vera Bradley, Inc.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Basic weighted-average shares outstanding</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33,964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33,852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33,382</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33,789</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Basic net income per share available to Vera Bradley, Inc. common</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w:t>
            </w:r>
          </w:p>
        </w:tc>
        <w:tc>
          <w:tcPr>
            <w:tcW w:w="2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20" w:type="dxa"/>
            <w:vAlign w:val="bottom"/>
          </w:tcPr>
          <w:p>
            <w:pPr>
              <w:ind w:left="20"/>
              <w:spacing w:after="0" w:line="176" w:lineRule="exact"/>
              <w:rPr>
                <w:sz w:val="20"/>
                <w:szCs w:val="20"/>
                <w:color w:val="auto"/>
              </w:rPr>
            </w:pPr>
            <w:r>
              <w:rPr>
                <w:rFonts w:ascii="Arial" w:cs="Arial" w:eastAsia="Arial" w:hAnsi="Arial"/>
                <w:sz w:val="18"/>
                <w:szCs w:val="18"/>
                <w:color w:val="auto"/>
                <w:w w:val="94"/>
              </w:rPr>
              <w:t>Diluted net income per share available to Vera Bradley, Inc. common</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shareholders</w:t>
            </w:r>
          </w:p>
        </w:tc>
        <w:tc>
          <w:tcPr>
            <w:tcW w:w="22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54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6"/>
                <w:szCs w:val="16"/>
                <w:color w:val="auto"/>
              </w:rPr>
            </w:pPr>
          </w:p>
        </w:tc>
        <w:tc>
          <w:tcPr>
            <w:tcW w:w="272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October 30,</w:t>
            </w: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255"/>
              <w:spacing w:after="0" w:line="135" w:lineRule="exact"/>
              <w:rPr>
                <w:sz w:val="20"/>
                <w:szCs w:val="20"/>
                <w:color w:val="auto"/>
              </w:rPr>
            </w:pPr>
            <w:r>
              <w:rPr>
                <w:rFonts w:ascii="Arial" w:cs="Arial" w:eastAsia="Arial" w:hAnsi="Arial"/>
                <w:sz w:val="14"/>
                <w:szCs w:val="14"/>
                <w:b w:val="1"/>
                <w:bCs w:val="1"/>
                <w:color w:val="auto"/>
              </w:rPr>
              <w:t>October 31,</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October 30,</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255"/>
              <w:spacing w:after="0" w:line="135" w:lineRule="exact"/>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88"/>
        </w:trPr>
        <w:tc>
          <w:tcPr>
            <w:tcW w:w="5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Unrealized loss on available-for-sale debt investments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translation adjustment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5240" w:type="dxa"/>
            <w:vAlign w:val="bottom"/>
          </w:tcPr>
          <w:p>
            <w:pPr>
              <w:ind w:left="220"/>
              <w:spacing w:after="0"/>
              <w:rPr>
                <w:sz w:val="20"/>
                <w:szCs w:val="20"/>
                <w:color w:val="auto"/>
              </w:rPr>
            </w:pPr>
            <w:r>
              <w:rPr>
                <w:rFonts w:ascii="Arial" w:cs="Arial" w:eastAsia="Arial" w:hAnsi="Arial"/>
                <w:sz w:val="18"/>
                <w:szCs w:val="18"/>
                <w:color w:val="auto"/>
              </w:rPr>
              <w:t>Comprehensive income, net of tax</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Less: Comprehensive income attributable to redeemable</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20"/>
              <w:spacing w:after="0"/>
              <w:rPr>
                <w:sz w:val="20"/>
                <w:szCs w:val="20"/>
                <w:color w:val="auto"/>
              </w:rPr>
            </w:pPr>
            <w:r>
              <w:rPr>
                <w:rFonts w:ascii="Arial" w:cs="Arial" w:eastAsia="Arial" w:hAnsi="Arial"/>
                <w:sz w:val="18"/>
                <w:szCs w:val="18"/>
                <w:color w:val="auto"/>
              </w:rPr>
              <w:t>Comprehensive income attributable to Vera Bradley, Inc.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24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52"/>
              <w:spacing w:after="0" w:line="122"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9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Other</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1"/>
                <w:szCs w:val="11"/>
                <w:color w:val="auto"/>
              </w:rPr>
            </w:pPr>
          </w:p>
        </w:tc>
        <w:tc>
          <w:tcPr>
            <w:tcW w:w="760" w:type="dxa"/>
            <w:vAlign w:val="bottom"/>
          </w:tcPr>
          <w:p>
            <w:pPr>
              <w:jc w:val="center"/>
              <w:ind w:right="52"/>
              <w:spacing w:after="0" w:line="135" w:lineRule="exact"/>
              <w:rPr>
                <w:sz w:val="20"/>
                <w:szCs w:val="20"/>
                <w:color w:val="auto"/>
              </w:rPr>
            </w:pPr>
            <w:r>
              <w:rPr>
                <w:rFonts w:ascii="Arial" w:cs="Arial" w:eastAsia="Arial" w:hAnsi="Arial"/>
                <w:sz w:val="14"/>
                <w:szCs w:val="14"/>
                <w:b w:val="1"/>
                <w:bCs w:val="1"/>
                <w:color w:val="auto"/>
                <w:w w:val="96"/>
              </w:rPr>
              <w:t>Equity of</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8"/>
              </w:rPr>
              <w:t>Comprehensive</w:t>
            </w:r>
          </w:p>
        </w:tc>
        <w:tc>
          <w:tcPr>
            <w:tcW w:w="940" w:type="dxa"/>
            <w:vAlign w:val="bottom"/>
            <w:gridSpan w:val="2"/>
            <w:vMerge w:val="continue"/>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6"/>
              </w:rPr>
              <w:t>Vera Bradley,</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940" w:type="dxa"/>
            <w:vAlign w:val="bottom"/>
            <w:gridSpan w:val="2"/>
          </w:tcPr>
          <w:p>
            <w:pPr>
              <w:ind w:left="2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760" w:type="dxa"/>
            <w:vAlign w:val="bottom"/>
          </w:tcPr>
          <w:p>
            <w:pPr>
              <w:jc w:val="center"/>
              <w:ind w:right="72"/>
              <w:spacing w:after="0"/>
              <w:rPr>
                <w:sz w:val="20"/>
                <w:szCs w:val="20"/>
                <w:color w:val="auto"/>
              </w:rPr>
            </w:pPr>
            <w:r>
              <w:rPr>
                <w:rFonts w:ascii="Arial" w:cs="Arial" w:eastAsia="Arial" w:hAnsi="Arial"/>
                <w:sz w:val="14"/>
                <w:szCs w:val="14"/>
                <w:b w:val="1"/>
                <w:bCs w:val="1"/>
                <w:color w:val="auto"/>
                <w:w w:val="99"/>
              </w:rPr>
              <w:t>Inc.</w:t>
            </w:r>
          </w:p>
        </w:tc>
        <w:tc>
          <w:tcPr>
            <w:tcW w:w="0" w:type="dxa"/>
            <w:vAlign w:val="bottom"/>
          </w:tcPr>
          <w:p>
            <w:pPr>
              <w:spacing w:after="0"/>
              <w:rPr>
                <w:sz w:val="1"/>
                <w:szCs w:val="1"/>
                <w:color w:val="auto"/>
              </w:rPr>
            </w:pPr>
          </w:p>
        </w:tc>
      </w:tr>
      <w:tr>
        <w:trPr>
          <w:trHeight w:val="224"/>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30,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33,414,490</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8,393,207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105,433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316,526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(107,060)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314,907</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Net loss attributable to Vera Bradley, Inc.</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w w:val="97"/>
              </w:rPr>
              <w:t>Unrealized loss on available-for-sale debt investments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9"/>
              </w:rPr>
              <w:t>Restricted shares vested, net of repurchase for taxes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570,562</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May 1,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33,985,052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8,393,207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105,076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314,381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(107,060)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312,397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Net income attributable to Vera Bradley, Inc.</w:t>
            </w:r>
          </w:p>
        </w:tc>
        <w:tc>
          <w:tcPr>
            <w:tcW w:w="10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Borders>
              <w:top w:val="single" w:sz="8" w:color="CCEEFF"/>
            </w:tcBorders>
            <w:vMerge w:val="continue"/>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9,050</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60" w:type="dxa"/>
            <w:vAlign w:val="bottom"/>
            <w:tcBorders>
              <w:top w:val="single" w:sz="8" w:color="auto"/>
            </w:tcBorders>
          </w:tcPr>
          <w:p>
            <w:pPr>
              <w:ind w:left="60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9,050</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w w:val="97"/>
              </w:rPr>
              <w:t>Unrealized loss on available-for-sale debt investments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9"/>
              </w:rPr>
              <w:t>Restricted shares vested, net of repurchase for taxes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36,278</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July 31,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34,021,330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8,393,207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106,455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323,431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(107,060)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322,822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Net income attributable to Vera Bradley, Inc.</w:t>
            </w:r>
          </w:p>
        </w:tc>
        <w:tc>
          <w:tcPr>
            <w:tcW w:w="10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Borders>
              <w:top w:val="single" w:sz="8" w:color="CCEEFF"/>
            </w:tcBorders>
            <w:vMerge w:val="continue"/>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5,778</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60" w:type="dxa"/>
            <w:vAlign w:val="bottom"/>
            <w:tcBorders>
              <w:top w:val="single" w:sz="8" w:color="auto"/>
            </w:tcBorders>
          </w:tcPr>
          <w:p>
            <w:pPr>
              <w:ind w:left="60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5,778</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w w:val="97"/>
              </w:rPr>
              <w:t>Unrealized loss on available-for-sale debt investments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9"/>
              </w:rPr>
              <w:t>Restricted shares vested, net of repurchase for taxes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14,634</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purchased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(214,030)</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b w:val="1"/>
                <w:bCs w:val="1"/>
                <w:color w:val="auto"/>
              </w:rPr>
              <w:t>Balance at October 30, 2021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33,821,934</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8,607,237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107,427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329,209</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(109,178)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327,448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24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52"/>
              <w:spacing w:after="0" w:line="122"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9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Other</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1"/>
                <w:szCs w:val="11"/>
                <w:color w:val="auto"/>
              </w:rPr>
            </w:pPr>
          </w:p>
        </w:tc>
        <w:tc>
          <w:tcPr>
            <w:tcW w:w="760" w:type="dxa"/>
            <w:vAlign w:val="bottom"/>
          </w:tcPr>
          <w:p>
            <w:pPr>
              <w:jc w:val="center"/>
              <w:ind w:right="52"/>
              <w:spacing w:after="0" w:line="135" w:lineRule="exact"/>
              <w:rPr>
                <w:sz w:val="20"/>
                <w:szCs w:val="20"/>
                <w:color w:val="auto"/>
              </w:rPr>
            </w:pPr>
            <w:r>
              <w:rPr>
                <w:rFonts w:ascii="Arial" w:cs="Arial" w:eastAsia="Arial" w:hAnsi="Arial"/>
                <w:sz w:val="14"/>
                <w:szCs w:val="14"/>
                <w:b w:val="1"/>
                <w:bCs w:val="1"/>
                <w:color w:val="auto"/>
                <w:w w:val="96"/>
              </w:rPr>
              <w:t>Equity of</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8"/>
              </w:rPr>
              <w:t>Comprehensive</w:t>
            </w:r>
          </w:p>
        </w:tc>
        <w:tc>
          <w:tcPr>
            <w:tcW w:w="940" w:type="dxa"/>
            <w:vAlign w:val="bottom"/>
            <w:gridSpan w:val="2"/>
            <w:vMerge w:val="continue"/>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6"/>
              </w:rPr>
              <w:t>Vera Bradley,</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940" w:type="dxa"/>
            <w:vAlign w:val="bottom"/>
            <w:gridSpan w:val="2"/>
          </w:tcPr>
          <w:p>
            <w:pPr>
              <w:ind w:left="2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760" w:type="dxa"/>
            <w:vAlign w:val="bottom"/>
          </w:tcPr>
          <w:p>
            <w:pPr>
              <w:jc w:val="center"/>
              <w:ind w:right="72"/>
              <w:spacing w:after="0"/>
              <w:rPr>
                <w:sz w:val="20"/>
                <w:szCs w:val="20"/>
                <w:color w:val="auto"/>
              </w:rPr>
            </w:pPr>
            <w:r>
              <w:rPr>
                <w:rFonts w:ascii="Arial" w:cs="Arial" w:eastAsia="Arial" w:hAnsi="Arial"/>
                <w:sz w:val="14"/>
                <w:szCs w:val="14"/>
                <w:b w:val="1"/>
                <w:bCs w:val="1"/>
                <w:color w:val="auto"/>
                <w:w w:val="99"/>
              </w:rPr>
              <w:t>Inc.</w:t>
            </w:r>
          </w:p>
        </w:tc>
        <w:tc>
          <w:tcPr>
            <w:tcW w:w="0" w:type="dxa"/>
            <w:vAlign w:val="bottom"/>
          </w:tcPr>
          <w:p>
            <w:pPr>
              <w:spacing w:after="0"/>
              <w:rPr>
                <w:sz w:val="1"/>
                <w:szCs w:val="1"/>
                <w:color w:val="auto"/>
              </w:rPr>
            </w:pPr>
          </w:p>
        </w:tc>
      </w:tr>
      <w:tr>
        <w:trPr>
          <w:trHeight w:val="224"/>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February 1,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33,503,249</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8,011,372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100,357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307,414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(104,159)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303,770</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Net loss attributable to Vera Bradley, Inc.</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(15,337)</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w w:val="97"/>
              </w:rPr>
              <w:t>Unrealized loss on available-for-sale debt investments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9"/>
              </w:rPr>
              <w:t>Restricted shares vested, net of repurchase for taxes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277,687</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purchased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(381,835)</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176"/>
        </w:trPr>
        <w:tc>
          <w:tcPr>
            <w:tcW w:w="4240" w:type="dxa"/>
            <w:vAlign w:val="bottom"/>
          </w:tcPr>
          <w:p>
            <w:pPr>
              <w:spacing w:after="0" w:line="176" w:lineRule="exact"/>
              <w:rPr>
                <w:sz w:val="20"/>
                <w:szCs w:val="20"/>
                <w:color w:val="auto"/>
              </w:rPr>
            </w:pPr>
            <w:r>
              <w:rPr>
                <w:rFonts w:ascii="Arial" w:cs="Arial" w:eastAsia="Arial" w:hAnsi="Arial"/>
                <w:sz w:val="18"/>
                <w:szCs w:val="18"/>
                <w:color w:val="auto"/>
                <w:w w:val="99"/>
              </w:rPr>
              <w:t>Redeemable noncontrolling interest redemption value</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(9,305)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(9,305)</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adjustment</w:t>
            </w:r>
          </w:p>
        </w:tc>
        <w:tc>
          <w:tcPr>
            <w:tcW w:w="104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May 2, 2020</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33,399,101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8,393,207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99,879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282,772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(107,060)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275,574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Net income attributable to Vera Bradley, Inc.</w:t>
            </w:r>
          </w:p>
        </w:tc>
        <w:tc>
          <w:tcPr>
            <w:tcW w:w="10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Borders>
              <w:top w:val="single" w:sz="8" w:color="CCEEFF"/>
            </w:tcBorders>
            <w:vMerge w:val="continue"/>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7,216</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60" w:type="dxa"/>
            <w:vAlign w:val="bottom"/>
            <w:tcBorders>
              <w:top w:val="single" w:sz="8" w:color="auto"/>
            </w:tcBorders>
          </w:tcPr>
          <w:p>
            <w:pPr>
              <w:ind w:left="60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7,216</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w w:val="97"/>
              </w:rPr>
              <w:t>Unrealized gain on available-for-sale debt investments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9"/>
              </w:rPr>
              <w:t>Restricted shares vested, net of repurchase for taxes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9"/>
              </w:rPr>
              <w:t>Redeemable noncontrolling interest redemption value</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9,736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9,736</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104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b w:val="1"/>
                <w:bCs w:val="1"/>
                <w:color w:val="auto"/>
              </w:rPr>
              <w:t>Balance at August 1, 2020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33,409,326</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8,393,207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101,112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299,724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(107,060)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293,774</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Vera Bradley, Inc.</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8,874</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7"/>
              </w:rPr>
              <w:t>Unrealized loss on available-for-sale debt investments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w w:val="99"/>
              </w:rPr>
              <w:t>Restricted shares vested, net of repurchase for taxes</w:t>
            </w:r>
          </w:p>
        </w:tc>
        <w:tc>
          <w:tcPr>
            <w:tcW w:w="960" w:type="dxa"/>
            <w:vAlign w:val="bottom"/>
          </w:tcPr>
          <w:p>
            <w:pPr>
              <w:jc w:val="right"/>
              <w:spacing w:after="0"/>
              <w:rPr>
                <w:sz w:val="20"/>
                <w:szCs w:val="20"/>
                <w:color w:val="auto"/>
              </w:rPr>
            </w:pPr>
            <w:r>
              <w:rPr>
                <w:rFonts w:ascii="Arial" w:cs="Arial" w:eastAsia="Arial" w:hAnsi="Arial"/>
                <w:sz w:val="18"/>
                <w:szCs w:val="18"/>
                <w:color w:val="auto"/>
              </w:rPr>
              <w:t>5,164</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b w:val="1"/>
                <w:bCs w:val="1"/>
                <w:color w:val="auto"/>
              </w:rPr>
              <w:t>Balance at October 31, 2020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33,414,490</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8,393,207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103,282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308,598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(107,060)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304,828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Thirty-Nine Weeks Ended</w:t>
            </w:r>
          </w:p>
        </w:tc>
      </w:tr>
      <w:tr>
        <w:trPr>
          <w:trHeight w:val="135"/>
        </w:trPr>
        <w:tc>
          <w:tcPr>
            <w:tcW w:w="8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October 30,</w:t>
            </w:r>
          </w:p>
        </w:tc>
        <w:tc>
          <w:tcPr>
            <w:tcW w:w="220" w:type="dxa"/>
            <w:vAlign w:val="bottom"/>
          </w:tcPr>
          <w:p>
            <w:pPr>
              <w:spacing w:after="0"/>
              <w:rPr>
                <w:sz w:val="11"/>
                <w:szCs w:val="11"/>
                <w:color w:val="auto"/>
              </w:rPr>
            </w:pPr>
          </w:p>
        </w:tc>
        <w:tc>
          <w:tcPr>
            <w:tcW w:w="1220" w:type="dxa"/>
            <w:vAlign w:val="bottom"/>
          </w:tcPr>
          <w:p>
            <w:pPr>
              <w:jc w:val="right"/>
              <w:ind w:right="288"/>
              <w:spacing w:after="0" w:line="135" w:lineRule="exact"/>
              <w:rPr>
                <w:sz w:val="20"/>
                <w:szCs w:val="20"/>
                <w:color w:val="auto"/>
              </w:rPr>
            </w:pPr>
            <w:r>
              <w:rPr>
                <w:rFonts w:ascii="Arial" w:cs="Arial" w:eastAsia="Arial" w:hAnsi="Arial"/>
                <w:sz w:val="14"/>
                <w:szCs w:val="14"/>
                <w:b w:val="1"/>
                <w:bCs w:val="1"/>
                <w:color w:val="auto"/>
              </w:rPr>
              <w:t>October 31,</w:t>
            </w:r>
          </w:p>
        </w:tc>
      </w:tr>
      <w:tr>
        <w:trPr>
          <w:trHeight w:val="188"/>
        </w:trPr>
        <w:tc>
          <w:tcPr>
            <w:tcW w:w="8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r>
      <w:tr>
        <w:trPr>
          <w:trHeight w:val="170"/>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6"/>
        </w:trPr>
        <w:tc>
          <w:tcPr>
            <w:tcW w:w="8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14,565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1,764</w:t>
            </w:r>
          </w:p>
        </w:tc>
      </w:tr>
      <w:tr>
        <w:trPr>
          <w:trHeight w:val="19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Depreciation of property, plant, and equipment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6,769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10,808</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operating right-of-use assets</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16,051</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Impairment charges</w:t>
            </w:r>
          </w:p>
        </w:tc>
        <w:tc>
          <w:tcPr>
            <w:tcW w:w="22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3,806</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6,987</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Provision for doubtful accounts</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1,559</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3,487</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2,684</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investments</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Adjustment of earn-out liability</w:t>
            </w:r>
          </w:p>
        </w:tc>
        <w:tc>
          <w:tcPr>
            <w:tcW w:w="22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229</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non-cash gain, net</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Changes in assets and liabilities: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2"/>
        </w:trPr>
        <w:tc>
          <w:tcPr>
            <w:tcW w:w="8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receivable</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(14,289)</w:t>
            </w:r>
          </w:p>
        </w:tc>
      </w:tr>
      <w:tr>
        <w:trPr>
          <w:trHeight w:val="186"/>
        </w:trPr>
        <w:tc>
          <w:tcPr>
            <w:tcW w:w="8240" w:type="dxa"/>
            <w:vAlign w:val="bottom"/>
          </w:tcPr>
          <w:p>
            <w:pPr>
              <w:ind w:left="480"/>
              <w:spacing w:after="0"/>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(6,849)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(17,982)</w:t>
            </w:r>
          </w:p>
        </w:tc>
      </w:tr>
      <w:tr>
        <w:trPr>
          <w:trHeight w:val="192"/>
        </w:trPr>
        <w:tc>
          <w:tcPr>
            <w:tcW w:w="8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Prepaid expenses and other assets</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(3,965)</w:t>
            </w:r>
          </w:p>
        </w:tc>
      </w:tr>
      <w:tr>
        <w:trPr>
          <w:trHeight w:val="186"/>
        </w:trPr>
        <w:tc>
          <w:tcPr>
            <w:tcW w:w="8240" w:type="dxa"/>
            <w:vAlign w:val="bottom"/>
          </w:tcPr>
          <w:p>
            <w:pPr>
              <w:ind w:left="48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7,222</w:t>
            </w:r>
          </w:p>
        </w:tc>
      </w:tr>
      <w:tr>
        <w:trPr>
          <w:trHeight w:val="192"/>
        </w:trPr>
        <w:tc>
          <w:tcPr>
            <w:tcW w:w="8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Income taxes</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(4,364)</w:t>
            </w:r>
          </w:p>
        </w:tc>
      </w:tr>
      <w:tr>
        <w:trPr>
          <w:trHeight w:val="186"/>
        </w:trPr>
        <w:tc>
          <w:tcPr>
            <w:tcW w:w="8240" w:type="dxa"/>
            <w:vAlign w:val="bottom"/>
          </w:tcPr>
          <w:p>
            <w:pPr>
              <w:ind w:left="480"/>
              <w:spacing w:after="0"/>
              <w:rPr>
                <w:sz w:val="20"/>
                <w:szCs w:val="20"/>
                <w:color w:val="auto"/>
              </w:rPr>
            </w:pPr>
            <w:r>
              <w:rPr>
                <w:rFonts w:ascii="Arial" w:cs="Arial" w:eastAsia="Arial" w:hAnsi="Arial"/>
                <w:sz w:val="14"/>
                <w:szCs w:val="14"/>
                <w:color w:val="auto"/>
              </w:rPr>
              <w:t>Operating lease liabilities, net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(19,273)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(14,331)</w:t>
            </w:r>
          </w:p>
        </w:tc>
      </w:tr>
      <w:tr>
        <w:trPr>
          <w:trHeight w:val="192"/>
        </w:trPr>
        <w:tc>
          <w:tcPr>
            <w:tcW w:w="8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Accrued and other liabilities</w:t>
            </w:r>
          </w:p>
        </w:tc>
        <w:tc>
          <w:tcPr>
            <w:tcW w:w="2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1,973</w:t>
            </w:r>
          </w:p>
        </w:tc>
      </w:tr>
      <w:tr>
        <w:trPr>
          <w:trHeight w:val="17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19,211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1,630</w:t>
            </w:r>
          </w:p>
        </w:tc>
      </w:tr>
      <w:tr>
        <w:trPr>
          <w:trHeight w:val="17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Purchases of property, plant, and equipment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(5,178)</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investments</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Proceeds from maturities and sales of investments</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23,031</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received for business acquisition</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w:t>
            </w:r>
          </w:p>
        </w:tc>
      </w:tr>
      <w:tr>
        <w:trPr>
          <w:trHeight w:val="186"/>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Proceeds from disposal of property, plant, and equipment</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17,995</w:t>
            </w:r>
          </w:p>
        </w:tc>
      </w:tr>
      <w:tr>
        <w:trPr>
          <w:trHeight w:val="168"/>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0"/>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 withholdings for equity compensation</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Repurchase of common stock</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(3,077)</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Distributions to redeemable noncontrolling interest</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(1,483)</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Borrowings under asset-based revolving credit agreement</w:t>
            </w:r>
          </w:p>
        </w:tc>
        <w:tc>
          <w:tcPr>
            <w:tcW w:w="22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60,000</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Repayment of borrowings under asset-based revolving credit agreement</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Payment of contingent consideration for business acquisition</w:t>
            </w:r>
          </w:p>
        </w:tc>
        <w:tc>
          <w:tcPr>
            <w:tcW w:w="22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(18,677)</w:t>
            </w:r>
          </w:p>
        </w:tc>
      </w:tr>
      <w:tr>
        <w:trPr>
          <w:trHeight w:val="186"/>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(5,415)</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6,201</w:t>
            </w:r>
          </w:p>
        </w:tc>
      </w:tr>
      <w:tr>
        <w:trPr>
          <w:trHeight w:val="17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10,609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25,848</w:t>
            </w:r>
          </w:p>
        </w:tc>
      </w:tr>
      <w:tr>
        <w:trPr>
          <w:trHeight w:val="18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64,175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49,917</w:t>
            </w:r>
          </w:p>
        </w:tc>
      </w:tr>
      <w:tr>
        <w:trPr>
          <w:trHeight w:val="20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74,784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75,765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4"/>
        </w:trPr>
        <w:tc>
          <w:tcPr>
            <w:tcW w:w="8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October 30,</w:t>
            </w:r>
          </w:p>
        </w:tc>
        <w:tc>
          <w:tcPr>
            <w:tcW w:w="220" w:type="dxa"/>
            <w:vAlign w:val="bottom"/>
          </w:tcPr>
          <w:p>
            <w:pPr>
              <w:spacing w:after="0"/>
              <w:rPr>
                <w:sz w:val="11"/>
                <w:szCs w:val="11"/>
                <w:color w:val="auto"/>
              </w:rPr>
            </w:pPr>
          </w:p>
        </w:tc>
        <w:tc>
          <w:tcPr>
            <w:tcW w:w="1220" w:type="dxa"/>
            <w:vAlign w:val="bottom"/>
          </w:tcPr>
          <w:p>
            <w:pPr>
              <w:jc w:val="right"/>
              <w:ind w:right="288"/>
              <w:spacing w:after="0" w:line="135" w:lineRule="exact"/>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88"/>
        </w:trPr>
        <w:tc>
          <w:tcPr>
            <w:tcW w:w="8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200" w:type="dxa"/>
            <w:vAlign w:val="bottom"/>
          </w:tcPr>
          <w:p>
            <w:pPr>
              <w:ind w:left="20"/>
              <w:spacing w:after="0"/>
              <w:rPr>
                <w:sz w:val="20"/>
                <w:szCs w:val="20"/>
                <w:color w:val="auto"/>
              </w:rPr>
            </w:pPr>
            <w:r>
              <w:rPr>
                <w:rFonts w:ascii="Arial" w:cs="Arial" w:eastAsia="Arial" w:hAnsi="Arial"/>
                <w:sz w:val="14"/>
                <w:szCs w:val="14"/>
                <w:color w:val="auto"/>
              </w:rPr>
              <w:t>Cash paid for income taxes, net</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5,724</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3,152</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2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Supplemental disclosure of non-cash activity</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200" w:type="dxa"/>
            <w:vAlign w:val="bottom"/>
          </w:tcPr>
          <w:p>
            <w:pPr>
              <w:ind w:left="20"/>
              <w:spacing w:after="0"/>
              <w:rPr>
                <w:sz w:val="20"/>
                <w:szCs w:val="20"/>
                <w:color w:val="auto"/>
              </w:rPr>
            </w:pPr>
            <w:r>
              <w:rPr>
                <w:rFonts w:ascii="Arial" w:cs="Arial" w:eastAsia="Arial" w:hAnsi="Arial"/>
                <w:sz w:val="14"/>
                <w:szCs w:val="14"/>
                <w:color w:val="auto"/>
              </w:rPr>
              <w:t>Non-cash operating, investing, and financing activities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of common stock</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0" w:type="dxa"/>
            <w:vAlign w:val="bottom"/>
          </w:tcPr>
          <w:p>
            <w:pPr>
              <w:ind w:left="460"/>
              <w:spacing w:after="0"/>
              <w:rPr>
                <w:sz w:val="20"/>
                <w:szCs w:val="20"/>
                <w:color w:val="auto"/>
              </w:rPr>
            </w:pPr>
            <w:r>
              <w:rPr>
                <w:rFonts w:ascii="Arial" w:cs="Arial" w:eastAsia="Arial" w:hAnsi="Arial"/>
                <w:sz w:val="14"/>
                <w:szCs w:val="14"/>
                <w:color w:val="auto"/>
              </w:rPr>
              <w:t>Expenditures incurred but not yet paid as of October 30, 2021 and October 31, 2020</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Expenditures incurred but not yet paid as of January 30, 2021 and February 1, 2020</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4"/>
                <w:szCs w:val="14"/>
                <w:color w:val="auto"/>
              </w:rPr>
              <w:t>Purchases of property, plant, and equipment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2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8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Expenditures incurred but not yet paid as of October 30, 2021 and October 31, 2020</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4"/>
                <w:szCs w:val="14"/>
                <w:color w:val="auto"/>
              </w:rPr>
              <w:t>Expenditures incurred but not yet paid as of January 30, 2021 and February 1, 2020</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00" w:type="dxa"/>
            <w:vAlign w:val="bottom"/>
            <w:vMerge w:val="continue"/>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 to Note 3 herein for supplemental cash flow information regarding the Company’s leases.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 and Basis of Presentation</w:t>
      </w:r>
    </w:p>
    <w:p>
      <w:pPr>
        <w:spacing w:after="0" w:line="107" w:lineRule="exact"/>
        <w:rPr>
          <w:rFonts w:ascii="Arial" w:cs="Arial" w:eastAsia="Arial" w:hAnsi="Arial"/>
          <w:sz w:val="18"/>
          <w:szCs w:val="18"/>
          <w:b w:val="1"/>
          <w:bCs w:val="1"/>
          <w:color w:val="auto"/>
        </w:rPr>
      </w:pPr>
    </w:p>
    <w:p>
      <w:pPr>
        <w:ind w:left="66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term “Company” refers to Vera Bradley, Inc. and its wholly and majority owned subsidiaries, except where the context requires otherwise or where otherwise indicated.</w:t>
      </w:r>
    </w:p>
    <w:p>
      <w:pPr>
        <w:spacing w:after="0" w:line="35" w:lineRule="exact"/>
        <w:rPr>
          <w:rFonts w:ascii="Arial" w:cs="Arial" w:eastAsia="Arial" w:hAnsi="Arial"/>
          <w:sz w:val="18"/>
          <w:szCs w:val="18"/>
          <w:b w:val="1"/>
          <w:bCs w:val="1"/>
          <w:color w:val="auto"/>
        </w:rPr>
      </w:pPr>
    </w:p>
    <w:p>
      <w:pPr>
        <w:ind w:left="6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Vera Bradley, Inc. operates two unique lifestyle brands – Vera Bradley and Pura Vida. We believe Vera Bradley and Pura Vida are complementary businesses, both with devoted, emotionally-connected, and multi-generational female customer bases; alignment as causal, comfortable, affordable, and fun brands; positioning as “gifting” and socially-connected brands; strong, entrepreneurial cultures; a keen focus on community, charity, and social consciousness; multi-channel distribution strategies; and talented leadership teams aligned and committed to the long-term success of their brands.</w:t>
      </w:r>
    </w:p>
    <w:p>
      <w:pPr>
        <w:spacing w:after="0" w:line="66" w:lineRule="exact"/>
        <w:rPr>
          <w:rFonts w:ascii="Arial" w:cs="Arial" w:eastAsia="Arial" w:hAnsi="Arial"/>
          <w:sz w:val="18"/>
          <w:szCs w:val="18"/>
          <w:b w:val="1"/>
          <w:bCs w:val="1"/>
          <w:color w:val="auto"/>
        </w:rPr>
      </w:pPr>
    </w:p>
    <w:p>
      <w:pPr>
        <w:ind w:left="660" w:right="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62" w:lineRule="exact"/>
        <w:rPr>
          <w:rFonts w:ascii="Arial" w:cs="Arial" w:eastAsia="Arial" w:hAnsi="Arial"/>
          <w:sz w:val="18"/>
          <w:szCs w:val="18"/>
          <w:b w:val="1"/>
          <w:bCs w:val="1"/>
          <w:color w:val="auto"/>
        </w:rPr>
      </w:pPr>
    </w:p>
    <w:p>
      <w:pPr>
        <w:ind w:left="660" w:right="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In July 2019, Vera Bradley, Inc. acquired a 75% interest in Creative Genius, Inc., which also operates under the name Pura Vida Bracelets (“Pura Vida”). Pura Vida, based in La Jolla, California, is a rapidly growing, digitally native lifestyle brand that we believe deeply resonates with its loyal consumer following. The Pura Vida brand has a differentiated and expanding offering of bracelets, jewelry, and other lifestyle accessories.</w:t>
      </w:r>
    </w:p>
    <w:p>
      <w:pPr>
        <w:spacing w:after="0" w:line="1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Company has three reportable segments: Vera Bradley Direct (“VB Direct”), Vera Bradley Indirect (“VB Indirect”), and Pura Vida.</w:t>
      </w:r>
    </w:p>
    <w:p>
      <w:pPr>
        <w:spacing w:after="0" w:line="115" w:lineRule="exact"/>
        <w:rPr>
          <w:rFonts w:ascii="Arial" w:cs="Arial" w:eastAsia="Arial" w:hAnsi="Arial"/>
          <w:sz w:val="18"/>
          <w:szCs w:val="18"/>
          <w:b w:val="1"/>
          <w:bCs w:val="1"/>
          <w:color w:val="auto"/>
        </w:rPr>
      </w:pPr>
    </w:p>
    <w:p>
      <w:pPr>
        <w:ind w:left="980" w:right="200" w:hanging="324"/>
        <w:spacing w:after="0" w:line="259" w:lineRule="auto"/>
        <w:tabs>
          <w:tab w:leader="none" w:pos="975"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VB Direct business consists of sales of Vera Bradley products through Vera Bradley full-line and factory outlet stores in the United States; verabradley.com; the Vera Bradley online outlet site; and typically the Vera Bradley annual outlet sale in Fort Wayne, Indiana. As of October 30, 2021, the Company operated 72 full-line stores and 75 factory outlet stores. In light of the COVID-19 pandemic, the Company cancelled its calendar year 2021 and 2020 annual outlet sales.</w:t>
      </w:r>
    </w:p>
    <w:p>
      <w:pPr>
        <w:spacing w:after="0" w:line="65" w:lineRule="exact"/>
        <w:rPr>
          <w:rFonts w:ascii="Arial" w:cs="Arial" w:eastAsia="Arial" w:hAnsi="Arial"/>
          <w:sz w:val="18"/>
          <w:szCs w:val="18"/>
          <w:color w:val="auto"/>
        </w:rPr>
      </w:pPr>
    </w:p>
    <w:p>
      <w:pPr>
        <w:ind w:left="980" w:right="300" w:hanging="324"/>
        <w:spacing w:after="0" w:line="286" w:lineRule="auto"/>
        <w:tabs>
          <w:tab w:leader="none" w:pos="975"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VB Indirect business consists of sales of Vera Bradley products to approximately 2,000 specialty retail locations, substantially all of which are located in the United States, as well as department stores, national accounts, third-party e-commerce sites, third-party inventory liquidators, and royalties recognized through licensing agreements related to the Vera Bradley brand.</w:t>
      </w:r>
    </w:p>
    <w:p>
      <w:pPr>
        <w:spacing w:after="0" w:line="30" w:lineRule="exact"/>
        <w:rPr>
          <w:rFonts w:ascii="Arial" w:cs="Arial" w:eastAsia="Arial" w:hAnsi="Arial"/>
          <w:sz w:val="17"/>
          <w:szCs w:val="17"/>
          <w:color w:val="auto"/>
        </w:rPr>
      </w:pPr>
    </w:p>
    <w:p>
      <w:pPr>
        <w:ind w:left="980" w:right="20" w:hanging="324"/>
        <w:spacing w:after="0" w:line="286" w:lineRule="auto"/>
        <w:tabs>
          <w:tab w:leader="none" w:pos="975"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Pura Vida segment represents revenues generated through the Pura Vida websites, www.puravidabracelets.com, www.puravidabracelets.eu, and www.puravidabracelets.ca, the distribution of Pura Vida-branded products to wholesale retailers, substantially all of which are located in the United States, as well as through its first retail store which opened in August 2021.</w:t>
      </w:r>
    </w:p>
    <w:p>
      <w:pPr>
        <w:spacing w:after="0" w:line="44"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January 30, 2021, filed with the SEC.</w:t>
      </w:r>
    </w:p>
    <w:p>
      <w:pPr>
        <w:spacing w:after="0" w:line="71"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and thirty-nine weeks ended October 30, 2021, are not necessarily indicative of the results to be expected for the full fiscal year. Further, the Company cannot predict the future impact that the COVID-19 pandemic and related matters could have on its future liquidity, operating results, and financial condition, but it could have a significant adverse affect on these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its wholly owned subsidiaries, and its majority owned subsidiary, Pura Vida. The Company has eliminated intercompany balances and transactions in consolidation.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Fiscal Periods</w:t>
      </w:r>
    </w:p>
    <w:p>
      <w:pPr>
        <w:spacing w:after="0" w:line="108"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Company’s fiscal year ends on the Saturday closest to January 31. References to the fiscal quarters ended October 30, 2021 and October 31, 2020 refer to the thirteen week periods ended on those dates.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08" w:lineRule="exact"/>
        <w:rPr>
          <w:sz w:val="20"/>
          <w:szCs w:val="20"/>
          <w:color w:val="auto"/>
        </w:rPr>
      </w:pPr>
    </w:p>
    <w:p>
      <w:pPr>
        <w:ind w:left="660" w:right="120"/>
        <w:spacing w:after="0" w:line="275"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The amendments in this update remove certain exceptions to the general principals in Topic 740, as well as simplify GAAP for certain areas and improve consistency within the topic. This guidance is effective for interim and annual periods beginning on or after December 15, 2020 (fiscal 2022). Early adoption is permitted, with all amendments required to be adopted in the same period. The adoption of this standard in the first quarter of fiscal 2022 did not have a material impact on the Company's consolidated financial statements.</w:t>
      </w:r>
    </w:p>
    <w:p>
      <w:pPr>
        <w:spacing w:after="0" w:line="199"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5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Disaggregation of Revenue</w:t>
      </w:r>
    </w:p>
    <w:p>
      <w:pPr>
        <w:spacing w:after="0" w:line="10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following presents the Company's net revenues disaggregated by product category for the thirteen and thirty-nine weeks ended October 30,</w:t>
      </w:r>
    </w:p>
    <w:p>
      <w:pPr>
        <w:spacing w:after="0" w:line="4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2021 and October 31, 2020 (in thousands):</w:t>
      </w:r>
    </w:p>
    <w:p>
      <w:pPr>
        <w:spacing w:after="0" w:line="10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Thirteen Weeks Ended</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October 30, 2021</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64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197"/>
              <w:spacing w:after="0" w:line="130" w:lineRule="exact"/>
              <w:rPr>
                <w:sz w:val="20"/>
                <w:szCs w:val="20"/>
                <w:color w:val="auto"/>
              </w:rPr>
            </w:pPr>
            <w:r>
              <w:rPr>
                <w:rFonts w:ascii="Arial" w:cs="Arial" w:eastAsia="Arial" w:hAnsi="Arial"/>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6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Bags</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36,466</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9,892</w:t>
            </w:r>
          </w:p>
        </w:tc>
        <w:tc>
          <w:tcPr>
            <w:tcW w:w="320" w:type="dxa"/>
            <w:vAlign w:val="bottom"/>
          </w:tcPr>
          <w:p>
            <w:pPr>
              <w:spacing w:after="0"/>
              <w:rPr>
                <w:sz w:val="19"/>
                <w:szCs w:val="19"/>
                <w:color w:val="auto"/>
              </w:rPr>
            </w:pPr>
          </w:p>
        </w:tc>
        <w:tc>
          <w:tcPr>
            <w:tcW w:w="640" w:type="dxa"/>
            <w:vAlign w:val="bottom"/>
          </w:tcPr>
          <w:p>
            <w:pPr>
              <w:jc w:val="right"/>
              <w:ind w:right="43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261</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46,619</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17,856</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21,539</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16,513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3,243</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25,193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44,949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11,179</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line="230" w:lineRule="exact"/>
              <w:rPr>
                <w:sz w:val="20"/>
                <w:szCs w:val="20"/>
                <w:color w:val="auto"/>
              </w:rPr>
            </w:pPr>
            <w:r>
              <w:rPr>
                <w:rFonts w:ascii="Arial" w:cs="Arial" w:eastAsia="Arial" w:hAnsi="Arial"/>
                <w:sz w:val="18"/>
                <w:szCs w:val="18"/>
                <w:color w:val="auto"/>
              </w:rPr>
              <w:t>Apparel/Footwear</w:t>
            </w:r>
            <w:r>
              <w:rPr>
                <w:rFonts w:ascii="Arial" w:cs="Arial" w:eastAsia="Arial" w:hAnsi="Arial"/>
                <w:sz w:val="23"/>
                <w:szCs w:val="23"/>
                <w:color w:val="auto"/>
                <w:vertAlign w:val="superscript"/>
              </w:rPr>
              <w:t>(6)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4,583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1,115</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6,704</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86,646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(4)</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20,913</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4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27,176</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134,735</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Primarily includes net revenues from stationery, freight, and gift card breakage.</w:t>
      </w:r>
    </w:p>
    <w:p>
      <w:pPr>
        <w:spacing w:after="0" w:line="23" w:lineRule="exact"/>
        <w:rPr>
          <w:rFonts w:ascii="Arial" w:cs="Arial" w:eastAsia="Arial" w:hAnsi="Arial"/>
          <w:sz w:val="18"/>
          <w:szCs w:val="18"/>
          <w:color w:val="auto"/>
        </w:rPr>
      </w:pPr>
    </w:p>
    <w:p>
      <w:pPr>
        <w:ind w:left="920" w:hanging="24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and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Related to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22" w:lineRule="exact"/>
        <w:rPr>
          <w:rFonts w:ascii="Arial" w:cs="Arial" w:eastAsia="Arial" w:hAnsi="Arial"/>
          <w:sz w:val="18"/>
          <w:szCs w:val="18"/>
          <w:color w:val="auto"/>
        </w:rPr>
      </w:pPr>
    </w:p>
    <w:p>
      <w:pPr>
        <w:ind w:left="680" w:right="840" w:hanging="6"/>
        <w:spacing w:after="0" w:line="234" w:lineRule="auto"/>
        <w:tabs>
          <w:tab w:leader="none" w:pos="935" w:val="left"/>
        </w:tabs>
        <w:numPr>
          <w:ilvl w:val="0"/>
          <w:numId w:val="6"/>
        </w:numPr>
        <w:rPr>
          <w:rFonts w:ascii="Arial" w:cs="Arial" w:eastAsia="Arial" w:hAnsi="Arial"/>
          <w:sz w:val="18"/>
          <w:szCs w:val="18"/>
          <w:color w:val="auto"/>
        </w:rPr>
      </w:pPr>
      <w:r>
        <w:rPr>
          <w:rFonts w:ascii="Arial" w:cs="Arial" w:eastAsia="Arial" w:hAnsi="Arial"/>
          <w:sz w:val="18"/>
          <w:szCs w:val="18"/>
          <w:color w:val="auto"/>
        </w:rPr>
        <w:t>$20.2 million of net revenues related to product sales recognized at a point in time and $0.7 million of net revenues related to sales-based royalties recognized over time.</w:t>
      </w:r>
    </w:p>
    <w:p>
      <w:pPr>
        <w:spacing w:after="0" w:line="1" w:lineRule="exact"/>
        <w:rPr>
          <w:rFonts w:ascii="Arial" w:cs="Arial" w:eastAsia="Arial" w:hAnsi="Arial"/>
          <w:sz w:val="18"/>
          <w:szCs w:val="18"/>
          <w:color w:val="auto"/>
        </w:rPr>
      </w:pPr>
    </w:p>
    <w:p>
      <w:pPr>
        <w:ind w:left="920" w:hanging="24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mask sales.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Thirteen Weeks Ended</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October 31, 2020</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64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197"/>
              <w:spacing w:after="0" w:line="130" w:lineRule="exact"/>
              <w:rPr>
                <w:sz w:val="20"/>
                <w:szCs w:val="20"/>
                <w:color w:val="auto"/>
              </w:rPr>
            </w:pPr>
            <w:r>
              <w:rPr>
                <w:rFonts w:ascii="Arial" w:cs="Arial" w:eastAsia="Arial" w:hAnsi="Arial"/>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6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Bags</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28,536</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8,453</w:t>
            </w:r>
          </w:p>
        </w:tc>
        <w:tc>
          <w:tcPr>
            <w:tcW w:w="320" w:type="dxa"/>
            <w:vAlign w:val="bottom"/>
          </w:tcPr>
          <w:p>
            <w:pPr>
              <w:spacing w:after="0"/>
              <w:rPr>
                <w:sz w:val="19"/>
                <w:szCs w:val="19"/>
                <w:color w:val="auto"/>
              </w:rPr>
            </w:pPr>
          </w:p>
        </w:tc>
        <w:tc>
          <w:tcPr>
            <w:tcW w:w="640" w:type="dxa"/>
            <w:vAlign w:val="bottom"/>
          </w:tcPr>
          <w:p>
            <w:pPr>
              <w:jc w:val="right"/>
              <w:ind w:right="43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36,989</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19,158</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14,352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2,607</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22,676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39,635</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8,067</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line="230" w:lineRule="exact"/>
              <w:rPr>
                <w:sz w:val="20"/>
                <w:szCs w:val="20"/>
                <w:color w:val="auto"/>
              </w:rPr>
            </w:pPr>
            <w:r>
              <w:rPr>
                <w:rFonts w:ascii="Arial" w:cs="Arial" w:eastAsia="Arial" w:hAnsi="Arial"/>
                <w:sz w:val="18"/>
                <w:szCs w:val="18"/>
                <w:color w:val="auto"/>
              </w:rPr>
              <w:t>Apparel/Footwear</w:t>
            </w:r>
            <w:r>
              <w:rPr>
                <w:rFonts w:ascii="Arial" w:cs="Arial" w:eastAsia="Arial" w:hAnsi="Arial"/>
                <w:sz w:val="23"/>
                <w:szCs w:val="23"/>
                <w:color w:val="auto"/>
                <w:vertAlign w:val="superscript"/>
              </w:rPr>
              <w:t>(6)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11,055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4,406</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16,205</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78,177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(4)</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22,344</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4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24,328</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124,849</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Primarily includes net revenues from freight and stationery.</w:t>
      </w:r>
    </w:p>
    <w:p>
      <w:pPr>
        <w:spacing w:after="0" w:line="23" w:lineRule="exact"/>
        <w:rPr>
          <w:rFonts w:ascii="Arial" w:cs="Arial" w:eastAsia="Arial" w:hAnsi="Arial"/>
          <w:sz w:val="18"/>
          <w:szCs w:val="18"/>
          <w:color w:val="auto"/>
        </w:rPr>
      </w:pPr>
    </w:p>
    <w:p>
      <w:pPr>
        <w:ind w:left="920" w:hanging="246"/>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freight, and merchandising.</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Related to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22" w:lineRule="exact"/>
        <w:rPr>
          <w:rFonts w:ascii="Arial" w:cs="Arial" w:eastAsia="Arial" w:hAnsi="Arial"/>
          <w:sz w:val="18"/>
          <w:szCs w:val="18"/>
          <w:color w:val="auto"/>
        </w:rPr>
      </w:pPr>
    </w:p>
    <w:p>
      <w:pPr>
        <w:ind w:left="680" w:right="120" w:hanging="6"/>
        <w:spacing w:after="0" w:line="234" w:lineRule="auto"/>
        <w:tabs>
          <w:tab w:leader="none" w:pos="935" w:val="left"/>
        </w:tabs>
        <w:numPr>
          <w:ilvl w:val="0"/>
          <w:numId w:val="7"/>
        </w:numPr>
        <w:rPr>
          <w:rFonts w:ascii="Arial" w:cs="Arial" w:eastAsia="Arial" w:hAnsi="Arial"/>
          <w:sz w:val="18"/>
          <w:szCs w:val="18"/>
          <w:color w:val="auto"/>
        </w:rPr>
      </w:pPr>
      <w:r>
        <w:rPr>
          <w:rFonts w:ascii="Arial" w:cs="Arial" w:eastAsia="Arial" w:hAnsi="Arial"/>
          <w:sz w:val="18"/>
          <w:szCs w:val="18"/>
          <w:color w:val="auto"/>
        </w:rPr>
        <w:t>$21.2 million of net revenues related to product sales recognized at a point in time and $1.1 million of net revenues related to sales-based royalties recognized over time.</w:t>
      </w:r>
    </w:p>
    <w:p>
      <w:pPr>
        <w:spacing w:after="0" w:line="1" w:lineRule="exact"/>
        <w:rPr>
          <w:rFonts w:ascii="Arial" w:cs="Arial" w:eastAsia="Arial" w:hAnsi="Arial"/>
          <w:sz w:val="18"/>
          <w:szCs w:val="18"/>
          <w:color w:val="auto"/>
        </w:rPr>
      </w:pPr>
    </w:p>
    <w:p>
      <w:pPr>
        <w:ind w:left="920" w:hanging="246"/>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mask sales.</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6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October 30, 2021</w:t>
            </w:r>
          </w:p>
        </w:tc>
        <w:tc>
          <w:tcPr>
            <w:tcW w:w="6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64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197"/>
              <w:spacing w:after="0" w:line="130" w:lineRule="exact"/>
              <w:rPr>
                <w:sz w:val="20"/>
                <w:szCs w:val="20"/>
                <w:color w:val="auto"/>
              </w:rPr>
            </w:pPr>
            <w:r>
              <w:rPr>
                <w:rFonts w:ascii="Arial" w:cs="Arial" w:eastAsia="Arial" w:hAnsi="Arial"/>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6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Bags</w:t>
            </w: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104,154</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26,825</w:t>
            </w:r>
          </w:p>
        </w:tc>
        <w:tc>
          <w:tcPr>
            <w:tcW w:w="320" w:type="dxa"/>
            <w:vAlign w:val="bottom"/>
          </w:tcPr>
          <w:p>
            <w:pPr>
              <w:spacing w:after="0"/>
              <w:rPr>
                <w:sz w:val="19"/>
                <w:szCs w:val="19"/>
                <w:color w:val="auto"/>
              </w:rPr>
            </w:pPr>
          </w:p>
        </w:tc>
        <w:tc>
          <w:tcPr>
            <w:tcW w:w="700" w:type="dxa"/>
            <w:vAlign w:val="bottom"/>
          </w:tcPr>
          <w:p>
            <w:pPr>
              <w:jc w:val="right"/>
              <w:ind w:right="4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835</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131,814</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56,872</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66,447</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46,672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8,067</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81,152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135,891</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25,108</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28,520</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line="230" w:lineRule="exact"/>
              <w:rPr>
                <w:sz w:val="20"/>
                <w:szCs w:val="20"/>
                <w:color w:val="auto"/>
              </w:rPr>
            </w:pPr>
            <w:r>
              <w:rPr>
                <w:rFonts w:ascii="Arial" w:cs="Arial" w:eastAsia="Arial" w:hAnsi="Arial"/>
                <w:sz w:val="18"/>
                <w:szCs w:val="18"/>
                <w:color w:val="auto"/>
              </w:rPr>
              <w:t>Apparel/Footwear</w:t>
            </w:r>
            <w:r>
              <w:rPr>
                <w:rFonts w:ascii="Arial" w:cs="Arial" w:eastAsia="Arial" w:hAnsi="Arial"/>
                <w:sz w:val="23"/>
                <w:szCs w:val="23"/>
                <w:color w:val="auto"/>
                <w:vertAlign w:val="superscript"/>
              </w:rPr>
              <w:t>(6)</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12,438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1,966</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2,790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17,194</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7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11,011</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250,516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(4)</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53,009</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70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87,352</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390,877</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Primarily includes net revenues from stationery, freight, and gift card breakage.</w:t>
      </w:r>
    </w:p>
    <w:p>
      <w:pPr>
        <w:spacing w:after="0" w:line="23" w:lineRule="exact"/>
        <w:rPr>
          <w:rFonts w:ascii="Arial" w:cs="Arial" w:eastAsia="Arial" w:hAnsi="Arial"/>
          <w:sz w:val="18"/>
          <w:szCs w:val="18"/>
          <w:color w:val="auto"/>
        </w:rPr>
      </w:pPr>
    </w:p>
    <w:p>
      <w:pPr>
        <w:ind w:left="920" w:hanging="246"/>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and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Related to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22" w:lineRule="exact"/>
        <w:rPr>
          <w:rFonts w:ascii="Arial" w:cs="Arial" w:eastAsia="Arial" w:hAnsi="Arial"/>
          <w:sz w:val="18"/>
          <w:szCs w:val="18"/>
          <w:color w:val="auto"/>
        </w:rPr>
      </w:pPr>
    </w:p>
    <w:p>
      <w:pPr>
        <w:ind w:left="680" w:right="120" w:hanging="6"/>
        <w:spacing w:after="0" w:line="234" w:lineRule="auto"/>
        <w:tabs>
          <w:tab w:leader="none" w:pos="935" w:val="left"/>
        </w:tabs>
        <w:numPr>
          <w:ilvl w:val="0"/>
          <w:numId w:val="8"/>
        </w:numPr>
        <w:rPr>
          <w:rFonts w:ascii="Arial" w:cs="Arial" w:eastAsia="Arial" w:hAnsi="Arial"/>
          <w:sz w:val="18"/>
          <w:szCs w:val="18"/>
          <w:color w:val="auto"/>
        </w:rPr>
      </w:pPr>
      <w:r>
        <w:rPr>
          <w:rFonts w:ascii="Arial" w:cs="Arial" w:eastAsia="Arial" w:hAnsi="Arial"/>
          <w:sz w:val="18"/>
          <w:szCs w:val="18"/>
          <w:color w:val="auto"/>
        </w:rPr>
        <w:t>$50.6 million of net revenues related to product sales recognized at a point in time and $2.4 million of net revenues related to sales-based royalties recognized over time.</w:t>
      </w:r>
    </w:p>
    <w:p>
      <w:pPr>
        <w:spacing w:after="0" w:line="1" w:lineRule="exact"/>
        <w:rPr>
          <w:rFonts w:ascii="Arial" w:cs="Arial" w:eastAsia="Arial" w:hAnsi="Arial"/>
          <w:sz w:val="18"/>
          <w:szCs w:val="18"/>
          <w:color w:val="auto"/>
        </w:rPr>
      </w:pPr>
    </w:p>
    <w:p>
      <w:pPr>
        <w:ind w:left="920" w:hanging="246"/>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mask sales.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21" w:right="10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6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October 31, 2020</w:t>
            </w:r>
          </w:p>
        </w:tc>
        <w:tc>
          <w:tcPr>
            <w:tcW w:w="6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64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197"/>
              <w:spacing w:after="0" w:line="130" w:lineRule="exact"/>
              <w:rPr>
                <w:sz w:val="20"/>
                <w:szCs w:val="20"/>
                <w:color w:val="auto"/>
              </w:rPr>
            </w:pPr>
            <w:r>
              <w:rPr>
                <w:rFonts w:ascii="Arial" w:cs="Arial" w:eastAsia="Arial" w:hAnsi="Arial"/>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6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Bags</w:t>
            </w: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74,087</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20,236</w:t>
            </w:r>
          </w:p>
        </w:tc>
        <w:tc>
          <w:tcPr>
            <w:tcW w:w="320" w:type="dxa"/>
            <w:vAlign w:val="bottom"/>
          </w:tcPr>
          <w:p>
            <w:pPr>
              <w:spacing w:after="0"/>
              <w:rPr>
                <w:sz w:val="19"/>
                <w:szCs w:val="19"/>
                <w:color w:val="auto"/>
              </w:rPr>
            </w:pPr>
          </w:p>
        </w:tc>
        <w:tc>
          <w:tcPr>
            <w:tcW w:w="700" w:type="dxa"/>
            <w:vAlign w:val="bottom"/>
          </w:tcPr>
          <w:p>
            <w:pPr>
              <w:jc w:val="right"/>
              <w:ind w:right="4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94,323</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37,594</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9,529</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47,123</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34,626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6,167</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74,295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115,088</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17,970</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19,462</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line="230" w:lineRule="exact"/>
              <w:rPr>
                <w:sz w:val="20"/>
                <w:szCs w:val="20"/>
                <w:color w:val="auto"/>
              </w:rPr>
            </w:pPr>
            <w:r>
              <w:rPr>
                <w:rFonts w:ascii="Arial" w:cs="Arial" w:eastAsia="Arial" w:hAnsi="Arial"/>
                <w:sz w:val="18"/>
                <w:szCs w:val="18"/>
                <w:color w:val="auto"/>
              </w:rPr>
              <w:t>Apparel/Footwear</w:t>
            </w:r>
            <w:r>
              <w:rPr>
                <w:rFonts w:ascii="Arial" w:cs="Arial" w:eastAsia="Arial" w:hAnsi="Arial"/>
                <w:sz w:val="23"/>
                <w:szCs w:val="23"/>
                <w:color w:val="auto"/>
                <w:vertAlign w:val="superscript"/>
              </w:rPr>
              <w:t>(6)</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27,778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10,986</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39,746</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7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10,161</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196,247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(4)</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51,303</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70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78,353</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325,903</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Primarily includes net revenues from stationery, freight, and gift card breakage.</w:t>
      </w:r>
    </w:p>
    <w:p>
      <w:pPr>
        <w:spacing w:after="0" w:line="23" w:lineRule="exact"/>
        <w:rPr>
          <w:rFonts w:ascii="Arial" w:cs="Arial" w:eastAsia="Arial" w:hAnsi="Arial"/>
          <w:sz w:val="18"/>
          <w:szCs w:val="18"/>
          <w:color w:val="auto"/>
        </w:rPr>
      </w:pPr>
    </w:p>
    <w:p>
      <w:pPr>
        <w:ind w:left="920" w:hanging="246"/>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freight, and merchandising.</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Related to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22" w:lineRule="exact"/>
        <w:rPr>
          <w:rFonts w:ascii="Arial" w:cs="Arial" w:eastAsia="Arial" w:hAnsi="Arial"/>
          <w:sz w:val="18"/>
          <w:szCs w:val="18"/>
          <w:color w:val="auto"/>
        </w:rPr>
      </w:pPr>
    </w:p>
    <w:p>
      <w:pPr>
        <w:ind w:left="680" w:right="840" w:hanging="6"/>
        <w:spacing w:after="0" w:line="234" w:lineRule="auto"/>
        <w:tabs>
          <w:tab w:leader="none" w:pos="935" w:val="left"/>
        </w:tabs>
        <w:numPr>
          <w:ilvl w:val="0"/>
          <w:numId w:val="9"/>
        </w:numPr>
        <w:rPr>
          <w:rFonts w:ascii="Arial" w:cs="Arial" w:eastAsia="Arial" w:hAnsi="Arial"/>
          <w:sz w:val="18"/>
          <w:szCs w:val="18"/>
          <w:color w:val="auto"/>
        </w:rPr>
      </w:pPr>
      <w:r>
        <w:rPr>
          <w:rFonts w:ascii="Arial" w:cs="Arial" w:eastAsia="Arial" w:hAnsi="Arial"/>
          <w:sz w:val="18"/>
          <w:szCs w:val="18"/>
          <w:color w:val="auto"/>
        </w:rPr>
        <w:t>$49.1 million of net revenues related to product sales recognized at a point in time and $2.2 million of net revenues related to sales-based royalties recognized over time.</w:t>
      </w:r>
    </w:p>
    <w:p>
      <w:pPr>
        <w:spacing w:after="0" w:line="1" w:lineRule="exact"/>
        <w:rPr>
          <w:rFonts w:ascii="Arial" w:cs="Arial" w:eastAsia="Arial" w:hAnsi="Arial"/>
          <w:sz w:val="18"/>
          <w:szCs w:val="18"/>
          <w:color w:val="auto"/>
        </w:rPr>
      </w:pPr>
    </w:p>
    <w:p>
      <w:pPr>
        <w:ind w:left="920" w:hanging="246"/>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mask sales.</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 Balances</w:t>
      </w:r>
    </w:p>
    <w:p>
      <w:pPr>
        <w:spacing w:after="0" w:line="108" w:lineRule="exact"/>
        <w:rPr>
          <w:sz w:val="20"/>
          <w:szCs w:val="20"/>
          <w:color w:val="auto"/>
        </w:rPr>
      </w:pPr>
    </w:p>
    <w:p>
      <w:pPr>
        <w:ind w:left="660" w:right="160"/>
        <w:spacing w:after="0" w:line="293" w:lineRule="auto"/>
        <w:rPr>
          <w:sz w:val="20"/>
          <w:szCs w:val="20"/>
          <w:color w:val="auto"/>
        </w:rPr>
      </w:pPr>
      <w:r>
        <w:rPr>
          <w:rFonts w:ascii="Arial" w:cs="Arial" w:eastAsia="Arial" w:hAnsi="Arial"/>
          <w:sz w:val="16"/>
          <w:szCs w:val="16"/>
          <w:color w:val="auto"/>
        </w:rPr>
        <w:t>Contract liabilities as of October 30, 2021 and January 30, 2021, were $3.7 million and $4.1 million, respectively. The balance as of October 30, 2021 and January 30, 2021 consisted of unredeemed gift cards, unearned revenue related to the monthly bracelet and jewelry clubs of the Pura Vida segment, Pura Vida loyalty club points, Pura Vida customer deposits and payments collected before shipment, and an immaterial amount of unearned revenue for pre-payments of royalties in certain of the Company’s licensing arrangements. These contract liabilities are recognized within other accrued liabilities on the Company’s Condensed Consolidated Balance Sheets. Substantially all contract liabilities are recognized within one year. The Company did not have contract assets as of October 30, 2021 and January 30, 2021.</w:t>
      </w:r>
    </w:p>
    <w:p>
      <w:pPr>
        <w:spacing w:after="0" w:line="43"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The balance for accounts receivable from contracts with customers, net of allowances, as of October 30, 2021 and January 30, 2021, was $28.8 million and $26.0 million, respectively, which is recognized within accounts receivable, net, on the Company’s Condensed Consolidated Balance Sheets. The provision for doubtful accounts was $1.1 million as of October 30, 2021 and January 30, 2021. The provision for doubtful accounts is based upon the likelihood of default expected during the life of the receivable.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Obligations</w:t>
      </w:r>
    </w:p>
    <w:p>
      <w:pPr>
        <w:spacing w:after="0" w:line="94"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The performance obligations for the VB Direct, VB Indirect, and Pura Vida segments include the promise to transfer distinct goods (or a bundle of distinct goods). The VB Indirect segment also includes the right to access intellectual property (“IP”) related to the Vera Bradley brand.</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Remaining Performance Obligations</w:t>
      </w:r>
    </w:p>
    <w:p>
      <w:pPr>
        <w:spacing w:after="0" w:line="10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does not have remaining performance obligations in excess of one year or contracts that it does not have the right to invoice as of October 30, 2021.</w:t>
      </w:r>
    </w:p>
    <w:p>
      <w:pPr>
        <w:spacing w:after="0" w:line="193"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94" w:lineRule="exact"/>
        <w:rPr>
          <w:rFonts w:ascii="Arial" w:cs="Arial" w:eastAsia="Arial" w:hAnsi="Arial"/>
          <w:sz w:val="18"/>
          <w:szCs w:val="18"/>
          <w:b w:val="1"/>
          <w:bCs w:val="1"/>
          <w:color w:val="auto"/>
        </w:rPr>
      </w:pPr>
    </w:p>
    <w:p>
      <w:pPr>
        <w:ind w:left="6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the prior-year, the Company temporarily closed its full-line and factory outlet stores beginning on March 19, 2020, due to the COVID-19 pandemic, for various lengths of time (from several weeks to several months). The stores began to re-open on May 5, 2020, with substantially all stores open by the end of July 2020. All of the Company's stores were open during the first nine months of the current-year. As a result of the temporary closures in the prior-year,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right="820"/>
        <w:spacing w:after="0" w:line="352" w:lineRule="auto"/>
        <w:rPr>
          <w:sz w:val="20"/>
          <w:szCs w:val="20"/>
          <w:color w:val="auto"/>
        </w:rPr>
      </w:pPr>
      <w:r>
        <w:rPr>
          <w:rFonts w:ascii="Arial" w:cs="Arial" w:eastAsia="Arial" w:hAnsi="Arial"/>
          <w:sz w:val="18"/>
          <w:szCs w:val="18"/>
          <w:color w:val="auto"/>
        </w:rPr>
        <w:t xml:space="preserve">certain rent payments were deferred. An immaterial amount of rent abatements were received during the current and prior-year periods. </w:t>
      </w:r>
      <w:r>
        <w:rPr>
          <w:rFonts w:ascii="Arial" w:cs="Arial" w:eastAsia="Arial" w:hAnsi="Arial"/>
          <w:sz w:val="18"/>
          <w:szCs w:val="18"/>
          <w:i w:val="1"/>
          <w:iCs w:val="1"/>
          <w:color w:val="auto"/>
        </w:rPr>
        <w:t>Discount Rate</w:t>
      </w:r>
    </w:p>
    <w:p>
      <w:pPr>
        <w:jc w:val="both"/>
        <w:ind w:left="660" w:right="400"/>
        <w:spacing w:after="0" w:line="311" w:lineRule="auto"/>
        <w:rPr>
          <w:sz w:val="20"/>
          <w:szCs w:val="20"/>
          <w:color w:val="auto"/>
        </w:rPr>
      </w:pPr>
      <w:r>
        <w:rPr>
          <w:rFonts w:ascii="Arial" w:cs="Arial" w:eastAsia="Arial" w:hAnsi="Arial"/>
          <w:sz w:val="16"/>
          <w:szCs w:val="16"/>
          <w:color w:val="auto"/>
        </w:rPr>
        <w:t>The weighted-average discount rate as of October 30, 2021, and October 31, 2020 was 4.7% and 5.0%, respectively. The discount rate is not readily determinable in the lease; therefore, the Company estimated the incremental borrowing rate, at the commencement date of each lease, which is the rate of interest it would have to borrow on a collateralized basis over a similar term with similar payments.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Leases Not Yet Commenced</w:t>
      </w:r>
    </w:p>
    <w:p>
      <w:pPr>
        <w:spacing w:after="0" w:line="108"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As of October 30, 2021, the Company had two retail store leases which were executed, but did not have control of the underlying assets; therefore, the lease liability and right-of-use asset are not recorded on the Condensed Consolidated Balance Sheet. These leases contain undiscounted lease payments, which will be included in the determination of the lease liability, totaling approximately $4.2 million and have terms of approximately 10 years commencing in fiscal year 2023.</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Amounts Recognized in the Condensed Consolidated Financial Statements</w:t>
      </w:r>
    </w:p>
    <w:p>
      <w:pPr>
        <w:spacing w:after="0" w:line="94" w:lineRule="exact"/>
        <w:rPr>
          <w:sz w:val="20"/>
          <w:szCs w:val="20"/>
          <w:color w:val="auto"/>
        </w:rPr>
      </w:pPr>
    </w:p>
    <w:p>
      <w:pPr>
        <w:jc w:val="both"/>
        <w:ind w:left="660" w:right="100"/>
        <w:spacing w:after="0" w:line="286" w:lineRule="auto"/>
        <w:rPr>
          <w:sz w:val="20"/>
          <w:szCs w:val="20"/>
          <w:color w:val="auto"/>
        </w:rPr>
      </w:pPr>
      <w:r>
        <w:rPr>
          <w:rFonts w:ascii="Arial" w:cs="Arial" w:eastAsia="Arial" w:hAnsi="Arial"/>
          <w:sz w:val="17"/>
          <w:szCs w:val="17"/>
          <w:color w:val="auto"/>
        </w:rPr>
        <w:t>The following lease expense is recorded within cost of sales for the Asia sourcing office and certain equipment leases and within selling, general, and administrative expenses for all other leases, including retail store leases, in the Company's Condensed Consolidated Statement of Operations for the thirteen and thirty-nine weeks ended October 30, 2021 and October 31, 2020 (in thousands):</w:t>
      </w:r>
    </w:p>
    <w:p>
      <w:pPr>
        <w:spacing w:after="0" w:line="7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5"/>
          </w:tcPr>
          <w:p>
            <w:pPr>
              <w:ind w:left="90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6"/>
                <w:szCs w:val="16"/>
                <w:color w:val="auto"/>
              </w:rPr>
            </w:pPr>
          </w:p>
        </w:tc>
        <w:tc>
          <w:tcPr>
            <w:tcW w:w="3440" w:type="dxa"/>
            <w:vAlign w:val="bottom"/>
            <w:gridSpan w:val="4"/>
          </w:tcPr>
          <w:p>
            <w:pPr>
              <w:jc w:val="right"/>
              <w:ind w:right="954"/>
              <w:spacing w:after="0"/>
              <w:rPr>
                <w:sz w:val="20"/>
                <w:szCs w:val="20"/>
                <w:color w:val="auto"/>
              </w:rPr>
            </w:pPr>
            <w:r>
              <w:rPr>
                <w:rFonts w:ascii="Arial" w:cs="Arial" w:eastAsia="Arial" w:hAnsi="Arial"/>
                <w:sz w:val="14"/>
                <w:szCs w:val="14"/>
                <w:b w:val="1"/>
                <w:bCs w:val="1"/>
                <w:color w:val="auto"/>
              </w:rPr>
              <w:t>Thirty-Nine Weeks Ended</w:t>
            </w:r>
          </w:p>
        </w:tc>
      </w:tr>
      <w:tr>
        <w:trPr>
          <w:trHeight w:val="187"/>
        </w:trPr>
        <w:tc>
          <w:tcPr>
            <w:tcW w:w="2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October 30, 2021</w:t>
            </w:r>
          </w:p>
        </w:tc>
        <w:tc>
          <w:tcPr>
            <w:tcW w:w="2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October 31, 2020</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October 30, 2021</w:t>
            </w:r>
          </w:p>
        </w:tc>
        <w:tc>
          <w:tcPr>
            <w:tcW w:w="2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October 31, 2020</w:t>
            </w:r>
          </w:p>
        </w:tc>
      </w:tr>
      <w:tr>
        <w:trPr>
          <w:trHeight w:val="224"/>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20,485</w:t>
            </w: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1,987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4,283</w:t>
            </w: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23"/>
        </w:trPr>
        <w:tc>
          <w:tcPr>
            <w:tcW w:w="228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8,632</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25,030</w:t>
            </w:r>
          </w:p>
        </w:tc>
      </w:tr>
      <w:tr>
        <w:trPr>
          <w:trHeight w:val="20"/>
        </w:trPr>
        <w:tc>
          <w:tcPr>
            <w:tcW w:w="2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weighted-average remaining lease term as of October 30, 2021 and October 31, 2020 was 5.3 years and 5.6 years, respectively.</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operating cash flow information was as follows (in thousands):</w:t>
      </w:r>
    </w:p>
    <w:p>
      <w:pPr>
        <w:spacing w:after="0" w:line="4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4"/>
          </w:tcPr>
          <w:p>
            <w:pPr>
              <w:jc w:val="right"/>
              <w:ind w:right="1236"/>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gridSpan w:val="2"/>
          </w:tcPr>
          <w:p>
            <w:pPr>
              <w:ind w:left="200"/>
              <w:spacing w:after="0"/>
              <w:rPr>
                <w:sz w:val="20"/>
                <w:szCs w:val="20"/>
                <w:color w:val="auto"/>
              </w:rPr>
            </w:pPr>
            <w:r>
              <w:rPr>
                <w:rFonts w:ascii="Arial" w:cs="Arial" w:eastAsia="Arial" w:hAnsi="Arial"/>
                <w:sz w:val="14"/>
                <w:szCs w:val="14"/>
                <w:b w:val="1"/>
                <w:bCs w:val="1"/>
                <w:color w:val="auto"/>
              </w:rPr>
              <w:t>October 30, 2021</w:t>
            </w:r>
          </w:p>
        </w:tc>
        <w:tc>
          <w:tcPr>
            <w:tcW w:w="300" w:type="dxa"/>
            <w:vAlign w:val="bottom"/>
          </w:tcPr>
          <w:p>
            <w:pPr>
              <w:spacing w:after="0"/>
              <w:rPr>
                <w:sz w:val="16"/>
                <w:szCs w:val="16"/>
                <w:color w:val="auto"/>
              </w:rPr>
            </w:pPr>
          </w:p>
        </w:tc>
        <w:tc>
          <w:tcPr>
            <w:tcW w:w="1760" w:type="dxa"/>
            <w:vAlign w:val="bottom"/>
          </w:tcPr>
          <w:p>
            <w:pPr>
              <w:jc w:val="right"/>
              <w:ind w:right="436"/>
              <w:spacing w:after="0"/>
              <w:rPr>
                <w:sz w:val="20"/>
                <w:szCs w:val="20"/>
                <w:color w:val="auto"/>
              </w:rPr>
            </w:pPr>
            <w:r>
              <w:rPr>
                <w:rFonts w:ascii="Arial" w:cs="Arial" w:eastAsia="Arial" w:hAnsi="Arial"/>
                <w:sz w:val="14"/>
                <w:szCs w:val="14"/>
                <w:b w:val="1"/>
                <w:bCs w:val="1"/>
                <w:color w:val="auto"/>
              </w:rPr>
              <w:t>October 31, 2020</w:t>
            </w:r>
          </w:p>
        </w:tc>
        <w:tc>
          <w:tcPr>
            <w:tcW w:w="0" w:type="dxa"/>
            <w:vAlign w:val="bottom"/>
          </w:tcPr>
          <w:p>
            <w:pPr>
              <w:spacing w:after="0"/>
              <w:rPr>
                <w:sz w:val="1"/>
                <w:szCs w:val="1"/>
                <w:color w:val="auto"/>
              </w:rPr>
            </w:pPr>
          </w:p>
        </w:tc>
      </w:tr>
      <w:tr>
        <w:trPr>
          <w:trHeight w:val="157"/>
        </w:trPr>
        <w:tc>
          <w:tcPr>
            <w:tcW w:w="566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w w:val="99"/>
              </w:rPr>
              <w:t>Cash paid for amounts included in the measurement of operating lease</w:t>
            </w:r>
          </w:p>
        </w:tc>
        <w:tc>
          <w:tcPr>
            <w:tcW w:w="3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23,482</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19,732</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liabilities </w:t>
            </w:r>
            <w:r>
              <w:rPr>
                <w:rFonts w:ascii="Arial" w:cs="Arial" w:eastAsia="Arial" w:hAnsi="Arial"/>
                <w:sz w:val="23"/>
                <w:szCs w:val="23"/>
                <w:color w:val="auto"/>
                <w:vertAlign w:val="superscript"/>
              </w:rPr>
              <w:t>(1)</w:t>
            </w:r>
          </w:p>
        </w:tc>
        <w:tc>
          <w:tcPr>
            <w:tcW w:w="300" w:type="dxa"/>
            <w:vAlign w:val="bottom"/>
            <w:vMerge w:val="continue"/>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60" w:type="dxa"/>
            <w:vAlign w:val="bottom"/>
          </w:tcPr>
          <w:p>
            <w:pPr>
              <w:ind w:left="20"/>
              <w:spacing w:after="0" w:line="176" w:lineRule="exact"/>
              <w:rPr>
                <w:sz w:val="20"/>
                <w:szCs w:val="20"/>
                <w:color w:val="auto"/>
              </w:rPr>
            </w:pPr>
            <w:r>
              <w:rPr>
                <w:rFonts w:ascii="Arial" w:cs="Arial" w:eastAsia="Arial" w:hAnsi="Arial"/>
                <w:sz w:val="18"/>
                <w:szCs w:val="18"/>
                <w:color w:val="auto"/>
                <w:w w:val="92"/>
              </w:rPr>
              <w:t>Right-of-use assets increase as a result of new and modified operating lease</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9,678</w:t>
            </w:r>
          </w:p>
        </w:tc>
        <w:tc>
          <w:tcPr>
            <w:tcW w:w="10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liabilities, net</w:t>
            </w:r>
          </w:p>
        </w:tc>
        <w:tc>
          <w:tcPr>
            <w:tcW w:w="300" w:type="dxa"/>
            <w:vAlign w:val="bottom"/>
            <w:vMerge w:val="continue"/>
          </w:tcPr>
          <w:p>
            <w:pPr>
              <w:spacing w:after="0"/>
              <w:rPr>
                <w:sz w:val="20"/>
                <w:szCs w:val="20"/>
                <w:color w:val="auto"/>
              </w:rPr>
            </w:pPr>
          </w:p>
        </w:tc>
        <w:tc>
          <w:tcPr>
            <w:tcW w:w="1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1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jc w:val="both"/>
        <w:ind w:left="680" w:right="780" w:hanging="6"/>
        <w:spacing w:after="0" w:line="224" w:lineRule="auto"/>
        <w:tabs>
          <w:tab w:leader="none" w:pos="9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$2.5 million of lease liabilities were recorded within accounts payable on the Company's Consolidated Balance Sheets as of January 30, 2021, and were paid in the first quarter of fiscal 2022. $2.4 million of lease liabilities were recorded within accounts payable on the Company's Consolidated Balance Sheets as of October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7" w:lineRule="exact"/>
        <w:rPr>
          <w:rFonts w:ascii="Arial" w:cs="Arial" w:eastAsia="Arial" w:hAnsi="Arial"/>
          <w:sz w:val="18"/>
          <w:szCs w:val="18"/>
          <w:b w:val="1"/>
          <w:bCs w:val="1"/>
          <w:color w:val="auto"/>
        </w:rPr>
      </w:pPr>
    </w:p>
    <w:p>
      <w:pPr>
        <w:ind w:left="660" w:right="1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w:t>
      </w:r>
    </w:p>
    <w:p>
      <w:pPr>
        <w:spacing w:after="0" w:line="13" w:lineRule="exact"/>
        <w:rPr>
          <w:rFonts w:ascii="Arial" w:cs="Arial" w:eastAsia="Arial" w:hAnsi="Arial"/>
          <w:sz w:val="18"/>
          <w:szCs w:val="18"/>
          <w:b w:val="1"/>
          <w:bCs w:val="1"/>
          <w:color w:val="auto"/>
        </w:rPr>
      </w:pPr>
    </w:p>
    <w:p>
      <w:pPr>
        <w:ind w:left="660" w:right="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On July 16, 2019, as contemplated by the Interest Purchase Agreement, the Company and certain of its subsidiaries and the owners of the remaining twenty-five percent (25%) ownership interest in Pura Vida (the “Sellers”) which was not acquired by the Company (the “Remaining Pura Vida Interest”) entered into a Put/Call Agreement (the “Put/Call Agreement”). Pursuant to the Put/Call Agreement, and subject to the terms and conditions thereof, the Sellers have the right to sell all of the Remaining Pura Vida Interest to the Company, and the Company has the right to purchase all of the Remaining Pura Vida Interests from Sellers, in each case generally at any time following the fifth anniversary of the closing date of the transaction until the tenth anniversary thereof. The purchase price for any Remaining Pura Vida Interest put to, or called by, the Company will be determined based on the arithmetic average of a multiple of adjusted EBITDA of Pura Vida and a multiple of adjusted EBITDA of the Company, as defined in the Put/Call Agreement, over the twelve-month period ending on the last day of the month immediately preceding the month in which an exercise notice is delivered by a relevant party.</w:t>
      </w:r>
    </w:p>
    <w:p>
      <w:pPr>
        <w:spacing w:after="0" w:line="59" w:lineRule="exact"/>
        <w:rPr>
          <w:rFonts w:ascii="Arial" w:cs="Arial" w:eastAsia="Arial" w:hAnsi="Arial"/>
          <w:sz w:val="18"/>
          <w:szCs w:val="18"/>
          <w:b w:val="1"/>
          <w:bCs w:val="1"/>
          <w:color w:val="auto"/>
        </w:rPr>
      </w:pPr>
    </w:p>
    <w:p>
      <w:pPr>
        <w:ind w:left="6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As a result of this redemption feature, the Company recorded the noncontrolling interest as redeemable and classified it in temporary equity within its Condensed Consolidated Balance Sheets initially at its acquisition-date fair value. The noncontrolling interest is adjusted each reporting period for income (or loss) attributable to the noncontrolling interest. A measurement period adjustment, if any, is then made to adjust the noncontrolling interest to the higher of the redemption value or carrying value each reporting period. These adjustments are recognized through retained earnings and are not reflected in net income or net income attributable to Vera Bradley, Inc. When calculating earnings per share attributable to Vera Bradley, Inc., the Company adjusts the net income attributable to Vera Bradley, Inc. for the measurement period adjustment to the extent the redemption value exceeds the fair value of the noncontrolling interest on a cumulative basis.</w:t>
      </w:r>
    </w:p>
    <w:p>
      <w:pPr>
        <w:spacing w:after="0" w:line="4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basic and diluted earnings per share were as follows (in thousands, except per share data):</w:t>
      </w:r>
    </w:p>
    <w:p>
      <w:pPr>
        <w:spacing w:after="0" w:line="122" w:lineRule="exact"/>
        <w:rPr>
          <w:sz w:val="20"/>
          <w:szCs w:val="20"/>
          <w:color w:val="auto"/>
        </w:rPr>
      </w:pPr>
    </w:p>
    <w:tbl>
      <w:tblPr>
        <w:tblLayout w:type="fixed"/>
        <w:tblInd w:w="70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160" w:type="dxa"/>
            <w:vAlign w:val="bottom"/>
          </w:tcPr>
          <w:p>
            <w:pPr>
              <w:spacing w:after="0"/>
              <w:rPr>
                <w:sz w:val="16"/>
                <w:szCs w:val="16"/>
                <w:color w:val="auto"/>
              </w:rPr>
            </w:pPr>
          </w:p>
        </w:tc>
        <w:tc>
          <w:tcPr>
            <w:tcW w:w="2280" w:type="dxa"/>
            <w:vAlign w:val="bottom"/>
            <w:gridSpan w:val="4"/>
          </w:tcPr>
          <w:p>
            <w:pPr>
              <w:ind w:left="26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20"/>
              <w:spacing w:after="0" w:line="135" w:lineRule="exact"/>
              <w:rPr>
                <w:sz w:val="20"/>
                <w:szCs w:val="20"/>
                <w:color w:val="auto"/>
              </w:rPr>
            </w:pPr>
            <w:r>
              <w:rPr>
                <w:rFonts w:ascii="Arial" w:cs="Arial" w:eastAsia="Arial" w:hAnsi="Arial"/>
                <w:sz w:val="14"/>
                <w:szCs w:val="14"/>
                <w:b w:val="1"/>
                <w:bCs w:val="1"/>
                <w:color w:val="auto"/>
              </w:rPr>
              <w:t>October 30,</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14"/>
              <w:spacing w:after="0" w:line="135" w:lineRule="exact"/>
              <w:rPr>
                <w:sz w:val="20"/>
                <w:szCs w:val="20"/>
                <w:color w:val="auto"/>
              </w:rPr>
            </w:pPr>
            <w:r>
              <w:rPr>
                <w:rFonts w:ascii="Arial" w:cs="Arial" w:eastAsia="Arial" w:hAnsi="Arial"/>
                <w:sz w:val="14"/>
                <w:szCs w:val="14"/>
                <w:b w:val="1"/>
                <w:bCs w:val="1"/>
                <w:color w:val="auto"/>
                <w:w w:val="96"/>
              </w:rPr>
              <w:t>October 31,</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October 30,</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54"/>
              <w:spacing w:after="0" w:line="135" w:lineRule="exact"/>
              <w:rPr>
                <w:sz w:val="20"/>
                <w:szCs w:val="20"/>
                <w:color w:val="auto"/>
              </w:rPr>
            </w:pPr>
            <w:r>
              <w:rPr>
                <w:rFonts w:ascii="Arial" w:cs="Arial" w:eastAsia="Arial" w:hAnsi="Arial"/>
                <w:sz w:val="14"/>
                <w:szCs w:val="14"/>
                <w:b w:val="1"/>
                <w:bCs w:val="1"/>
                <w:color w:val="auto"/>
                <w:w w:val="98"/>
              </w:rPr>
              <w:t>October 31,</w:t>
            </w:r>
          </w:p>
        </w:tc>
        <w:tc>
          <w:tcPr>
            <w:tcW w:w="0" w:type="dxa"/>
            <w:vAlign w:val="bottom"/>
          </w:tcPr>
          <w:p>
            <w:pPr>
              <w:spacing w:after="0"/>
              <w:rPr>
                <w:sz w:val="1"/>
                <w:szCs w:val="1"/>
                <w:color w:val="auto"/>
              </w:rPr>
            </w:pPr>
          </w:p>
        </w:tc>
      </w:tr>
      <w:tr>
        <w:trPr>
          <w:trHeight w:val="188"/>
        </w:trPr>
        <w:tc>
          <w:tcPr>
            <w:tcW w:w="49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6,226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14,565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175"/>
        </w:trPr>
        <w:tc>
          <w:tcPr>
            <w:tcW w:w="4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Less: Net income attributable to redeemable noncontrolling</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980" w:type="dxa"/>
            <w:vAlign w:val="bottom"/>
          </w:tcPr>
          <w:p>
            <w:pPr>
              <w:ind w:left="140"/>
              <w:spacing w:after="0" w:line="196" w:lineRule="exact"/>
              <w:rPr>
                <w:sz w:val="20"/>
                <w:szCs w:val="20"/>
                <w:color w:val="auto"/>
              </w:rPr>
            </w:pPr>
            <w:r>
              <w:rPr>
                <w:rFonts w:ascii="Arial" w:cs="Arial" w:eastAsia="Arial" w:hAnsi="Arial"/>
                <w:sz w:val="18"/>
                <w:szCs w:val="18"/>
                <w:color w:val="auto"/>
              </w:rPr>
              <w:t>Net income attributable to Vera Bradley, Inc.</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5,778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8,874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12,683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i w:val="1"/>
                <w:iCs w:val="1"/>
                <w:color w:val="auto"/>
              </w:rPr>
              <w:t>Denominator:</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(basic)</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33,382</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stock-based awards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(diluted)</w:t>
            </w: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33,789</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Net income per share available to Vera Bradley, Inc. common</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shareholders: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right="540"/>
        <w:spacing w:after="0" w:line="342" w:lineRule="auto"/>
        <w:rPr>
          <w:sz w:val="20"/>
          <w:szCs w:val="20"/>
          <w:color w:val="auto"/>
        </w:rPr>
      </w:pPr>
      <w:r>
        <w:rPr>
          <w:rFonts w:ascii="Arial" w:cs="Arial" w:eastAsia="Arial" w:hAnsi="Arial"/>
          <w:sz w:val="16"/>
          <w:szCs w:val="16"/>
          <w:color w:val="auto"/>
        </w:rPr>
        <w:t>For the thirteen and thirty-nine weeks ended October 30, 2021 and October 31, 2020, there were an immaterial number of additional shares issuable upon the vesting of restricted stock units that were excluded from the diluted share calculations because they were anti-dilutive.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07" w:lineRule="exact"/>
        <w:rPr>
          <w:rFonts w:ascii="Arial" w:cs="Arial" w:eastAsia="Arial" w:hAnsi="Arial"/>
          <w:sz w:val="18"/>
          <w:szCs w:val="18"/>
          <w:b w:val="1"/>
          <w:bCs w:val="1"/>
          <w:color w:val="auto"/>
        </w:rPr>
      </w:pPr>
    </w:p>
    <w:p>
      <w:pPr>
        <w:ind w:left="660"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8" w:lineRule="exact"/>
        <w:rPr>
          <w:rFonts w:ascii="Arial" w:cs="Arial" w:eastAsia="Arial" w:hAnsi="Arial"/>
          <w:sz w:val="18"/>
          <w:szCs w:val="18"/>
          <w:b w:val="1"/>
          <w:bCs w:val="1"/>
          <w:color w:val="auto"/>
        </w:rPr>
      </w:pPr>
    </w:p>
    <w:p>
      <w:pPr>
        <w:ind w:left="980" w:hanging="324"/>
        <w:spacing w:after="0"/>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127" w:lineRule="exact"/>
        <w:rPr>
          <w:sz w:val="20"/>
          <w:szCs w:val="20"/>
          <w:color w:val="auto"/>
        </w:rPr>
      </w:pPr>
    </w:p>
    <w:p>
      <w:pPr>
        <w:ind w:left="660" w:right="200"/>
        <w:spacing w:after="0" w:line="308" w:lineRule="auto"/>
        <w:rPr>
          <w:sz w:val="20"/>
          <w:szCs w:val="20"/>
          <w:color w:val="auto"/>
        </w:rPr>
      </w:pPr>
      <w:r>
        <w:rPr>
          <w:rFonts w:ascii="Arial" w:cs="Arial" w:eastAsia="Arial" w:hAnsi="Arial"/>
          <w:sz w:val="17"/>
          <w:szCs w:val="17"/>
          <w:color w:val="auto"/>
        </w:rPr>
        <w:t>The carrying amounts reflected on the Condensed Consolidated Balance Sheets for cash and cash equivalents, accounts receivable, other current assets, and accounts payable as of October 30, 2021 and January 30, 2021, approximated their fair values.</w:t>
      </w:r>
    </w:p>
    <w:p>
      <w:pPr>
        <w:spacing w:after="0" w:line="25" w:lineRule="exact"/>
        <w:rPr>
          <w:sz w:val="20"/>
          <w:szCs w:val="20"/>
          <w:color w:val="auto"/>
        </w:rPr>
      </w:pPr>
    </w:p>
    <w:p>
      <w:pPr>
        <w:ind w:left="660" w:right="860"/>
        <w:spacing w:after="0" w:line="269" w:lineRule="auto"/>
        <w:rPr>
          <w:sz w:val="20"/>
          <w:szCs w:val="20"/>
          <w:color w:val="auto"/>
        </w:rPr>
      </w:pPr>
      <w:r>
        <w:rPr>
          <w:rFonts w:ascii="Arial" w:cs="Arial" w:eastAsia="Arial" w:hAnsi="Arial"/>
          <w:sz w:val="18"/>
          <w:szCs w:val="18"/>
          <w:color w:val="auto"/>
        </w:rPr>
        <w:t>The following table details the fair value measurements of the Company's investments as of October 30, 2021 and January 30, 2021 (in thousands):</w:t>
      </w:r>
    </w:p>
    <w:tbl>
      <w:tblPr>
        <w:tblLayout w:type="fixed"/>
        <w:tblInd w:w="66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5"/>
          </w:tcPr>
          <w:p>
            <w:pPr>
              <w:ind w:left="70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2200" w:type="dxa"/>
            <w:vAlign w:val="bottom"/>
            <w:gridSpan w:val="6"/>
          </w:tcPr>
          <w:p>
            <w:pPr>
              <w:jc w:val="right"/>
              <w:ind w:right="970"/>
              <w:spacing w:after="0"/>
              <w:rPr>
                <w:sz w:val="20"/>
                <w:szCs w:val="20"/>
                <w:color w:val="auto"/>
              </w:rPr>
            </w:pPr>
            <w:r>
              <w:rPr>
                <w:rFonts w:ascii="Arial" w:cs="Arial" w:eastAsia="Arial" w:hAnsi="Arial"/>
                <w:sz w:val="14"/>
                <w:szCs w:val="14"/>
                <w:b w:val="1"/>
                <w:bCs w:val="1"/>
                <w:color w:val="auto"/>
              </w:rPr>
              <w:t>Level 2</w:t>
            </w:r>
          </w:p>
        </w:tc>
        <w:tc>
          <w:tcPr>
            <w:tcW w:w="1980" w:type="dxa"/>
            <w:vAlign w:val="bottom"/>
            <w:gridSpan w:val="4"/>
          </w:tcPr>
          <w:p>
            <w:pPr>
              <w:ind w:left="700"/>
              <w:spacing w:after="0"/>
              <w:rPr>
                <w:sz w:val="20"/>
                <w:szCs w:val="20"/>
                <w:color w:val="auto"/>
              </w:rPr>
            </w:pPr>
            <w:r>
              <w:rPr>
                <w:rFonts w:ascii="Arial" w:cs="Arial" w:eastAsia="Arial" w:hAnsi="Arial"/>
                <w:sz w:val="14"/>
                <w:szCs w:val="14"/>
                <w:b w:val="1"/>
                <w:bCs w:val="1"/>
                <w:color w:val="auto"/>
              </w:rPr>
              <w:t>Level 3</w:t>
            </w:r>
          </w:p>
        </w:tc>
      </w:tr>
      <w:tr>
        <w:trPr>
          <w:trHeight w:val="135"/>
        </w:trPr>
        <w:tc>
          <w:tcPr>
            <w:tcW w:w="3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ind w:left="20"/>
              <w:spacing w:after="0" w:line="135" w:lineRule="exact"/>
              <w:rPr>
                <w:sz w:val="20"/>
                <w:szCs w:val="20"/>
                <w:color w:val="auto"/>
              </w:rPr>
            </w:pPr>
            <w:r>
              <w:rPr>
                <w:rFonts w:ascii="Arial" w:cs="Arial" w:eastAsia="Arial" w:hAnsi="Arial"/>
                <w:sz w:val="14"/>
                <w:szCs w:val="14"/>
                <w:b w:val="1"/>
                <w:bCs w:val="1"/>
                <w:color w:val="auto"/>
              </w:rPr>
              <w:t>October 30,</w:t>
            </w: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37"/>
              <w:spacing w:after="0" w:line="135" w:lineRule="exact"/>
              <w:rPr>
                <w:sz w:val="20"/>
                <w:szCs w:val="20"/>
                <w:color w:val="auto"/>
              </w:rPr>
            </w:pPr>
            <w:r>
              <w:rPr>
                <w:rFonts w:ascii="Arial" w:cs="Arial" w:eastAsia="Arial" w:hAnsi="Arial"/>
                <w:sz w:val="14"/>
                <w:szCs w:val="14"/>
                <w:b w:val="1"/>
                <w:bCs w:val="1"/>
                <w:color w:val="auto"/>
                <w:w w:val="93"/>
              </w:rPr>
              <w:t>January 30,</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right"/>
              <w:ind w:right="270"/>
              <w:spacing w:after="0" w:line="135" w:lineRule="exact"/>
              <w:rPr>
                <w:sz w:val="20"/>
                <w:szCs w:val="20"/>
                <w:color w:val="auto"/>
              </w:rPr>
            </w:pPr>
            <w:r>
              <w:rPr>
                <w:rFonts w:ascii="Arial" w:cs="Arial" w:eastAsia="Arial" w:hAnsi="Arial"/>
                <w:sz w:val="14"/>
                <w:szCs w:val="14"/>
                <w:b w:val="1"/>
                <w:bCs w:val="1"/>
                <w:color w:val="auto"/>
                <w:w w:val="90"/>
              </w:rPr>
              <w:t>October 30,</w:t>
            </w:r>
          </w:p>
        </w:tc>
        <w:tc>
          <w:tcPr>
            <w:tcW w:w="880" w:type="dxa"/>
            <w:vAlign w:val="bottom"/>
            <w:tcBorders>
              <w:top w:val="single" w:sz="8" w:color="auto"/>
            </w:tcBorders>
          </w:tcPr>
          <w:p>
            <w:pPr>
              <w:jc w:val="right"/>
              <w:ind w:right="57"/>
              <w:spacing w:after="0" w:line="135" w:lineRule="exact"/>
              <w:rPr>
                <w:sz w:val="20"/>
                <w:szCs w:val="20"/>
                <w:color w:val="auto"/>
              </w:rPr>
            </w:pPr>
            <w:r>
              <w:rPr>
                <w:rFonts w:ascii="Arial" w:cs="Arial" w:eastAsia="Arial" w:hAnsi="Arial"/>
                <w:sz w:val="14"/>
                <w:szCs w:val="14"/>
                <w:b w:val="1"/>
                <w:bCs w:val="1"/>
                <w:color w:val="auto"/>
                <w:w w:val="93"/>
              </w:rPr>
              <w:t>January 30,</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250"/>
              <w:spacing w:after="0" w:line="135" w:lineRule="exact"/>
              <w:rPr>
                <w:sz w:val="20"/>
                <w:szCs w:val="20"/>
                <w:color w:val="auto"/>
              </w:rPr>
            </w:pPr>
            <w:r>
              <w:rPr>
                <w:rFonts w:ascii="Arial" w:cs="Arial" w:eastAsia="Arial" w:hAnsi="Arial"/>
                <w:sz w:val="14"/>
                <w:szCs w:val="14"/>
                <w:b w:val="1"/>
                <w:bCs w:val="1"/>
                <w:color w:val="auto"/>
                <w:w w:val="93"/>
              </w:rPr>
              <w:t>October 30,</w:t>
            </w:r>
          </w:p>
        </w:tc>
        <w:tc>
          <w:tcPr>
            <w:tcW w:w="880" w:type="dxa"/>
            <w:vAlign w:val="bottom"/>
            <w:tcBorders>
              <w:top w:val="single" w:sz="8" w:color="auto"/>
            </w:tcBorders>
          </w:tcPr>
          <w:p>
            <w:pPr>
              <w:jc w:val="center"/>
              <w:ind w:right="37"/>
              <w:spacing w:after="0" w:line="135" w:lineRule="exact"/>
              <w:rPr>
                <w:sz w:val="20"/>
                <w:szCs w:val="20"/>
                <w:color w:val="auto"/>
              </w:rPr>
            </w:pPr>
            <w:r>
              <w:rPr>
                <w:rFonts w:ascii="Arial" w:cs="Arial" w:eastAsia="Arial" w:hAnsi="Arial"/>
                <w:sz w:val="14"/>
                <w:szCs w:val="14"/>
                <w:b w:val="1"/>
                <w:bCs w:val="1"/>
                <w:color w:val="auto"/>
                <w:w w:val="93"/>
              </w:rPr>
              <w:t>January 30,</w:t>
            </w:r>
          </w:p>
        </w:tc>
      </w:tr>
      <w:tr>
        <w:trPr>
          <w:trHeight w:val="188"/>
        </w:trPr>
        <w:tc>
          <w:tcPr>
            <w:tcW w:w="33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r>
      <w:tr>
        <w:trPr>
          <w:trHeight w:val="224"/>
        </w:trPr>
        <w:tc>
          <w:tcPr>
            <w:tcW w:w="33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Cash equivalents</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i w:val="1"/>
                <w:iCs w:val="1"/>
                <w:color w:val="auto"/>
              </w:rPr>
              <w:t>Short-term investments: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corporate debt securities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30"/>
        </w:trPr>
        <w:tc>
          <w:tcPr>
            <w:tcW w:w="3300" w:type="dxa"/>
            <w:vAlign w:val="bottom"/>
          </w:tcPr>
          <w:p>
            <w:pPr>
              <w:ind w:left="120"/>
              <w:spacing w:after="0"/>
              <w:rPr>
                <w:sz w:val="20"/>
                <w:szCs w:val="20"/>
                <w:color w:val="auto"/>
              </w:rPr>
            </w:pPr>
            <w:r>
              <w:rPr>
                <w:rFonts w:ascii="Arial" w:cs="Arial" w:eastAsia="Arial" w:hAnsi="Arial"/>
                <w:sz w:val="18"/>
                <w:szCs w:val="18"/>
                <w:color w:val="auto"/>
              </w:rPr>
              <w:t>Non-U.S. corporate debt securities</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r>
    </w:tbl>
    <w:p>
      <w:pPr>
        <w:spacing w:after="0" w:line="52" w:lineRule="exact"/>
        <w:rPr>
          <w:sz w:val="20"/>
          <w:szCs w:val="20"/>
          <w:color w:val="auto"/>
        </w:rPr>
      </w:pPr>
    </w:p>
    <w:p>
      <w:pPr>
        <w:ind w:left="680" w:right="840" w:hanging="6"/>
        <w:spacing w:after="0" w:line="235" w:lineRule="auto"/>
        <w:tabs>
          <w:tab w:leader="none" w:pos="9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equivalents represent a money market fund that has a maturity of three months or less at the date of purchase. Due to the short maturity, the Company believes the carrying value approximates fair value.</w:t>
      </w:r>
    </w:p>
    <w:p>
      <w:pPr>
        <w:spacing w:after="0" w:line="162" w:lineRule="exact"/>
        <w:rPr>
          <w:sz w:val="20"/>
          <w:szCs w:val="20"/>
          <w:color w:val="auto"/>
        </w:rPr>
      </w:pPr>
    </w:p>
    <w:p>
      <w:pPr>
        <w:ind w:left="660"/>
        <w:spacing w:after="0" w:line="288" w:lineRule="auto"/>
        <w:rPr>
          <w:sz w:val="20"/>
          <w:szCs w:val="20"/>
          <w:color w:val="auto"/>
        </w:rPr>
      </w:pPr>
      <w:r>
        <w:rPr>
          <w:rFonts w:ascii="Arial" w:cs="Arial" w:eastAsia="Arial" w:hAnsi="Arial"/>
          <w:sz w:val="16"/>
          <w:szCs w:val="16"/>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 Company recorded $3.8 million in impairment charges related to store assets including property, plant, and equipment and lease right-of-use assets during the thirty-nine weeks ended October 31, 2020. There were no impairment charges for the thirteen weeks ended October 30, 2021 and October 31, 2020 or the thirty-nine weeks ended October 30, 2021.</w:t>
      </w:r>
    </w:p>
    <w:p>
      <w:pPr>
        <w:spacing w:after="0" w:line="51" w:lineRule="exact"/>
        <w:rPr>
          <w:sz w:val="20"/>
          <w:szCs w:val="20"/>
          <w:color w:val="auto"/>
        </w:rPr>
      </w:pPr>
    </w:p>
    <w:p>
      <w:pPr>
        <w:ind w:left="660" w:right="100"/>
        <w:spacing w:after="0" w:line="286" w:lineRule="auto"/>
        <w:rPr>
          <w:sz w:val="20"/>
          <w:szCs w:val="20"/>
          <w:color w:val="auto"/>
        </w:rPr>
      </w:pPr>
      <w:r>
        <w:rPr>
          <w:rFonts w:ascii="Arial" w:cs="Arial" w:eastAsia="Arial" w:hAnsi="Arial"/>
          <w:sz w:val="17"/>
          <w:szCs w:val="17"/>
          <w:color w:val="auto"/>
        </w:rPr>
        <w:t>Assets recognized or disclosed at fair value on the consolidated financial statements on a nonrecurring basis include items such as property, plant, and equipment, including leasehold improvements, and operating lease assets, as well as assets related to the Pura Vida acquisition including goodwill and intangible assets. These assets are measured at fair value if determined to be impaired.</w:t>
      </w:r>
    </w:p>
    <w:p>
      <w:pPr>
        <w:spacing w:after="0" w:line="30"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economic conditions and our expectations and may change in the future based on period-specific facts and circumstances. If economic conditions were to deteriorate, future impairment charges may be required which may be material.</w:t>
      </w:r>
    </w:p>
    <w:p>
      <w:pPr>
        <w:spacing w:after="0" w:line="274"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07" w:lineRule="exact"/>
        <w:rPr>
          <w:rFonts w:ascii="Arial" w:cs="Arial" w:eastAsia="Arial" w:hAnsi="Arial"/>
          <w:sz w:val="18"/>
          <w:szCs w:val="18"/>
          <w:b w:val="1"/>
          <w:bCs w:val="1"/>
          <w:color w:val="auto"/>
        </w:rPr>
      </w:pPr>
    </w:p>
    <w:p>
      <w:pPr>
        <w:ind w:left="660" w:right="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55" w:lineRule="exact"/>
        <w:rPr>
          <w:rFonts w:ascii="Arial" w:cs="Arial" w:eastAsia="Arial" w:hAnsi="Arial"/>
          <w:sz w:val="18"/>
          <w:szCs w:val="18"/>
          <w:b w:val="1"/>
          <w:bCs w:val="1"/>
          <w:color w:val="auto"/>
        </w:rPr>
      </w:pPr>
    </w:p>
    <w:p>
      <w:pPr>
        <w:ind w:left="660" w:right="1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31" w:lineRule="exact"/>
        <w:rPr>
          <w:rFonts w:ascii="Arial" w:cs="Arial" w:eastAsia="Arial" w:hAnsi="Arial"/>
          <w:sz w:val="18"/>
          <w:szCs w:val="18"/>
          <w:b w:val="1"/>
          <w:bCs w:val="1"/>
          <w:color w:val="auto"/>
        </w:rPr>
      </w:pPr>
    </w:p>
    <w:p>
      <w:pPr>
        <w:ind w:left="660" w:right="2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62" w:lineRule="exact"/>
        <w:rPr>
          <w:rFonts w:ascii="Arial" w:cs="Arial" w:eastAsia="Arial" w:hAnsi="Arial"/>
          <w:sz w:val="18"/>
          <w:szCs w:val="18"/>
          <w:b w:val="1"/>
          <w:bCs w:val="1"/>
          <w:color w:val="auto"/>
        </w:rPr>
      </w:pPr>
    </w:p>
    <w:p>
      <w:pPr>
        <w:ind w:left="660" w:right="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54"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Credit Agreement also requires the Loan Parties to maintain a minimum fixed charge coverage ratio of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51" w:lineRule="exact"/>
        <w:rPr>
          <w:rFonts w:ascii="Arial" w:cs="Arial" w:eastAsia="Arial" w:hAnsi="Arial"/>
          <w:sz w:val="18"/>
          <w:szCs w:val="18"/>
          <w:b w:val="1"/>
          <w:bCs w:val="1"/>
          <w:color w:val="auto"/>
        </w:rPr>
      </w:pPr>
    </w:p>
    <w:p>
      <w:pPr>
        <w:ind w:left="660" w:right="10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w:t>
      </w:r>
    </w:p>
    <w:p>
      <w:pPr>
        <w:spacing w:after="0" w:line="2" w:lineRule="exact"/>
        <w:rPr>
          <w:rFonts w:ascii="Arial" w:cs="Arial" w:eastAsia="Arial" w:hAnsi="Arial"/>
          <w:sz w:val="18"/>
          <w:szCs w:val="18"/>
          <w:b w:val="1"/>
          <w:bCs w:val="1"/>
          <w:color w:val="auto"/>
        </w:rPr>
      </w:pPr>
    </w:p>
    <w:p>
      <w:pPr>
        <w:ind w:left="660" w:right="4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commitments made under the Credit Agreement mature on September 7, 2023.</w:t>
      </w:r>
    </w:p>
    <w:p>
      <w:pPr>
        <w:spacing w:after="0" w:line="104"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As of October 30, 2021 and January 30, 2021, the Company had no borrowings outstanding and availability of $75.0 million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7" w:lineRule="exact"/>
        <w:rPr>
          <w:rFonts w:ascii="Arial" w:cs="Arial" w:eastAsia="Arial" w:hAnsi="Arial"/>
          <w:sz w:val="18"/>
          <w:szCs w:val="18"/>
          <w:b w:val="1"/>
          <w:bCs w:val="1"/>
          <w:color w:val="auto"/>
        </w:rPr>
      </w:pPr>
    </w:p>
    <w:p>
      <w:pPr>
        <w:ind w:left="660" w:right="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11" w:lineRule="exact"/>
        <w:rPr>
          <w:rFonts w:ascii="Arial" w:cs="Arial" w:eastAsia="Arial" w:hAnsi="Arial"/>
          <w:sz w:val="18"/>
          <w:szCs w:val="18"/>
          <w:b w:val="1"/>
          <w:bCs w:val="1"/>
          <w:color w:val="auto"/>
        </w:rPr>
      </w:pPr>
    </w:p>
    <w:p>
      <w:pPr>
        <w:ind w:left="660" w:right="22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The effective tax rate for the thirteen weeks ended October 30, 2021, was 21.6%, compared to 24.4% for the thirteen weeks ended October 31, 2020. The year-over-year effective tax rate decrease was primarily due to the relative impact of permanent and discrete items in the current-year period compared to the prior-year period, primarily as a result of stock-based compensation.</w:t>
      </w:r>
    </w:p>
    <w:p>
      <w:pPr>
        <w:spacing w:after="0" w:line="60" w:lineRule="exact"/>
        <w:rPr>
          <w:rFonts w:ascii="Arial" w:cs="Arial" w:eastAsia="Arial" w:hAnsi="Arial"/>
          <w:sz w:val="18"/>
          <w:szCs w:val="18"/>
          <w:b w:val="1"/>
          <w:bCs w:val="1"/>
          <w:color w:val="auto"/>
        </w:rPr>
      </w:pPr>
    </w:p>
    <w:p>
      <w:pPr>
        <w:ind w:left="660" w:right="2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effective tax rate for the thirty-nine weeks ended October 30, 2021, was 20.9%, compared to 45.5% for the thirty-nine weeks ended October 31, 2020. The year-over-year effective tax rate decrease was primarily due to the relative impact of permanent and discrete items in the current-year period compared to the prior-year period, primarily as a result of stock-based compensation.</w:t>
      </w:r>
    </w:p>
    <w:p>
      <w:pPr>
        <w:spacing w:after="0" w:line="281" w:lineRule="exact"/>
        <w:rPr>
          <w:rFonts w:ascii="Arial" w:cs="Arial" w:eastAsia="Arial" w:hAnsi="Arial"/>
          <w:sz w:val="18"/>
          <w:szCs w:val="18"/>
          <w:b w:val="1"/>
          <w:bCs w:val="1"/>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4"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48" w:lineRule="exact"/>
        <w:rPr>
          <w:rFonts w:ascii="Arial" w:cs="Arial" w:eastAsia="Arial" w:hAnsi="Arial"/>
          <w:sz w:val="18"/>
          <w:szCs w:val="18"/>
          <w:b w:val="1"/>
          <w:bCs w:val="1"/>
          <w:color w:val="auto"/>
        </w:rPr>
      </w:pPr>
    </w:p>
    <w:p>
      <w:pPr>
        <w:jc w:val="both"/>
        <w:ind w:left="660" w:right="3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reserved 3,000,000 shares of common stock for issuance or transfer under the 2020 Equity and Incentive Plan, which allows for grants of restricted stock units, as well as other equity awards. The Company maintains the 2010 Equity and Incentive Plan for awards granted prior to the effectiveness of the 2020 Equity and Incentive Plan.</w:t>
      </w:r>
    </w:p>
    <w:p>
      <w:pPr>
        <w:spacing w:after="0" w:line="22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Awards of Restricted Stock Units</w:t>
      </w:r>
    </w:p>
    <w:p>
      <w:pPr>
        <w:spacing w:after="0" w:line="252" w:lineRule="exact"/>
        <w:rPr>
          <w:rFonts w:ascii="Arial" w:cs="Arial" w:eastAsia="Arial" w:hAnsi="Arial"/>
          <w:sz w:val="18"/>
          <w:szCs w:val="18"/>
          <w:b w:val="1"/>
          <w:bCs w:val="1"/>
          <w:color w:val="auto"/>
        </w:rPr>
      </w:pPr>
    </w:p>
    <w:p>
      <w:pPr>
        <w:ind w:left="6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the thirteen weeks ended October 30, 2021, the Company granted 11,424 time-based and performance-based restricted stock units with an aggregate fair value of $0.1 million to certain employees under the 2020 Equity and Incentive Plan compared to 48,106 time-based and performance-based restricted stock units with an aggregate fair value of $0.3 million in the same period of the prior year under the 2010 Equity and Incentive Plan.</w:t>
      </w:r>
    </w:p>
    <w:p>
      <w:pPr>
        <w:spacing w:after="0" w:line="213" w:lineRule="exact"/>
        <w:rPr>
          <w:rFonts w:ascii="Arial" w:cs="Arial" w:eastAsia="Arial" w:hAnsi="Arial"/>
          <w:sz w:val="18"/>
          <w:szCs w:val="18"/>
          <w:b w:val="1"/>
          <w:bCs w:val="1"/>
          <w:color w:val="auto"/>
        </w:rPr>
      </w:pPr>
    </w:p>
    <w:p>
      <w:pPr>
        <w:ind w:left="6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During the thirty-nine weeks ended October 30, 2021, the Company granted 652,339 time-based and performance-based restricted stock units with an aggregate fair value of $6.7 million to certain employees and non-employee directors under the 2020 Equity and Incentive Plan compared</w:t>
      </w:r>
    </w:p>
    <w:p>
      <w:pPr>
        <w:ind w:left="660" w:right="12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to 1,460,130 time-based and performance-based restricted stock units with an aggregate fair value of $6.1 million in the same period of the prior-year under the 2010 Equity and Incentive Plan.</w:t>
      </w:r>
    </w:p>
    <w:p>
      <w:pPr>
        <w:spacing w:after="0" w:line="212" w:lineRule="exact"/>
        <w:rPr>
          <w:rFonts w:ascii="Arial" w:cs="Arial" w:eastAsia="Arial" w:hAnsi="Arial"/>
          <w:sz w:val="18"/>
          <w:szCs w:val="18"/>
          <w:b w:val="1"/>
          <w:bCs w:val="1"/>
          <w:color w:val="auto"/>
        </w:rPr>
      </w:pPr>
    </w:p>
    <w:p>
      <w:pPr>
        <w:ind w:left="6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There were no restricted stock units granted under the 2020 Equity and Incentive Plan during the thirteen and thirty-nine weeks ended October 31, 2020.</w:t>
      </w:r>
    </w:p>
    <w:p>
      <w:pPr>
        <w:spacing w:after="0" w:line="116" w:lineRule="exact"/>
        <w:rPr>
          <w:rFonts w:ascii="Arial" w:cs="Arial" w:eastAsia="Arial" w:hAnsi="Arial"/>
          <w:sz w:val="18"/>
          <w:szCs w:val="18"/>
          <w:b w:val="1"/>
          <w:bCs w:val="1"/>
          <w:color w:val="auto"/>
        </w:rPr>
      </w:pPr>
    </w:p>
    <w:p>
      <w:pPr>
        <w:ind w:left="6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majority of the time-based restricted stock units vest and settle in shares of the Company’s common stock, on a one-for-one basis,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32" w:lineRule="exact"/>
        <w:rPr>
          <w:rFonts w:ascii="Arial" w:cs="Arial" w:eastAsia="Arial" w:hAnsi="Arial"/>
          <w:sz w:val="18"/>
          <w:szCs w:val="18"/>
          <w:b w:val="1"/>
          <w:bCs w:val="1"/>
          <w:color w:val="auto"/>
        </w:rPr>
      </w:pPr>
    </w:p>
    <w:p>
      <w:pPr>
        <w:ind w:left="660" w:right="1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 summary of restricted stock unit activity for the thirty-nine weeks ended October 30, 2021 (units in thousands):</w:t>
      </w:r>
    </w:p>
    <w:p>
      <w:pPr>
        <w:spacing w:after="0" w:line="4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720" w:type="dxa"/>
            <w:vAlign w:val="bottom"/>
            <w:gridSpan w:val="3"/>
          </w:tcPr>
          <w:p>
            <w:pPr>
              <w:jc w:val="center"/>
              <w:ind w:left="918"/>
              <w:spacing w:after="0"/>
              <w:rPr>
                <w:sz w:val="20"/>
                <w:szCs w:val="20"/>
                <w:color w:val="auto"/>
              </w:rPr>
            </w:pPr>
            <w:r>
              <w:rPr>
                <w:rFonts w:ascii="Arial" w:cs="Arial" w:eastAsia="Arial" w:hAnsi="Arial"/>
                <w:sz w:val="14"/>
                <w:szCs w:val="14"/>
                <w:b w:val="1"/>
                <w:bCs w:val="1"/>
                <w:color w:val="auto"/>
                <w:w w:val="92"/>
              </w:rPr>
              <w:t>Time-based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88"/>
        </w:trPr>
        <w:tc>
          <w:tcPr>
            <w:tcW w:w="4380" w:type="dxa"/>
            <w:vAlign w:val="bottom"/>
          </w:tcPr>
          <w:p>
            <w:pPr>
              <w:spacing w:after="0"/>
              <w:rPr>
                <w:sz w:val="16"/>
                <w:szCs w:val="16"/>
                <w:color w:val="auto"/>
              </w:rPr>
            </w:pPr>
          </w:p>
        </w:tc>
        <w:tc>
          <w:tcPr>
            <w:tcW w:w="28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Restricted Stock Units</w:t>
            </w:r>
          </w:p>
        </w:tc>
        <w:tc>
          <w:tcPr>
            <w:tcW w:w="27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30"/>
        </w:trPr>
        <w:tc>
          <w:tcPr>
            <w:tcW w:w="43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280"/>
              <w:spacing w:after="0" w:line="130" w:lineRule="exact"/>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60"/>
              <w:spacing w:after="0" w:line="130"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rPr>
              <w:t>Grant</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80"/>
              <w:spacing w:after="0" w:line="135"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26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60"/>
              <w:spacing w:after="0" w:line="135"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96"/>
              </w:rPr>
              <w:t>Value</w:t>
            </w:r>
          </w:p>
        </w:tc>
        <w:tc>
          <w:tcPr>
            <w:tcW w:w="1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8"/>
        </w:trPr>
        <w:tc>
          <w:tcPr>
            <w:tcW w:w="4380" w:type="dxa"/>
            <w:vAlign w:val="bottom"/>
          </w:tcPr>
          <w:p>
            <w:pPr>
              <w:spacing w:after="0"/>
              <w:rPr>
                <w:sz w:val="16"/>
                <w:szCs w:val="16"/>
                <w:color w:val="auto"/>
              </w:rPr>
            </w:pPr>
          </w:p>
        </w:tc>
        <w:tc>
          <w:tcPr>
            <w:tcW w:w="1260" w:type="dxa"/>
            <w:vAlign w:val="bottom"/>
          </w:tcPr>
          <w:p>
            <w:pPr>
              <w:jc w:val="right"/>
              <w:ind w:right="398"/>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(per unit)</w:t>
            </w:r>
          </w:p>
        </w:tc>
        <w:tc>
          <w:tcPr>
            <w:tcW w:w="1280" w:type="dxa"/>
            <w:vAlign w:val="bottom"/>
          </w:tcPr>
          <w:p>
            <w:pPr>
              <w:jc w:val="right"/>
              <w:ind w:right="398"/>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60"/>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24"/>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January 30, 2021</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October 30, 2021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60" w:right="660"/>
        <w:spacing w:after="0" w:line="263" w:lineRule="auto"/>
        <w:rPr>
          <w:sz w:val="20"/>
          <w:szCs w:val="20"/>
          <w:color w:val="auto"/>
        </w:rPr>
      </w:pPr>
      <w:r>
        <w:rPr>
          <w:rFonts w:ascii="Arial" w:cs="Arial" w:eastAsia="Arial" w:hAnsi="Arial"/>
          <w:sz w:val="18"/>
          <w:szCs w:val="18"/>
          <w:color w:val="auto"/>
        </w:rPr>
        <w:t>As of October 30, 2021, there was $6.9 million of total unrecognized compensation cost, net of estimated forfeitures, related to nonvested restricted stock units. That cost is expected to be recognized over a weighted-average period of 1.6 years, subject to meeting performance conditions.</w:t>
      </w:r>
    </w:p>
    <w:p>
      <w:pPr>
        <w:spacing w:after="0" w:line="301"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07" w:lineRule="exact"/>
        <w:rPr>
          <w:rFonts w:ascii="Arial" w:cs="Arial" w:eastAsia="Arial" w:hAnsi="Arial"/>
          <w:sz w:val="18"/>
          <w:szCs w:val="18"/>
          <w:b w:val="1"/>
          <w:bCs w:val="1"/>
          <w:color w:val="auto"/>
        </w:rPr>
      </w:pPr>
    </w:p>
    <w:p>
      <w:pPr>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57" w:lineRule="exact"/>
        <w:rPr>
          <w:rFonts w:ascii="Arial" w:cs="Arial" w:eastAsia="Arial" w:hAnsi="Arial"/>
          <w:sz w:val="18"/>
          <w:szCs w:val="18"/>
          <w:b w:val="1"/>
          <w:bCs w:val="1"/>
          <w:color w:val="auto"/>
        </w:rPr>
      </w:pPr>
    </w:p>
    <w:p>
      <w:pPr>
        <w:ind w:left="660" w:right="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Company has filed a motion for summary judgement asking the Court to dismiss all claims with prejudice and grant judgement on its counterclaim. The motion is fully briefed and the Company is awaiting a decision from the Court.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63" w:lineRule="exact"/>
        <w:rPr>
          <w:rFonts w:ascii="Arial" w:cs="Arial" w:eastAsia="Arial" w:hAnsi="Arial"/>
          <w:sz w:val="18"/>
          <w:szCs w:val="18"/>
          <w:b w:val="1"/>
          <w:bCs w:val="1"/>
          <w:color w:val="auto"/>
        </w:rPr>
      </w:pPr>
    </w:p>
    <w:p>
      <w:pPr>
        <w:ind w:left="660" w:right="8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In April of 2020, Chidimma Igboakaeze filed suit seeking class certification for all current and former hourly-paid employees who worked for the Company within the state of California during the four years preceding the filing until final judgement. The complaint alleged various violations of the California Labor Code related to wages, overtime, meal and rest breaks, non-compliant wage statements and records and other similar allegations related to employment. The Plaintiff also filed a Private Attorney General Act claim with the state of California regarding the same allegations. This case was settled in the first quarter of fiscal 2022 for an immaterial amount.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07" w:lineRule="exact"/>
        <w:rPr>
          <w:rFonts w:ascii="Arial" w:cs="Arial" w:eastAsia="Arial" w:hAnsi="Arial"/>
          <w:sz w:val="18"/>
          <w:szCs w:val="18"/>
          <w:b w:val="1"/>
          <w:bCs w:val="1"/>
          <w:color w:val="auto"/>
        </w:rPr>
      </w:pPr>
    </w:p>
    <w:p>
      <w:pPr>
        <w:ind w:left="6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November 29, 2018, the Company's board of directors approved a share repurchase plan (the “2018 Share Repurchase Program”) authorizing up to $50.0 million of repurchases of shares of the Company's common stock. On December 3, 2020, the 2018 Share Repurchase Program was extended through December 11, 2021. On March 20, 2020, the Company temporarily suspended the share repurchase program to conserve cash as a result of the COVID-19 pandemic. The board of directors authorized the resumption of the share repurchase program beginning on March 11, 2021.</w:t>
      </w:r>
    </w:p>
    <w:p>
      <w:pPr>
        <w:spacing w:after="0" w:line="52" w:lineRule="exact"/>
        <w:rPr>
          <w:rFonts w:ascii="Arial" w:cs="Arial" w:eastAsia="Arial" w:hAnsi="Arial"/>
          <w:sz w:val="18"/>
          <w:szCs w:val="18"/>
          <w:b w:val="1"/>
          <w:bCs w:val="1"/>
          <w:color w:val="auto"/>
        </w:rPr>
      </w:pPr>
    </w:p>
    <w:p>
      <w:pPr>
        <w:ind w:left="660" w:right="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Subsequent to the end of the quarter, in December 2021, the Company's board of directors approved a new share repurchase plan (the “2021 Share Repurchase Program”) which authorized Company management to utilize up to $50.0 million of available cash for repurchases of shares of the Company's common stock. The 2021 Share Repurchase Program goes into effect beginning December 13, 2021 and expires in December 2024.</w:t>
      </w:r>
    </w:p>
    <w:p>
      <w:pPr>
        <w:spacing w:after="0" w:line="27" w:lineRule="exact"/>
        <w:rPr>
          <w:rFonts w:ascii="Arial" w:cs="Arial" w:eastAsia="Arial" w:hAnsi="Arial"/>
          <w:sz w:val="18"/>
          <w:szCs w:val="18"/>
          <w:b w:val="1"/>
          <w:bCs w:val="1"/>
          <w:color w:val="auto"/>
        </w:rPr>
      </w:pPr>
    </w:p>
    <w:p>
      <w:pPr>
        <w:jc w:val="both"/>
        <w:ind w:left="660" w:right="1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Company purchased 214,030 shares at an average price of $9.90 per share, excluding commissions, for an aggregate amount of $2.1 million during the thirty-nine weeks ended October 30, 2021 under the 2018 Share Repurchase Program. There was $30.8 million remaining available to repurchase shares of the Company's common stock under the 2018 Share Repurchase Program as of October 30, 2021.</w:t>
      </w:r>
    </w:p>
    <w:p>
      <w:pPr>
        <w:spacing w:after="0" w:line="27" w:lineRule="exact"/>
        <w:rPr>
          <w:rFonts w:ascii="Arial" w:cs="Arial" w:eastAsia="Arial" w:hAnsi="Arial"/>
          <w:sz w:val="18"/>
          <w:szCs w:val="18"/>
          <w:b w:val="1"/>
          <w:bCs w:val="1"/>
          <w:color w:val="auto"/>
        </w:rPr>
      </w:pPr>
    </w:p>
    <w:p>
      <w:pPr>
        <w:ind w:left="6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As of October 30, 2021, the Company held as treasury shares 8,607,237 shares of its common stock at an average price of $12.68 per share, excluding commissions, for an aggregate carrying amount of $109.2 million. The Company’s treasury shares may be issued under the 2010 Equity and Incentive Plan (with respect to outstanding awards under that plan), under the 2020 Equity and Incentive Plan, or for other corporate purposes.</w:t>
      </w:r>
    </w:p>
    <w:p>
      <w:pPr>
        <w:spacing w:after="0" w:line="252" w:lineRule="exact"/>
        <w:rPr>
          <w:rFonts w:ascii="Arial" w:cs="Arial" w:eastAsia="Arial" w:hAnsi="Arial"/>
          <w:sz w:val="18"/>
          <w:szCs w:val="18"/>
          <w:b w:val="1"/>
          <w:bCs w:val="1"/>
          <w:color w:val="auto"/>
        </w:rPr>
      </w:pPr>
    </w:p>
    <w:p>
      <w:pPr>
        <w:ind w:left="640" w:hanging="632"/>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Cloud Computing Arrangements</w:t>
      </w:r>
    </w:p>
    <w:p>
      <w:pPr>
        <w:spacing w:after="0" w:line="107" w:lineRule="exact"/>
        <w:rPr>
          <w:rFonts w:ascii="Arial" w:cs="Arial" w:eastAsia="Arial" w:hAnsi="Arial"/>
          <w:sz w:val="18"/>
          <w:szCs w:val="18"/>
          <w:b w:val="1"/>
          <w:bCs w:val="1"/>
          <w:color w:val="auto"/>
        </w:rPr>
      </w:pPr>
    </w:p>
    <w:p>
      <w:pPr>
        <w:ind w:left="660" w:right="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Company capitalizes implementation costs associated with its Cloud Computing Arrangements (“CCA”) consistent with costs capitalized for internal-use software. The CCA costs are amortized over the term of the related hosting agreement, taking into consideration renewal options, if any. The renewal period is included in the amortization period if determined that the option is reasonably certain to be exercised. The amortization expense is recorded within selling, general, and administrative expenses in the Company's Condensed Consolidated Statements of Operations, which is within the same line item as the related hosting fees. The balance of the unamortized CCA implementation costs totaled $8.3 million and $8.1 million as of October 30, 2021 and January 30, 2021, respectively. Of this total, $2.8 million and $2.4 million was recorded within prepaid expenses and other current assets and $5.5 million and $5.7 million was recorded within other assets on the Company's Condensed Consolidated Balance Sheets as of October 30, 2021 and January 30, 2021, respectively. The CCA implementation costs are recorded within operating activities in the Company's Condensed Consolidated Statements of Cash Flows.</w:t>
      </w:r>
    </w:p>
    <w:p>
      <w:pPr>
        <w:spacing w:after="0" w:line="189" w:lineRule="exact"/>
        <w:rPr>
          <w:rFonts w:ascii="Arial" w:cs="Arial" w:eastAsia="Arial" w:hAnsi="Arial"/>
          <w:sz w:val="18"/>
          <w:szCs w:val="18"/>
          <w:b w:val="1"/>
          <w:bCs w:val="1"/>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Pura Vida</w:t>
      </w:r>
    </w:p>
    <w:p>
      <w:pPr>
        <w:spacing w:after="0" w:line="107" w:lineRule="exact"/>
        <w:rPr>
          <w:rFonts w:ascii="Arial" w:cs="Arial" w:eastAsia="Arial" w:hAnsi="Arial"/>
          <w:sz w:val="18"/>
          <w:szCs w:val="18"/>
          <w:b w:val="1"/>
          <w:bCs w:val="1"/>
          <w:color w:val="auto"/>
        </w:rPr>
      </w:pPr>
    </w:p>
    <w:p>
      <w:pPr>
        <w:ind w:left="660" w:right="3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July 16, 2019, the Company completed its acquisition of a seventy-five percent (75%) ownership interest in Creative Genius, Inc. or “Pura Vida” (the “Transaction”) in exchange for total cash consideration of approximately $75.0 million. The Company received a working capital reimbursement of $1.0 million during the first quarter of fiscal 2021.</w:t>
      </w:r>
    </w:p>
    <w:p>
      <w:pPr>
        <w:spacing w:after="0" w:line="48" w:lineRule="exact"/>
        <w:rPr>
          <w:rFonts w:ascii="Arial" w:cs="Arial" w:eastAsia="Arial" w:hAnsi="Arial"/>
          <w:sz w:val="18"/>
          <w:szCs w:val="18"/>
          <w:b w:val="1"/>
          <w:bCs w:val="1"/>
          <w:color w:val="auto"/>
        </w:rPr>
      </w:pPr>
    </w:p>
    <w:p>
      <w:pPr>
        <w:ind w:left="660" w:right="1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accordance with the Interest Purchase Agreement, the Company also agreed to a contingent payment of up to $22.5 million payable during the first quarter of calendar year 2020 based on calendar year 2019 adjusted EBITDA of Pura Vida, as defined in the Interest Purchase Agreement. This contingent payment was made during the first quarter of fiscal 2021 totaling $18.7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Noncontrolling Interest</w:t>
      </w:r>
    </w:p>
    <w:p>
      <w:pPr>
        <w:spacing w:after="0" w:line="107"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Redeemable noncontrolling interest represents the remaining twenty-five percent (25%) interest in Pura Vida not acquired by the Company. Refer to Notes 1 and 4 herein for additional information.</w:t>
      </w:r>
    </w:p>
    <w:p>
      <w:pPr>
        <w:spacing w:after="0" w:line="3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Changes in redeemable noncontrolling interest for the thirteen and thirty-nine weeks ended October 30, 2021, were as follows (in thousands):</w:t>
      </w:r>
    </w:p>
    <w:p>
      <w:pPr>
        <w:spacing w:after="0" w:line="168"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30, 2021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29,809</w:t>
            </w: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Net income attributable to redeemable noncontrolling interest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redeemable noncontrolling interest</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Balance at May 1, 2021</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30,307</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redeemable noncontrolling interest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Distributions to redeemable noncontrolling interest</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July 31, 2021</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30,364</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attributable to redeemable noncontrolling interest</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redeemable noncontrolling interest</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Balance at October 30, 2021</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30,701</w:t>
            </w:r>
          </w:p>
        </w:tc>
        <w:tc>
          <w:tcPr>
            <w:tcW w:w="0" w:type="dxa"/>
            <w:vAlign w:val="bottom"/>
          </w:tcPr>
          <w:p>
            <w:pPr>
              <w:spacing w:after="0"/>
              <w:rPr>
                <w:sz w:val="1"/>
                <w:szCs w:val="1"/>
                <w:color w:val="auto"/>
              </w:rPr>
            </w:pPr>
          </w:p>
        </w:tc>
      </w:tr>
      <w:tr>
        <w:trPr>
          <w:trHeight w:val="21"/>
        </w:trPr>
        <w:tc>
          <w:tcPr>
            <w:tcW w:w="8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in redeemable noncontrolling interest for the thirteen and thirty-nine weeks ended October 31, 2020, were as follows (in thousands):</w:t>
      </w:r>
    </w:p>
    <w:p>
      <w:pPr>
        <w:spacing w:after="0" w:line="16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February 1, 2020</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30,049</w:t>
            </w: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Net loss attributable to redeemable noncontrolling interest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redeemable noncontrolling interest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 to redemption value</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9,305</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May 2, 2020</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38,858</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attributable to redeemable noncontrolling interest</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redeemable noncontrolling interest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 to redemption value</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(9,736)</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August 1, 2020</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29,654</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attributable to redeemable noncontrolling interest</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redeemable noncontrolling interest</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Balance at October 31, 2020</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29,146</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107" w:lineRule="exact"/>
        <w:rPr>
          <w:rFonts w:ascii="Arial" w:cs="Arial" w:eastAsia="Arial" w:hAnsi="Arial"/>
          <w:sz w:val="18"/>
          <w:szCs w:val="18"/>
          <w:b w:val="1"/>
          <w:bCs w:val="1"/>
          <w:color w:val="auto"/>
        </w:rPr>
      </w:pPr>
    </w:p>
    <w:p>
      <w:pPr>
        <w:ind w:left="660" w:right="420"/>
        <w:spacing w:after="0" w:line="269" w:lineRule="auto"/>
        <w:rPr>
          <w:rFonts w:ascii="Arial" w:cs="Arial" w:eastAsia="Arial" w:hAnsi="Arial"/>
          <w:sz w:val="18"/>
          <w:szCs w:val="18"/>
          <w:b w:val="1"/>
          <w:bCs w:val="1"/>
          <w:color w:val="auto"/>
        </w:rPr>
      </w:pPr>
      <w:r>
        <w:rPr>
          <w:rFonts w:ascii="Arial" w:cs="Arial" w:eastAsia="Arial" w:hAnsi="Arial"/>
          <w:sz w:val="18"/>
          <w:szCs w:val="18"/>
          <w:color w:val="auto"/>
        </w:rPr>
        <w:t>The following tables detail the carrying value of the Company's intangible assets other than goodwill related to the acquisition of a majority interest in Pura Vida.</w:t>
      </w:r>
    </w:p>
    <w:tbl>
      <w:tblPr>
        <w:tblLayout w:type="fixed"/>
        <w:tblInd w:w="66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October 30, 2021</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9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 Basis</w:t>
            </w: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14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9"/>
              </w:rPr>
              <w:t>Carrying Amount</w:t>
            </w:r>
          </w:p>
        </w:tc>
        <w:tc>
          <w:tcPr>
            <w:tcW w:w="0" w:type="dxa"/>
            <w:vAlign w:val="bottom"/>
          </w:tcPr>
          <w:p>
            <w:pPr>
              <w:spacing w:after="0"/>
              <w:rPr>
                <w:sz w:val="1"/>
                <w:szCs w:val="1"/>
                <w:color w:val="auto"/>
              </w:rPr>
            </w:pPr>
          </w:p>
        </w:tc>
      </w:tr>
      <w:tr>
        <w:trPr>
          <w:trHeight w:val="189"/>
        </w:trPr>
        <w:tc>
          <w:tcPr>
            <w:tcW w:w="4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line="189" w:lineRule="exact"/>
              <w:rPr>
                <w:sz w:val="20"/>
                <w:szCs w:val="20"/>
                <w:color w:val="auto"/>
              </w:rPr>
            </w:pPr>
            <w:r>
              <w:rPr>
                <w:rFonts w:ascii="Arial" w:cs="Arial" w:eastAsia="Arial" w:hAnsi="Arial"/>
                <w:sz w:val="14"/>
                <w:szCs w:val="14"/>
                <w:b w:val="1"/>
                <w:bCs w:val="1"/>
                <w:color w:val="auto"/>
                <w:w w:val="93"/>
              </w:rPr>
              <w:t>Amortization</w:t>
            </w:r>
            <w:r>
              <w:rPr>
                <w:rFonts w:ascii="Arial" w:cs="Arial" w:eastAsia="Arial" w:hAnsi="Arial"/>
                <w:sz w:val="18"/>
                <w:szCs w:val="18"/>
                <w:b w:val="1"/>
                <w:bCs w:val="1"/>
                <w:color w:val="auto"/>
                <w:w w:val="93"/>
                <w:vertAlign w:val="superscript"/>
              </w:rPr>
              <w:t>(1)</w:t>
            </w: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24,208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(16,312)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7,896</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Non-competition Agreements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definite-lived intangible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8,323</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Indefinite-lived intangible asset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 Brand</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36,668</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excluding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44,991</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 Amortization expense is recorded within the Pura Vida segment.</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January 30, 2021</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 Basis</w:t>
            </w: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14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9"/>
              </w:rPr>
              <w:t>Carrying Amount</w:t>
            </w:r>
          </w:p>
        </w:tc>
        <w:tc>
          <w:tcPr>
            <w:tcW w:w="0" w:type="dxa"/>
            <w:vAlign w:val="bottom"/>
          </w:tcPr>
          <w:p>
            <w:pPr>
              <w:spacing w:after="0"/>
              <w:rPr>
                <w:sz w:val="1"/>
                <w:szCs w:val="1"/>
                <w:color w:val="auto"/>
              </w:rPr>
            </w:pPr>
          </w:p>
        </w:tc>
      </w:tr>
      <w:tr>
        <w:trPr>
          <w:trHeight w:val="189"/>
        </w:trPr>
        <w:tc>
          <w:tcPr>
            <w:tcW w:w="4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line="189" w:lineRule="exact"/>
              <w:rPr>
                <w:sz w:val="20"/>
                <w:szCs w:val="20"/>
                <w:color w:val="auto"/>
              </w:rPr>
            </w:pPr>
            <w:r>
              <w:rPr>
                <w:rFonts w:ascii="Arial" w:cs="Arial" w:eastAsia="Arial" w:hAnsi="Arial"/>
                <w:sz w:val="14"/>
                <w:szCs w:val="14"/>
                <w:b w:val="1"/>
                <w:bCs w:val="1"/>
                <w:color w:val="auto"/>
                <w:w w:val="93"/>
              </w:rPr>
              <w:t>Amortization</w:t>
            </w:r>
            <w:r>
              <w:rPr>
                <w:rFonts w:ascii="Arial" w:cs="Arial" w:eastAsia="Arial" w:hAnsi="Arial"/>
                <w:sz w:val="18"/>
                <w:szCs w:val="18"/>
                <w:b w:val="1"/>
                <w:bCs w:val="1"/>
                <w:color w:val="auto"/>
                <w:w w:val="93"/>
                <w:vertAlign w:val="superscript"/>
              </w:rPr>
              <w:t>(1)</w:t>
            </w: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24,208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(14,125)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10,083</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Non-competition Agreements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definite-lived intangible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10,628</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Indefinite-lived intangible asset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 Brand</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36,668</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excluding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47,296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 Amortization expense is recorded within the Pura Vida segment.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expense is recorded within selling, general, and administrative expenses in the Company's Condensed Consolidated Statement of</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Operations. The future amortization expense for intangible assets is as follows (in thousands):</w:t>
      </w:r>
    </w:p>
    <w:p>
      <w:pPr>
        <w:spacing w:after="0" w:line="27"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Amortization Expense</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2022 (remaining three months)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3,073</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r>
      <w:tr>
        <w:trPr>
          <w:trHeight w:val="22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Fiscal 2025</w:t>
            </w: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8,323</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total amount of the goodwill as of October 30, 2021 and January 30, 2021, of $44.3 million was recorded within the Pura Vida segment upon acquisition. Goodwill is deductible for tax purposes, limited to the Company's 75%</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majority ownership interest. There were no changes to goodwill for the thirteen and thirty-nine weeks ended October 30, 2021 and October 31, 2020.</w:t>
      </w:r>
    </w:p>
    <w:p>
      <w:pPr>
        <w:spacing w:after="0" w:line="143" w:lineRule="exact"/>
        <w:rPr>
          <w:sz w:val="20"/>
          <w:szCs w:val="20"/>
          <w:color w:val="auto"/>
        </w:rPr>
      </w:pPr>
    </w:p>
    <w:p>
      <w:pPr>
        <w:ind w:left="660"/>
        <w:spacing w:after="0" w:line="301" w:lineRule="auto"/>
        <w:rPr>
          <w:sz w:val="20"/>
          <w:szCs w:val="20"/>
          <w:color w:val="auto"/>
        </w:rPr>
      </w:pPr>
      <w:r>
        <w:rPr>
          <w:rFonts w:ascii="Arial" w:cs="Arial" w:eastAsia="Arial" w:hAnsi="Arial"/>
          <w:sz w:val="16"/>
          <w:szCs w:val="16"/>
          <w:color w:val="auto"/>
        </w:rPr>
        <w:t>The Company performs its annual impairment test during the second quarter of each fiscal year. There was no impairment charge recorded as a result of that test for fiscal 2022. Future impacts of COVID-19, including but not limited to the duration and magnitude of the pandemic, may have an impact on the triggering event assessment or future fair value estimate of goodwill, brand intangible asset, and definite-lived intangible assets, which could lead to material impairment charges. Refer to Note 5 herein for additional information regarding the fair value measurement.</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4" w:lineRule="exact"/>
        <w:rPr>
          <w:rFonts w:ascii="Arial" w:cs="Arial" w:eastAsia="Arial" w:hAnsi="Arial"/>
          <w:sz w:val="18"/>
          <w:szCs w:val="18"/>
          <w:b w:val="1"/>
          <w:bCs w:val="1"/>
          <w:color w:val="auto"/>
        </w:rPr>
      </w:pPr>
    </w:p>
    <w:p>
      <w:pPr>
        <w:ind w:left="6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three operating segments, which are also its reportable segments: Vera Bradley Direct (“VB Direct”), Vera Bradley Indirect (“VB Indirect”), and Pura Vida.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65" w:lineRule="exact"/>
        <w:rPr>
          <w:rFonts w:ascii="Arial" w:cs="Arial" w:eastAsia="Arial" w:hAnsi="Arial"/>
          <w:sz w:val="18"/>
          <w:szCs w:val="18"/>
          <w:b w:val="1"/>
          <w:bCs w:val="1"/>
          <w:color w:val="auto"/>
        </w:rPr>
      </w:pPr>
    </w:p>
    <w:p>
      <w:pPr>
        <w:jc w:val="both"/>
        <w:ind w:left="660" w:righ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VB Direct segment includes Vera Bradley full-line and factory outlet stores; the Vera Bradley website, verabradley.com; the Vera Bradley online outlet site; and typically the Vera Bradley annual outlet sale. Revenues generated from this segment are driven through the sale of Vera Bradley-branded products from Vera Bradley to end consumers.</w:t>
      </w:r>
    </w:p>
    <w:p>
      <w:pPr>
        <w:spacing w:after="0" w:line="62" w:lineRule="exact"/>
        <w:rPr>
          <w:rFonts w:ascii="Arial" w:cs="Arial" w:eastAsia="Arial" w:hAnsi="Arial"/>
          <w:sz w:val="18"/>
          <w:szCs w:val="18"/>
          <w:b w:val="1"/>
          <w:bCs w:val="1"/>
          <w:color w:val="auto"/>
        </w:rPr>
      </w:pPr>
    </w:p>
    <w:p>
      <w:pPr>
        <w:ind w:left="660" w:right="2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VB Indirect segment represents revenues generated through the distribution of Vera Bradley-branded products to specialty retailers representing approximately 2,000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51" w:lineRule="exact"/>
        <w:rPr>
          <w:rFonts w:ascii="Arial" w:cs="Arial" w:eastAsia="Arial" w:hAnsi="Arial"/>
          <w:sz w:val="18"/>
          <w:szCs w:val="18"/>
          <w:b w:val="1"/>
          <w:bCs w:val="1"/>
          <w:color w:val="auto"/>
        </w:rPr>
      </w:pPr>
    </w:p>
    <w:p>
      <w:pPr>
        <w:ind w:left="660" w:right="2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Pura Vida segment represents revenues generated through the Pura Vida websites, www.puravidabracelets.com, www.puravidabracelets.eu, and www.puravidabracelets.ca, and through the distribution of Pura Vida-branded products to wholesale retailers, substantially all of which are located in the United States, as well as through its first Pura Vida retail store opened in August 2021.</w:t>
      </w:r>
    </w:p>
    <w:p>
      <w:pPr>
        <w:spacing w:after="0" w:line="27" w:lineRule="exact"/>
        <w:rPr>
          <w:rFonts w:ascii="Arial" w:cs="Arial" w:eastAsia="Arial" w:hAnsi="Arial"/>
          <w:sz w:val="18"/>
          <w:szCs w:val="18"/>
          <w:b w:val="1"/>
          <w:bCs w:val="1"/>
          <w:color w:val="auto"/>
        </w:rPr>
      </w:pPr>
    </w:p>
    <w:p>
      <w:pPr>
        <w:ind w:left="6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All intercompany-related activities are eliminated in consolidation and are excluded from the segment reporting.</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spacing w:after="0" w:line="295" w:lineRule="auto"/>
        <w:rPr>
          <w:sz w:val="20"/>
          <w:szCs w:val="20"/>
          <w:color w:val="auto"/>
        </w:rPr>
      </w:pPr>
      <w:r>
        <w:rPr>
          <w:rFonts w:ascii="Arial" w:cs="Arial" w:eastAsia="Arial" w:hAnsi="Arial"/>
          <w:sz w:val="16"/>
          <w:szCs w:val="16"/>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during the thirteen and thirty-nine weeks ended October 30, 2021 and October 31, 2020, respectively, consisted of the following (in thousands):</w:t>
      </w:r>
    </w:p>
    <w:p>
      <w:pPr>
        <w:spacing w:after="0" w:line="2"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20" w:type="dxa"/>
            <w:vAlign w:val="bottom"/>
            <w:gridSpan w:val="5"/>
          </w:tcPr>
          <w:p>
            <w:pPr>
              <w:ind w:left="620"/>
              <w:spacing w:after="0"/>
              <w:rPr>
                <w:sz w:val="20"/>
                <w:szCs w:val="20"/>
                <w:color w:val="auto"/>
              </w:rPr>
            </w:pPr>
            <w:r>
              <w:rPr>
                <w:rFonts w:ascii="Arial" w:cs="Arial" w:eastAsia="Arial" w:hAnsi="Arial"/>
                <w:sz w:val="14"/>
                <w:szCs w:val="14"/>
                <w:b w:val="1"/>
                <w:bCs w:val="1"/>
                <w:color w:val="auto"/>
              </w:rPr>
              <w:t>Thirteen Weeks Ended</w:t>
            </w:r>
          </w:p>
        </w:tc>
        <w:tc>
          <w:tcPr>
            <w:tcW w:w="260" w:type="dxa"/>
            <w:vAlign w:val="bottom"/>
          </w:tcPr>
          <w:p>
            <w:pPr>
              <w:spacing w:after="0"/>
              <w:rPr>
                <w:sz w:val="16"/>
                <w:szCs w:val="16"/>
                <w:color w:val="auto"/>
              </w:rPr>
            </w:pPr>
          </w:p>
        </w:tc>
        <w:tc>
          <w:tcPr>
            <w:tcW w:w="294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4"/>
        </w:trPr>
        <w:tc>
          <w:tcPr>
            <w:tcW w:w="35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October 30,</w:t>
            </w:r>
          </w:p>
        </w:tc>
        <w:tc>
          <w:tcPr>
            <w:tcW w:w="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333"/>
              <w:spacing w:after="0" w:line="135" w:lineRule="exact"/>
              <w:rPr>
                <w:sz w:val="20"/>
                <w:szCs w:val="20"/>
                <w:color w:val="auto"/>
              </w:rPr>
            </w:pPr>
            <w:r>
              <w:rPr>
                <w:rFonts w:ascii="Arial" w:cs="Arial" w:eastAsia="Arial" w:hAnsi="Arial"/>
                <w:sz w:val="14"/>
                <w:szCs w:val="14"/>
                <w:b w:val="1"/>
                <w:bCs w:val="1"/>
                <w:color w:val="auto"/>
              </w:rPr>
              <w:t>October 31,</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30,</w:t>
            </w:r>
          </w:p>
        </w:tc>
        <w:tc>
          <w:tcPr>
            <w:tcW w:w="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333"/>
              <w:spacing w:after="0" w:line="135" w:lineRule="exact"/>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88"/>
        </w:trPr>
        <w:tc>
          <w:tcPr>
            <w:tcW w:w="3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net revenues: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Arial" w:cs="Arial" w:eastAsia="Arial" w:hAnsi="Arial"/>
                <w:sz w:val="18"/>
                <w:szCs w:val="18"/>
                <w:color w:val="auto"/>
              </w:rPr>
              <w:t>VB Direct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86,646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78,177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250,516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196,247</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VB Indirect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51,303</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Pura Vida</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87,352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78,353</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325,903</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Segment operating income: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5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VB Direct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31,634</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VB Indirect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17,403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18,575</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Pura Vida</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0" w:type="dxa"/>
            <w:vAlign w:val="bottom"/>
          </w:tcPr>
          <w:p>
            <w:pPr>
              <w:spacing w:after="0"/>
              <w:rPr>
                <w:sz w:val="1"/>
                <w:szCs w:val="1"/>
                <w:color w:val="auto"/>
              </w:rPr>
            </w:pPr>
          </w:p>
        </w:tc>
      </w:tr>
      <w:tr>
        <w:trPr>
          <w:trHeight w:val="223"/>
        </w:trPr>
        <w:tc>
          <w:tcPr>
            <w:tcW w:w="3500" w:type="dxa"/>
            <w:vAlign w:val="bottom"/>
          </w:tcPr>
          <w:p>
            <w:pPr>
              <w:ind w:left="4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29,521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76,784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54,255</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Reconciliation:</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Arial" w:cs="Arial" w:eastAsia="Arial" w:hAnsi="Arial"/>
                <w:sz w:val="18"/>
                <w:szCs w:val="18"/>
                <w:color w:val="auto"/>
              </w:rPr>
              <w:t>Segment operating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26,960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29,521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76,784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54,255</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Unallocated corporate expenses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(58,143)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(50,166)</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0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following discussion summarizes the significant factors affecting the condensed consolidated operating results, financial condition, liquidity, and cash flows of the Company as of and for the thirteen and thirty-nine weeks ended October 30, 2021 and October 31, 2020. The following discussion should be read in conjunction with our Annual Report on Form 10-K for the fiscal year ended January 30, 2021, and our unaudited condensed consolidated financial statements and the related notes included in Item 1 of this Quarterly Report. The results of operations for the thirteen and thirty-nine weeks ended October 30, 2021, are not necessarily indicative of the results to be expected for the full fiscal year.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prior-year nine months, the COVID-19 pandemic resulted in global travel restrictions, quarantines, and certain factory closures or reduced operations, as well as mall closures and reduced mall operating hours. Although the Vera Bradley and Pura Vida e-commerce operations remained open during this time, the aforementioned items had a material adverse impact on overall consumer demand, traffic, and sales during the period. We took various actions to navigate the pandemic which included, but was not limited to, temporarily closing all Vera Bradley store locations on March 19, 2020; temporarily furloughing 80% of our workforce during the middle of the first quarter; temporarily reducing base compensation for certain associates; preserving cash by drawing on our Credit Agreement, which was repaid during the fourth quarter of the prior-year; and managing inventory, rent, and other expenses. During the second quarter of the prior-year, we brought back substantially all associates from furlough and began to reinstate portions of the base compensation reductions.</w:t>
      </w:r>
    </w:p>
    <w:p>
      <w:pPr>
        <w:spacing w:after="0" w:line="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May 5, 2020, we began to re-open our Vera Bradley retail stores in a phased approach. All factory stores and all but two full line stores were opened as of the end of the third quarter of the prior-year, although with reduced hours, lower staffing levels, and greatly enhanced safety protocols.</w:t>
      </w:r>
    </w:p>
    <w:p>
      <w:pPr>
        <w:spacing w:after="0" w:line="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 xml:space="preserve">Our retail stores remained open during the thirteen and thirty-nine weeks ended October 30, 2021; however, guidance and mandates from governments and public health officials may necessitate closures to some, or all, of our retail stores which we cannot predict. We have also experienced certain global supply chain disruptions due in part to the COVID-19 pandemic further discussed in </w:t>
      </w:r>
      <w:r>
        <w:rPr>
          <w:rFonts w:ascii="Arial" w:cs="Arial" w:eastAsia="Arial" w:hAnsi="Arial"/>
          <w:sz w:val="17"/>
          <w:szCs w:val="17"/>
          <w:i w:val="1"/>
          <w:iCs w:val="1"/>
          <w:color w:val="auto"/>
        </w:rPr>
        <w:t>Supply Chain Disruptions</w:t>
      </w:r>
      <w:r>
        <w:rPr>
          <w:rFonts w:ascii="Arial" w:cs="Arial" w:eastAsia="Arial" w:hAnsi="Arial"/>
          <w:sz w:val="17"/>
          <w:szCs w:val="17"/>
          <w:color w:val="auto"/>
        </w:rPr>
        <w:t xml:space="preserve"> below.</w:t>
      </w:r>
    </w:p>
    <w:p>
      <w:pPr>
        <w:spacing w:after="0" w:line="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cannot predict the future impact that the COVID-19 pandemic could have on our future liquidity, operating results, and financial condition, but it could have a significant adverse affect on these metrics.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Disruptions</w:t>
      </w:r>
    </w:p>
    <w:p>
      <w:pPr>
        <w:spacing w:after="0" w:line="9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Throughout the second and third quarters for the Vera Bradley brand, we faced supply chain disruptions that caused delivery delays. We are working diligently to mitigate the situation, but expect shipping delays and freight expense increases to continue for the near future. We have also been impacted by higher tariffs from previously duty-free countries, where we source products, as a result of the Generalized System of Preferences ("GSP") duty-free status expiring at the end of calendar year 2020. We cannot guarantee if or when the GSP duty-free status will be reinstated and retro-actively applied by Congress. These matters could have a material adverse effect on our liquidity, operating results, and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strategic progress and financial results for the third quarter of fiscal 2022: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Strategic Progress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Vera Bradley, we:</w:t>
      </w:r>
    </w:p>
    <w:p>
      <w:pPr>
        <w:spacing w:after="0" w:line="90" w:lineRule="exact"/>
        <w:rPr>
          <w:sz w:val="20"/>
          <w:szCs w:val="20"/>
          <w:color w:val="auto"/>
        </w:rPr>
      </w:pPr>
    </w:p>
    <w:p>
      <w:pPr>
        <w:ind w:left="980" w:right="62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Expanded our apparel collection, adding graphic tees, puffer jackets and vests, leggings, and a larger selection of pajamas to our cozy collection of sleepwear and robes;</w:t>
      </w:r>
    </w:p>
    <w:p>
      <w:pPr>
        <w:spacing w:after="0" w:line="35" w:lineRule="exact"/>
        <w:rPr>
          <w:rFonts w:ascii="Arial" w:cs="Arial" w:eastAsia="Arial" w:hAnsi="Arial"/>
          <w:sz w:val="18"/>
          <w:szCs w:val="18"/>
          <w:color w:val="auto"/>
        </w:rPr>
      </w:pPr>
    </w:p>
    <w:p>
      <w:pPr>
        <w:ind w:left="980" w:right="48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Had another exciting quarter of product collaborations, including additional Harry Potter and Disney partnerships including our Disney Bonjour Belle capsule collection;</w:t>
      </w:r>
    </w:p>
    <w:p>
      <w:pPr>
        <w:spacing w:after="0" w:line="48" w:lineRule="exact"/>
        <w:rPr>
          <w:rFonts w:ascii="Arial" w:cs="Arial" w:eastAsia="Arial" w:hAnsi="Arial"/>
          <w:sz w:val="18"/>
          <w:szCs w:val="18"/>
          <w:color w:val="auto"/>
        </w:rPr>
      </w:pPr>
    </w:p>
    <w:p>
      <w:pPr>
        <w:ind w:left="980" w:right="520" w:hanging="324"/>
        <w:spacing w:after="0" w:line="342" w:lineRule="auto"/>
        <w:tabs>
          <w:tab w:leader="none" w:pos="9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Increased our customer count through increased store traffic. We believe our customer journey-centered activations and customer-level personalized messaging are meaningfully engaging new customers and aid in the reactivation of lapsed customers;</w:t>
      </w:r>
    </w:p>
    <w:p>
      <w:pPr>
        <w:spacing w:after="0" w:line="2" w:lineRule="exact"/>
        <w:rPr>
          <w:rFonts w:ascii="Arial" w:cs="Arial" w:eastAsia="Arial" w:hAnsi="Arial"/>
          <w:sz w:val="16"/>
          <w:szCs w:val="16"/>
          <w:color w:val="auto"/>
        </w:rPr>
      </w:pPr>
    </w:p>
    <w:p>
      <w:pPr>
        <w:ind w:left="980" w:right="8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Drove brand awareness with more social media engagement and quality media placements, with year-over-year media impressions up nearly 40%; and</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Launched our Canadian website as our first international, localized website experience.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Pura Vida, we:</w:t>
      </w:r>
    </w:p>
    <w:p>
      <w:pPr>
        <w:spacing w:after="0" w:line="90" w:lineRule="exact"/>
        <w:rPr>
          <w:sz w:val="20"/>
          <w:szCs w:val="20"/>
          <w:color w:val="auto"/>
        </w:rPr>
      </w:pPr>
    </w:p>
    <w:p>
      <w:pPr>
        <w:ind w:left="980" w:right="720" w:hanging="324"/>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Continued to innovate on new products, adding new designs and elements into our jewelry collections and launched our Hello Kitty collaboration of rings, bracelets, and necklaces;</w:t>
      </w:r>
    </w:p>
    <w:p>
      <w:pPr>
        <w:spacing w:after="0" w:line="48"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Expanded our wholesale distribution, adding over 350 new accounts to date this year and added Dillard’s to our department store distribution;</w:t>
      </w:r>
    </w:p>
    <w:p>
      <w:pPr>
        <w:spacing w:after="0" w:line="126" w:lineRule="exact"/>
        <w:rPr>
          <w:rFonts w:ascii="Arial" w:cs="Arial" w:eastAsia="Arial" w:hAnsi="Arial"/>
          <w:sz w:val="16"/>
          <w:szCs w:val="16"/>
          <w:color w:val="auto"/>
        </w:rPr>
      </w:pPr>
    </w:p>
    <w:p>
      <w:pPr>
        <w:ind w:left="980" w:right="200" w:hanging="324"/>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Worked to build a more diverse and balanced marketing program, such as growing our SMS subscriber base and spreading a portion of our marketing resources to other platforms like TikTok, podcasts, and YouTube;</w:t>
      </w:r>
    </w:p>
    <w:p>
      <w:pPr>
        <w:spacing w:after="0" w:line="35" w:lineRule="exact"/>
        <w:rPr>
          <w:rFonts w:ascii="Arial" w:cs="Arial" w:eastAsia="Arial" w:hAnsi="Arial"/>
          <w:sz w:val="18"/>
          <w:szCs w:val="18"/>
          <w:color w:val="auto"/>
        </w:rPr>
      </w:pPr>
    </w:p>
    <w:p>
      <w:pPr>
        <w:ind w:left="980" w:right="40" w:hanging="324"/>
        <w:spacing w:after="0" w:line="342" w:lineRule="auto"/>
        <w:tabs>
          <w:tab w:leader="none" w:pos="975" w:val="left"/>
        </w:tabs>
        <w:numPr>
          <w:ilvl w:val="0"/>
          <w:numId w:val="23"/>
        </w:numPr>
        <w:rPr>
          <w:rFonts w:ascii="Arial" w:cs="Arial" w:eastAsia="Arial" w:hAnsi="Arial"/>
          <w:sz w:val="16"/>
          <w:szCs w:val="16"/>
          <w:color w:val="auto"/>
        </w:rPr>
      </w:pPr>
      <w:r>
        <w:rPr>
          <w:rFonts w:ascii="Arial" w:cs="Arial" w:eastAsia="Arial" w:hAnsi="Arial"/>
          <w:sz w:val="16"/>
          <w:szCs w:val="16"/>
          <w:color w:val="auto"/>
        </w:rPr>
        <w:t>Opened our first Pura Vida store in San Diego’s Westfield UTC mall in mid-August which allows us to showcase the Pura Vida lifestyle with a full array of existing products and new product innovations, receive invaluable customer feedback, and host influencer events; and</w:t>
      </w:r>
    </w:p>
    <w:p>
      <w:pPr>
        <w:spacing w:after="0" w:line="2" w:lineRule="exact"/>
        <w:rPr>
          <w:rFonts w:ascii="Arial" w:cs="Arial" w:eastAsia="Arial" w:hAnsi="Arial"/>
          <w:sz w:val="16"/>
          <w:szCs w:val="16"/>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Completed our Project Novus ERP integration, which unified our technology platform company-wide.</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(all comparisons are to the third quarter of fiscal 2021)</w:t>
      </w:r>
    </w:p>
    <w:p>
      <w:pPr>
        <w:spacing w:after="0" w:line="94"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revenues increased 7.9% to $134.7 million.</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Vera Bradley Direct (“VB Direct”) segment sales increased 10.8% to $86.6 million.</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Vera Bradley Indirect segment (“VB Indirect”) sales decreased 6.4% to $20.9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Pura Vida segment sales increased 11.7% to $27.2 million.</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Gross profit was $72.3 million, or 53.6% of net revenue.</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income was $8.0 million and net income attributable to Vera Bradley, Inc. was $5.8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Capital expenditures for the thirteen weeks totaled $1.8 million.</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and cash equivalents and investments were $75.3 million at October 30, 2021.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Net revenues reflect sales of our merchandise and revenue from distribution and shipping and handling fees, less returns and discounts. Revenues for the VB Direct segment reflect sales through Vera Bradley full-line and factory outlet stores; verabradley.com; our Vera Bradley online outlet site; and typically our Vera Bradley annual outlet sale in Fort Wayne, Indiana. Revenues for the VB Indirect segment reflect sales of Vera Bradley-branded products to specialty retail partners; department stores; national accounts; third-party e-commerce sites; third-party inventory liquidators; and royalties recognized through licensing agreements related to the Vera Bradley brand. Revenues for the Pura Vida segment reflect revenues generated through the Pura Vida websites, www.puravidabracelets.com, www.puravidabracelets.eu, and www.puravidabracelets.ca; through the distribution of Pura Vida-branded products to wholesale retailers; and through our first Pura Vida retail store opened in August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w:t>
      </w:r>
    </w:p>
    <w:p>
      <w:pPr>
        <w:spacing w:after="0" w:line="10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Typically, comparable sales are calculated based upon our stores that have been open for at least 12 full fiscal months and net revenues from our Vera Bradley e-commerce operations. Pura Vida e-commerce operations are included within the Company's comparable sales beginning with the fiscal 2021 third quarter. Pura Vida e-commerce operations include sales from the subscription club. Comparable store sales are calculated based solely upon stores that have been open for at least 12 full fiscal months.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43" w:lineRule="exact"/>
        <w:rPr>
          <w:sz w:val="20"/>
          <w:szCs w:val="20"/>
          <w:color w:val="auto"/>
        </w:rPr>
      </w:pPr>
    </w:p>
    <w:p>
      <w:pPr>
        <w:ind w:right="440"/>
        <w:spacing w:after="0" w:line="307" w:lineRule="auto"/>
        <w:rPr>
          <w:sz w:val="20"/>
          <w:szCs w:val="20"/>
          <w:color w:val="auto"/>
        </w:rPr>
      </w:pPr>
      <w:r>
        <w:rPr>
          <w:rFonts w:ascii="Arial" w:cs="Arial" w:eastAsia="Arial" w:hAnsi="Arial"/>
          <w:sz w:val="16"/>
          <w:szCs w:val="16"/>
          <w:color w:val="auto"/>
        </w:rPr>
        <w:t>As a result of the temporary closure of all Vera Bradley stores due to COVID-19 during portions of the first and second quarters of the prior-year, the Company's comparable store sales and comparable sales calculations for the year-to-date periods are not meaningful and therefore are not provided.</w:t>
      </w:r>
    </w:p>
    <w:p>
      <w:pPr>
        <w:spacing w:after="0" w:line="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Typically, measuring the change in year-over-year comparable sales allows us and our investors to evaluate how our store base and e-commerce operations are performing. Various factors affect our comparable sales, including:</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Pricing and level of promotions;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 of store, mall, and e-commerce traffic;</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 and to our on-line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and success of promotional and marketing efforts.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0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including free shipping; commodity prices, such as for cotton; tariffs; and labor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include selling; advertising, marketing, and product development; and administrative expenses. Selling expenses include:</w:t>
      </w:r>
    </w:p>
    <w:p>
      <w:pPr>
        <w:spacing w:after="0" w:line="10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VB Direct business expenses, such as store expenses, employee compensation, and store occupancy and supply costs;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VB Indirect business expenses consisting primarily of employee compensation and other expenses associated with sales to Indirect retailers; and</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Pura Vida business expenses primarily related to employee compensation.</w:t>
      </w:r>
    </w:p>
    <w:p>
      <w:pPr>
        <w:spacing w:after="0" w:line="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primarily includes certain legal settlements and sales tax credits received for timely filings.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Operating income is equal to gross profit less SG&amp;A expenses plus other income, net. Operating income excludes interest income, interest expense, and income taxes.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income is equal to operating income plus interest income less interest expense and income taxes.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Redeemable Noncontrolling Interest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redeemable noncontrolling interest represents the operating results of Pura Vida that are not attributable to Vera Bradley,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Vera Bradley,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 to Vera Bradley, Inc. is equal to net income less net income attributable to redeemable noncontrolling interest.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Pura Vida Acquisition</w:t>
      </w:r>
    </w:p>
    <w:p>
      <w:pPr>
        <w:spacing w:after="0" w:line="10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July 16, 2019, the Company completed its acquisition of a seventy-five percent (75%) ownership interest in Creative Genius, Inc. or “Pura Vida” (the “Transaction”) in exchange for total cash consideration of approximately $75.0 million. The Company received a working capital reimbursement of $1.0 million during the first quarter of fiscal 2021.</w:t>
      </w:r>
    </w:p>
    <w:p>
      <w:pPr>
        <w:spacing w:after="0" w:line="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accordance with the Interest Purchase Agreement, the Company also agreed to a contingent payment of up to $22.5 million payable during the first quarter of calendar year 2020 based on calendar year 2019 adjusted EBITDA of Pura Vida, as defined in the Interest Purchase Agreement. This contingent payment was made during the first quarter of fiscal 2021 totaling $18.7 million. The Company’s existing available cash, cash equivalents, and investments funded the purchase price due at the closing of the Transaction and subsequent to the closing.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Charges</w:t>
      </w:r>
    </w:p>
    <w:p>
      <w:pPr>
        <w:spacing w:after="0" w:line="10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Property, plant, and equipment and lease right-of-use assets (the "asset group" for store-related assets) are reviewed for impairment whenever events or changes in circumstances indicate that the carrying amount of the asset group may not be recoverable. The reviews are conducted at the lowest identifiable level of cash flows. If the estimated undiscounted future cash flows related to the asset group are less than the carrying value, we recognize a loss equal to the difference between the carrying value and the fair value, as further defined in Note 5 to the Notes to the Condensed Consolidated Financial Statements herein. Impairment charges of $3.8 million were recognized during the thirty-nine weeks ended October 31, 2020 for property, plant, and equipment assets and lease right-of-use assets related to underperforming stores and are included in SG&amp;A expenses in the Condensed Consolidated Statements of Operations and in impairment charges in the Condensed Consolidated Statements of Cash Flows. The impairment charges are included in the VB Direct segment. There were no impairment charges recorded during the thirteen and thirty-nine weeks ended October 30, 2021 and the thirteen weeks ended October 31, 2020. We are unable to predict the extent of the impact that the COVID-19 pandemic will have on our operations, the economy, or other factors; therefore, it is possible additional impairments could be identified in future periods, and such amounts could be material.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tables summarize key components of our condensed consolidated results of operations for the periods indicated, both in dollars and as a percentage of our net revenues ($ in thousands):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5"/>
          </w:tcPr>
          <w:p>
            <w:pPr>
              <w:ind w:left="620"/>
              <w:spacing w:after="0"/>
              <w:rPr>
                <w:sz w:val="20"/>
                <w:szCs w:val="20"/>
                <w:color w:val="auto"/>
              </w:rPr>
            </w:pPr>
            <w:r>
              <w:rPr>
                <w:rFonts w:ascii="Arial" w:cs="Arial" w:eastAsia="Arial" w:hAnsi="Arial"/>
                <w:sz w:val="14"/>
                <w:szCs w:val="14"/>
                <w:b w:val="1"/>
                <w:bCs w:val="1"/>
                <w:color w:val="auto"/>
              </w:rPr>
              <w:t>Thirteen Weeks Ended</w:t>
            </w:r>
          </w:p>
        </w:tc>
        <w:tc>
          <w:tcPr>
            <w:tcW w:w="260" w:type="dxa"/>
            <w:vAlign w:val="bottom"/>
          </w:tcPr>
          <w:p>
            <w:pPr>
              <w:spacing w:after="0"/>
              <w:rPr>
                <w:sz w:val="16"/>
                <w:szCs w:val="16"/>
                <w:color w:val="auto"/>
              </w:rPr>
            </w:pPr>
          </w:p>
        </w:tc>
        <w:tc>
          <w:tcPr>
            <w:tcW w:w="288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October 30,</w:t>
            </w: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311"/>
              <w:spacing w:after="0" w:line="135" w:lineRule="exact"/>
              <w:rPr>
                <w:sz w:val="20"/>
                <w:szCs w:val="20"/>
                <w:color w:val="auto"/>
              </w:rPr>
            </w:pPr>
            <w:r>
              <w:rPr>
                <w:rFonts w:ascii="Arial" w:cs="Arial" w:eastAsia="Arial" w:hAnsi="Arial"/>
                <w:sz w:val="14"/>
                <w:szCs w:val="14"/>
                <w:b w:val="1"/>
                <w:bCs w:val="1"/>
                <w:color w:val="auto"/>
              </w:rPr>
              <w:t>October 31,</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October 30,</w:t>
            </w: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311"/>
              <w:spacing w:after="0" w:line="135" w:lineRule="exact"/>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134,735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124,849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390,877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325,903</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62,457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51,018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179,074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138,263</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72,278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73,831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211,803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187,640</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64,458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61,703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194,083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183,640</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486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7,952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12,164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18,641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23"/>
        </w:trPr>
        <w:tc>
          <w:tcPr>
            <w:tcW w:w="4860" w:type="dxa"/>
            <w:vAlign w:val="bottom"/>
          </w:tcPr>
          <w:p>
            <w:pPr>
              <w:ind w:left="22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7,939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11,866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18,419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2,892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3,854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23"/>
        </w:trPr>
        <w:tc>
          <w:tcPr>
            <w:tcW w:w="48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6,226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8,974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14,565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Less: Net income attributable to redeemable noncontrolling</w:t>
            </w:r>
          </w:p>
        </w:tc>
        <w:tc>
          <w:tcPr>
            <w:tcW w:w="2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20"/>
              <w:spacing w:after="0"/>
              <w:rPr>
                <w:sz w:val="20"/>
                <w:szCs w:val="20"/>
                <w:color w:val="auto"/>
              </w:rPr>
            </w:pPr>
            <w:r>
              <w:rPr>
                <w:rFonts w:ascii="Arial" w:cs="Arial" w:eastAsia="Arial" w:hAnsi="Arial"/>
                <w:sz w:val="18"/>
                <w:szCs w:val="18"/>
                <w:color w:val="auto"/>
              </w:rPr>
              <w:t>Net income attributable to Vera Bradley, Inc.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5,778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8,874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12,683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Percentage of Net Revenues: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42.4 %</w:t>
            </w:r>
          </w:p>
        </w:tc>
        <w:tc>
          <w:tcPr>
            <w:tcW w:w="0" w:type="dxa"/>
            <w:vAlign w:val="bottom"/>
          </w:tcPr>
          <w:p>
            <w:pPr>
              <w:spacing w:after="0"/>
              <w:rPr>
                <w:sz w:val="1"/>
                <w:szCs w:val="1"/>
                <w:color w:val="auto"/>
              </w:rPr>
            </w:pPr>
          </w:p>
        </w:tc>
      </w:tr>
      <w:tr>
        <w:trPr>
          <w:trHeight w:val="223"/>
        </w:trPr>
        <w:tc>
          <w:tcPr>
            <w:tcW w:w="486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57.6 %</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56.3 %</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ind w:left="86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360" w:type="dxa"/>
            <w:vAlign w:val="bottom"/>
            <w:gridSpan w:val="2"/>
          </w:tcPr>
          <w:p>
            <w:pPr>
              <w:ind w:left="86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line="176" w:lineRule="exact"/>
              <w:rPr>
                <w:sz w:val="20"/>
                <w:szCs w:val="20"/>
                <w:color w:val="auto"/>
              </w:rPr>
            </w:pPr>
            <w:r>
              <w:rPr>
                <w:rFonts w:ascii="Arial" w:cs="Arial" w:eastAsia="Arial" w:hAnsi="Arial"/>
                <w:sz w:val="18"/>
                <w:szCs w:val="18"/>
                <w:color w:val="auto"/>
              </w:rPr>
              <w:t>Less: Net income attributable to redeemable noncontrolling</w:t>
            </w:r>
          </w:p>
        </w:tc>
        <w:tc>
          <w:tcPr>
            <w:tcW w:w="2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Vera Bradley, Inc.</w:t>
            </w: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present net revenues and operating income by operating segment, both in dollars and as a percentage of associated net revenues, and store data for the periods indicated ($ in thousands, except as otherwise indicated):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5"/>
          </w:tcPr>
          <w:p>
            <w:pPr>
              <w:ind w:left="62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6"/>
                <w:szCs w:val="16"/>
                <w:color w:val="auto"/>
              </w:rPr>
            </w:pPr>
          </w:p>
        </w:tc>
        <w:tc>
          <w:tcPr>
            <w:tcW w:w="2900" w:type="dxa"/>
            <w:vAlign w:val="bottom"/>
            <w:gridSpan w:val="4"/>
          </w:tcPr>
          <w:p>
            <w:pPr>
              <w:jc w:val="right"/>
              <w:ind w:right="676"/>
              <w:spacing w:after="0"/>
              <w:rPr>
                <w:sz w:val="20"/>
                <w:szCs w:val="20"/>
                <w:color w:val="auto"/>
              </w:rPr>
            </w:pPr>
            <w:r>
              <w:rPr>
                <w:rFonts w:ascii="Arial" w:cs="Arial" w:eastAsia="Arial" w:hAnsi="Arial"/>
                <w:sz w:val="14"/>
                <w:szCs w:val="14"/>
                <w:b w:val="1"/>
                <w:bCs w:val="1"/>
                <w:color w:val="auto"/>
              </w:rPr>
              <w:t>Thirty-Nine Weeks Ended</w:t>
            </w:r>
          </w:p>
        </w:tc>
      </w:tr>
      <w:tr>
        <w:trPr>
          <w:trHeight w:val="134"/>
        </w:trPr>
        <w:tc>
          <w:tcPr>
            <w:tcW w:w="48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30,</w:t>
            </w:r>
          </w:p>
        </w:tc>
        <w:tc>
          <w:tcPr>
            <w:tcW w:w="2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296"/>
              <w:spacing w:after="0" w:line="135" w:lineRule="exact"/>
              <w:rPr>
                <w:sz w:val="20"/>
                <w:szCs w:val="20"/>
                <w:color w:val="auto"/>
              </w:rPr>
            </w:pPr>
            <w:r>
              <w:rPr>
                <w:rFonts w:ascii="Arial" w:cs="Arial" w:eastAsia="Arial" w:hAnsi="Arial"/>
                <w:sz w:val="14"/>
                <w:szCs w:val="14"/>
                <w:b w:val="1"/>
                <w:bCs w:val="1"/>
                <w:color w:val="auto"/>
              </w:rPr>
              <w:t>October 31,</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30,</w:t>
            </w: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316"/>
              <w:spacing w:after="0" w:line="135" w:lineRule="exact"/>
              <w:rPr>
                <w:sz w:val="20"/>
                <w:szCs w:val="20"/>
                <w:color w:val="auto"/>
              </w:rPr>
            </w:pPr>
            <w:r>
              <w:rPr>
                <w:rFonts w:ascii="Arial" w:cs="Arial" w:eastAsia="Arial" w:hAnsi="Arial"/>
                <w:sz w:val="14"/>
                <w:szCs w:val="14"/>
                <w:b w:val="1"/>
                <w:bCs w:val="1"/>
                <w:color w:val="auto"/>
              </w:rPr>
              <w:t>October 31,</w:t>
            </w:r>
          </w:p>
        </w:tc>
      </w:tr>
      <w:tr>
        <w:trPr>
          <w:trHeight w:val="186"/>
        </w:trPr>
        <w:tc>
          <w:tcPr>
            <w:tcW w:w="4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212"/>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Net Revenues by Segment: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VB Direct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86,646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78,177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250,516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196,247</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VB Indirect</w:t>
            </w:r>
          </w:p>
        </w:tc>
        <w:tc>
          <w:tcPr>
            <w:tcW w:w="240" w:type="dxa"/>
            <w:vAlign w:val="bottom"/>
          </w:tcPr>
          <w:p>
            <w:pPr>
              <w:spacing w:after="0"/>
              <w:rPr>
                <w:sz w:val="19"/>
                <w:szCs w:val="19"/>
                <w:color w:val="auto"/>
              </w:rPr>
            </w:pPr>
          </w:p>
        </w:tc>
        <w:tc>
          <w:tcPr>
            <w:tcW w:w="1260" w:type="dxa"/>
            <w:vAlign w:val="bottom"/>
          </w:tcPr>
          <w:p>
            <w:pPr>
              <w:jc w:val="right"/>
              <w:ind w:right="138"/>
              <w:spacing w:after="0"/>
              <w:rPr>
                <w:sz w:val="20"/>
                <w:szCs w:val="20"/>
                <w:color w:val="auto"/>
              </w:rPr>
            </w:pPr>
            <w:r>
              <w:rPr>
                <w:rFonts w:ascii="Arial" w:cs="Arial" w:eastAsia="Arial" w:hAnsi="Arial"/>
                <w:sz w:val="18"/>
                <w:szCs w:val="18"/>
                <w:color w:val="auto"/>
              </w:rPr>
              <w:t>20,913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6"/>
              <w:spacing w:after="0"/>
              <w:rPr>
                <w:sz w:val="20"/>
                <w:szCs w:val="20"/>
                <w:color w:val="auto"/>
              </w:rPr>
            </w:pPr>
            <w:r>
              <w:rPr>
                <w:rFonts w:ascii="Arial" w:cs="Arial" w:eastAsia="Arial" w:hAnsi="Arial"/>
                <w:sz w:val="18"/>
                <w:szCs w:val="18"/>
                <w:color w:val="auto"/>
              </w:rPr>
              <w:t>22,344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8"/>
              <w:spacing w:after="0"/>
              <w:rPr>
                <w:sz w:val="20"/>
                <w:szCs w:val="20"/>
                <w:color w:val="auto"/>
              </w:rPr>
            </w:pPr>
            <w:r>
              <w:rPr>
                <w:rFonts w:ascii="Arial" w:cs="Arial" w:eastAsia="Arial" w:hAnsi="Arial"/>
                <w:sz w:val="18"/>
                <w:szCs w:val="18"/>
                <w:color w:val="auto"/>
              </w:rPr>
              <w:t>53,009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6"/>
              <w:spacing w:after="0"/>
              <w:rPr>
                <w:sz w:val="20"/>
                <w:szCs w:val="20"/>
                <w:color w:val="auto"/>
              </w:rPr>
            </w:pPr>
            <w:r>
              <w:rPr>
                <w:rFonts w:ascii="Arial" w:cs="Arial" w:eastAsia="Arial" w:hAnsi="Arial"/>
                <w:sz w:val="18"/>
                <w:szCs w:val="18"/>
                <w:color w:val="auto"/>
              </w:rPr>
              <w:t>51,303</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27,176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24,328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87,352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78,353</w:t>
            </w: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8"/>
              <w:spacing w:after="0"/>
              <w:rPr>
                <w:sz w:val="20"/>
                <w:szCs w:val="20"/>
                <w:color w:val="auto"/>
              </w:rPr>
            </w:pPr>
            <w:r>
              <w:rPr>
                <w:rFonts w:ascii="Arial" w:cs="Arial" w:eastAsia="Arial" w:hAnsi="Arial"/>
                <w:sz w:val="18"/>
                <w:szCs w:val="18"/>
                <w:color w:val="auto"/>
              </w:rPr>
              <w:t>134,735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6"/>
              <w:spacing w:after="0"/>
              <w:rPr>
                <w:sz w:val="20"/>
                <w:szCs w:val="20"/>
                <w:color w:val="auto"/>
              </w:rPr>
            </w:pPr>
            <w:r>
              <w:rPr>
                <w:rFonts w:ascii="Arial" w:cs="Arial" w:eastAsia="Arial" w:hAnsi="Arial"/>
                <w:sz w:val="18"/>
                <w:szCs w:val="18"/>
                <w:color w:val="auto"/>
              </w:rPr>
              <w:t>124,849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8"/>
              <w:spacing w:after="0"/>
              <w:rPr>
                <w:sz w:val="20"/>
                <w:szCs w:val="20"/>
                <w:color w:val="auto"/>
              </w:rPr>
            </w:pPr>
            <w:r>
              <w:rPr>
                <w:rFonts w:ascii="Arial" w:cs="Arial" w:eastAsia="Arial" w:hAnsi="Arial"/>
                <w:sz w:val="18"/>
                <w:szCs w:val="18"/>
                <w:color w:val="auto"/>
              </w:rPr>
              <w:t>390,877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6"/>
              <w:spacing w:after="0"/>
              <w:rPr>
                <w:sz w:val="20"/>
                <w:szCs w:val="20"/>
                <w:color w:val="auto"/>
              </w:rPr>
            </w:pPr>
            <w:r>
              <w:rPr>
                <w:rFonts w:ascii="Arial" w:cs="Arial" w:eastAsia="Arial" w:hAnsi="Arial"/>
                <w:sz w:val="18"/>
                <w:szCs w:val="18"/>
                <w:color w:val="auto"/>
              </w:rPr>
              <w:t>325,903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Percentage of Net Revenues by Segment:</w:t>
            </w:r>
          </w:p>
        </w:tc>
        <w:tc>
          <w:tcPr>
            <w:tcW w:w="15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spacing w:after="0"/>
              <w:rPr>
                <w:sz w:val="20"/>
                <w:szCs w:val="20"/>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VB Direct</w:t>
            </w:r>
          </w:p>
        </w:tc>
        <w:tc>
          <w:tcPr>
            <w:tcW w:w="1500" w:type="dxa"/>
            <w:vAlign w:val="bottom"/>
          </w:tcPr>
          <w:p>
            <w:pPr>
              <w:jc w:val="right"/>
              <w:spacing w:after="0"/>
              <w:rPr>
                <w:sz w:val="20"/>
                <w:szCs w:val="20"/>
                <w:color w:val="auto"/>
              </w:rPr>
            </w:pPr>
            <w:r>
              <w:rPr>
                <w:rFonts w:ascii="Arial" w:cs="Arial" w:eastAsia="Arial" w:hAnsi="Arial"/>
                <w:sz w:val="18"/>
                <w:szCs w:val="18"/>
                <w:color w:val="auto"/>
              </w:rPr>
              <w:t>64.3 %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62.6 %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64.1 %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60.2 %</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VB Indirect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15.8 %</w:t>
            </w: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Pura Vida</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20.2 %</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19.5 %</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22.3 %</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24.0 %</w:t>
            </w: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4860" w:type="dxa"/>
            <w:vAlign w:val="bottom"/>
          </w:tcPr>
          <w:p>
            <w:pPr>
              <w:spacing w:after="0"/>
              <w:rPr>
                <w:sz w:val="24"/>
                <w:szCs w:val="24"/>
                <w:color w:val="auto"/>
              </w:rPr>
            </w:pPr>
          </w:p>
        </w:tc>
        <w:tc>
          <w:tcPr>
            <w:tcW w:w="1500" w:type="dxa"/>
            <w:vAlign w:val="bottom"/>
          </w:tcPr>
          <w:p>
            <w:pPr>
              <w:jc w:val="right"/>
              <w:ind w:right="55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5"/>
          </w:tcPr>
          <w:p>
            <w:pPr>
              <w:ind w:left="620"/>
              <w:spacing w:after="0"/>
              <w:rPr>
                <w:sz w:val="20"/>
                <w:szCs w:val="20"/>
                <w:color w:val="auto"/>
              </w:rPr>
            </w:pPr>
            <w:r>
              <w:rPr>
                <w:rFonts w:ascii="Arial" w:cs="Arial" w:eastAsia="Arial" w:hAnsi="Arial"/>
                <w:sz w:val="14"/>
                <w:szCs w:val="14"/>
                <w:b w:val="1"/>
                <w:bCs w:val="1"/>
                <w:color w:val="auto"/>
              </w:rPr>
              <w:t>Thirteen Weeks Ended</w:t>
            </w:r>
          </w:p>
        </w:tc>
        <w:tc>
          <w:tcPr>
            <w:tcW w:w="260" w:type="dxa"/>
            <w:vAlign w:val="bottom"/>
          </w:tcPr>
          <w:p>
            <w:pPr>
              <w:spacing w:after="0"/>
              <w:rPr>
                <w:sz w:val="16"/>
                <w:szCs w:val="16"/>
                <w:color w:val="auto"/>
              </w:rPr>
            </w:pPr>
          </w:p>
        </w:tc>
        <w:tc>
          <w:tcPr>
            <w:tcW w:w="288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October 30,</w:t>
            </w: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312"/>
              <w:spacing w:after="0" w:line="135" w:lineRule="exact"/>
              <w:rPr>
                <w:sz w:val="20"/>
                <w:szCs w:val="20"/>
                <w:color w:val="auto"/>
              </w:rPr>
            </w:pPr>
            <w:r>
              <w:rPr>
                <w:rFonts w:ascii="Arial" w:cs="Arial" w:eastAsia="Arial" w:hAnsi="Arial"/>
                <w:sz w:val="14"/>
                <w:szCs w:val="14"/>
                <w:b w:val="1"/>
                <w:bCs w:val="1"/>
                <w:color w:val="auto"/>
              </w:rPr>
              <w:t>October 31,</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October 30,</w:t>
            </w: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312"/>
              <w:spacing w:after="0" w:line="135" w:lineRule="exact"/>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Operating Income by Segment:</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VB Direct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17,825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19,777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51,853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31,634</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VB Indirect</w:t>
            </w:r>
          </w:p>
        </w:tc>
        <w:tc>
          <w:tcPr>
            <w:tcW w:w="26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7,341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9,342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17,403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18,575</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7,528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4,046</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Corporate unallocated</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(19,008)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(17,357)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(58,143)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(50,166)</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7,952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18,641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rPr>
              <w:t>Operating Income as a Percentage of Net Revenues by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8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Segment:</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VB Direct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VB Indirect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36.2 %</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Vera Bradley Store Data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stores opened during period</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Total stores closed during period</w:t>
            </w:r>
          </w:p>
        </w:tc>
        <w:tc>
          <w:tcPr>
            <w:tcW w:w="26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stores open at end of period</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Total gross square footage at end of period (all stores)</w:t>
            </w:r>
          </w:p>
        </w:tc>
        <w:tc>
          <w:tcPr>
            <w:tcW w:w="26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400,600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394,776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400,600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394,776</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23"/>
                <w:szCs w:val="23"/>
                <w:color w:val="auto"/>
                <w:vertAlign w:val="superscript"/>
              </w:rPr>
              <w:t>(2)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Consolidated Data:</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Comparable sales (including e-commerce) increase</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NM</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60" w:hanging="552"/>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Vera Bradley full-line and factory outlet stores.</w:t>
      </w:r>
    </w:p>
    <w:p>
      <w:pPr>
        <w:spacing w:after="0" w:line="23" w:lineRule="exact"/>
        <w:rPr>
          <w:rFonts w:ascii="Arial" w:cs="Arial" w:eastAsia="Arial" w:hAnsi="Arial"/>
          <w:sz w:val="18"/>
          <w:szCs w:val="18"/>
          <w:color w:val="auto"/>
        </w:rPr>
      </w:pPr>
    </w:p>
    <w:p>
      <w:pPr>
        <w:ind w:left="580" w:right="20" w:hanging="572"/>
        <w:spacing w:after="0" w:line="281" w:lineRule="auto"/>
        <w:tabs>
          <w:tab w:leader="none" w:pos="574" w:val="left"/>
        </w:tabs>
        <w:numPr>
          <w:ilvl w:val="0"/>
          <w:numId w:val="27"/>
        </w:numPr>
        <w:rPr>
          <w:rFonts w:ascii="Arial" w:cs="Arial" w:eastAsia="Arial" w:hAnsi="Arial"/>
          <w:sz w:val="16"/>
          <w:szCs w:val="16"/>
          <w:color w:val="auto"/>
        </w:rPr>
      </w:pPr>
      <w:r>
        <w:rPr>
          <w:rFonts w:ascii="Arial" w:cs="Arial" w:eastAsia="Arial" w:hAnsi="Arial"/>
          <w:sz w:val="16"/>
          <w:szCs w:val="16"/>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 As a result of the temporary closure of Vera Bradley stores due to COVID-19 during a portion of the prior-year first and second quarters, the Company's prior-year year-to-date average net revenues per square foot were not meaningful and therefore were not provided. These figures do not include the Pura Vida retail store opened in August 2021.</w:t>
      </w:r>
    </w:p>
    <w:p>
      <w:pPr>
        <w:spacing w:after="0" w:line="2" w:lineRule="exact"/>
        <w:rPr>
          <w:rFonts w:ascii="Arial" w:cs="Arial" w:eastAsia="Arial" w:hAnsi="Arial"/>
          <w:sz w:val="16"/>
          <w:szCs w:val="16"/>
          <w:color w:val="auto"/>
        </w:rPr>
      </w:pPr>
    </w:p>
    <w:p>
      <w:pPr>
        <w:ind w:left="580" w:right="40" w:hanging="572"/>
        <w:spacing w:after="0" w:line="253" w:lineRule="auto"/>
        <w:tabs>
          <w:tab w:leader="none" w:pos="57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substantially all of the Vera Bradley stores reopened and remained open for the current-year third quarter, the Company reported the comparable sales figure for the third quarter; however, as a result of the temporary closure of Vera Bradley stores due to COVID-19 during portions of the first and second quarters of the prior-year, the Company's year-to-date comparable store sales and comparable sales calculations were not meaningful and therefore were not provided.</w:t>
      </w:r>
    </w:p>
    <w:p>
      <w:pPr>
        <w:spacing w:after="0" w:line="220" w:lineRule="exact"/>
        <w:rPr>
          <w:sz w:val="20"/>
          <w:szCs w:val="20"/>
          <w:color w:val="auto"/>
        </w:rPr>
      </w:pPr>
    </w:p>
    <w:p>
      <w:pPr>
        <w:ind w:left="580" w:right="80"/>
        <w:spacing w:after="0" w:line="275" w:lineRule="auto"/>
        <w:rPr>
          <w:sz w:val="20"/>
          <w:szCs w:val="20"/>
          <w:color w:val="auto"/>
        </w:rPr>
      </w:pPr>
      <w:r>
        <w:rPr>
          <w:rFonts w:ascii="Arial" w:cs="Arial" w:eastAsia="Arial" w:hAnsi="Arial"/>
          <w:sz w:val="17"/>
          <w:szCs w:val="17"/>
          <w:color w:val="auto"/>
        </w:rPr>
        <w:t>Comparable sales are calculated based upon Vera Bradley stores that have been open for at least 12 full fiscal months and net revenues from our Vera Bradley e-commerce operations. Pura Vida e-commerce operations are included in the comparable sales figure. Increase or decrease is reported as a percentage of the comparable sales for the same period in the prior fiscal year. Remodeled stores are included in comparable sales unless the store was closed for more than one week of the current or comparable prior period, in which case the non-comparable temporary closure periods are not included, or the remodel resulted in a significant change in square footage.</w:t>
      </w:r>
    </w:p>
    <w:p>
      <w:pPr>
        <w:spacing w:after="0" w:line="199" w:lineRule="exact"/>
        <w:rPr>
          <w:sz w:val="20"/>
          <w:szCs w:val="20"/>
          <w:color w:val="auto"/>
        </w:rPr>
      </w:pPr>
    </w:p>
    <w:p>
      <w:pPr>
        <w:ind w:right="3880"/>
        <w:spacing w:after="0" w:line="362" w:lineRule="auto"/>
        <w:rPr>
          <w:sz w:val="20"/>
          <w:szCs w:val="20"/>
          <w:color w:val="auto"/>
        </w:rPr>
      </w:pPr>
      <w:r>
        <w:rPr>
          <w:rFonts w:ascii="Arial" w:cs="Arial" w:eastAsia="Arial" w:hAnsi="Arial"/>
          <w:sz w:val="18"/>
          <w:szCs w:val="18"/>
          <w:b w:val="1"/>
          <w:bCs w:val="1"/>
          <w:color w:val="auto"/>
        </w:rPr>
        <w:t xml:space="preserve">Thirteen Weeks Ended October 30, 2021, Compared to Thirteen Weeks Ended October 31, 2020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thirteen weeks ended October 30, 2021, net revenues increased $9.9 million, or 7.9%, to $134.7 million, from $124.8 million in the comparable prior-year period.</w:t>
      </w:r>
    </w:p>
    <w:p>
      <w:pPr>
        <w:spacing w:after="0" w:line="116"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i w:val="1"/>
          <w:iCs w:val="1"/>
          <w:color w:val="auto"/>
        </w:rPr>
        <w:t>VB Direct</w:t>
      </w:r>
      <w:r>
        <w:rPr>
          <w:rFonts w:ascii="Arial" w:cs="Arial" w:eastAsia="Arial" w:hAnsi="Arial"/>
          <w:sz w:val="16"/>
          <w:szCs w:val="16"/>
          <w:color w:val="auto"/>
        </w:rPr>
        <w:t>. For the thirteen weeks ended October 30, 2021, net revenues in the VB Direct segment increased $8.4 million, or 10.8%, to $86.6 million,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$78.2 million in the comparable prior-year period. Our comparable sales increased $6.0 million, or 7.8%. The increase in comparable sales includes a</w:t>
      </w:r>
    </w:p>
    <w:p>
      <w:pPr>
        <w:spacing w:after="0" w:line="1"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18.3% increase in comparable store sales, partially offset by a 10.4% decrease in e-commerce sales. Our non-comparable stores contributed $2.2 million of revenue, which included six additional</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factory outlet stores opened in the current fiscal year. Retail store traffic in the prior-year continued to be impacted by the pandemic. The increase in sales was partially offset by a decline in mask sales compared to the prior-year.</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VB Indirect</w:t>
      </w:r>
      <w:r>
        <w:rPr>
          <w:rFonts w:ascii="Arial" w:cs="Arial" w:eastAsia="Arial" w:hAnsi="Arial"/>
          <w:sz w:val="18"/>
          <w:szCs w:val="18"/>
          <w:color w:val="auto"/>
        </w:rPr>
        <w:t>. For the thirteen weeks ended October 30, 2021, net revenues in the VB Indirect segment decreased $1.4 million, or 6.4%, to $20.9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$22.3 million in the comparable prior-year period. The decrease was primarily due to a lower volume of mask sales and a reduction in sales to certain key accounts, partially offset by a rebound in specialty account orders in other product categories that were negatively impacted by COVID-19 in the prior year.</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Pura Vida. </w:t>
      </w:r>
      <w:r>
        <w:rPr>
          <w:rFonts w:ascii="Arial" w:cs="Arial" w:eastAsia="Arial" w:hAnsi="Arial"/>
          <w:sz w:val="18"/>
          <w:szCs w:val="18"/>
          <w:color w:val="auto"/>
        </w:rPr>
        <w:t>For the thirteen weeks ended October 30, 2021, net revenues in the Pura Vida segment increased $2.9 million, or 11.7%, to $27.2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$24.3 million in the comparable prior-year period. Pura Vida wholesale sales increased over the prior-year period, which was impacted by the COVID-19 pandemic. Our marketing effectiveness for the e-commerce channel was negatively impacted by the Apple iOS 14.5 update in the current-year. This update impacted Facebook and Instagram, which have been our primary marketing vehicles.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For the thirteen weeks ended October 30, 2021, gross profit decreased $1.5 million, or 2.1%, to $72.3 million, from $73.8 million in the comparable prior-year period. As a percentage of net revenues, gross profit decreased to 53.6% for the thirteen weeks ended October 30, 2021, from 59.1% in the comparable prior-year period. Increased shipping expense and incremental expense from the expiration of the GSP duty-free status negatively impacted the gross profit as a percentage of net revenues for the current-year by approximately 155 basis points and 95 basis points, respectively. Higher-margin mask sales benefited the prior-year gross profit as a percentage of net revenues by approximately 230 basis points, which did not recur in the current-year.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For the thirteen weeks ended October 30, 2021, SG&amp;A expenses increased $2.8 million, or 4.5%, to $64.5 million, from $61.7 million in the comparable prior-year period. As a percentage of net revenues, SG&amp;A expenses decreased to 47.8% for the thirteen weeks ended October 30, 2021, from 49.4% in the comparable prior-year period. SG&amp;A expenses related to Vera Bradley and corporate unallocated were $51.4 million compared to $48.2 million in the comparable prior-year period. SG&amp;A expenses related to Pura Vida were $13.1 million compared to $13.5 million in the prior-year. The increase in consolidated SG&amp;A expenses for the thirteen weeks ended October 30, 2021 was primarily due to Vera Bradley initiatives to reduce expenses in light of COVID-19 including temporarily reducing the base compensation for certain salaried associates; certain expense reductions associated with the CARES Act retention credit; and reducing other non-payroll expenses, including travel expenses and marketing that occurred in the prior-year period but did not recur in the current-year period. In addition, retail store employee-related expenses increased over the prior-year period due primarily to decreased staffing in the prior-year as a result of COVID-19.</w:t>
      </w:r>
    </w:p>
    <w:p>
      <w:pPr>
        <w:spacing w:after="0" w:line="45" w:lineRule="exact"/>
        <w:rPr>
          <w:sz w:val="20"/>
          <w:szCs w:val="20"/>
          <w:color w:val="auto"/>
        </w:rPr>
      </w:pPr>
    </w:p>
    <w:p>
      <w:pPr>
        <w:jc w:val="both"/>
        <w:ind w:right="200"/>
        <w:spacing w:after="0" w:line="307" w:lineRule="auto"/>
        <w:rPr>
          <w:sz w:val="20"/>
          <w:szCs w:val="20"/>
          <w:color w:val="auto"/>
        </w:rPr>
      </w:pPr>
      <w:r>
        <w:rPr>
          <w:rFonts w:ascii="Arial" w:cs="Arial" w:eastAsia="Arial" w:hAnsi="Arial"/>
          <w:sz w:val="16"/>
          <w:szCs w:val="16"/>
          <w:color w:val="auto"/>
        </w:rPr>
        <w:t>The aforementioned increases in SG&amp;A expenses were partially offset by a reduction in incentive compensation expense as a result of a change in performance estimates compared to the prior-year and a $1.5 million reduction of intangible asset amortization associated with the Pura Vida acquisition.</w:t>
      </w:r>
    </w:p>
    <w:p>
      <w:pPr>
        <w:spacing w:after="0" w:line="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SG&amp;A expenses as a percentage of net revenues decreased primarily due to the aforementioned items, as well as SG&amp;A expense leverage associated with increased sales.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the thirteen weeks ended October 30, 2021, net other income increased to $0.1 million compared to $36.0 thousand in the comparable prior-year period. The increase in net other income was primarily due to a legal settlement in the current-year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04"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For the thirteen weeks ended October 30, 2021, operating income decreased $4.2 million to $8.0 million in the current-year period, from $12.2 million in the comparable prior-year period. As a percentage of net revenues, operating income was 5.9% and 9.7% for the thirteen weeks ended October 30, 2021 and October 31, 2020, respectively. Operating income decreased due to the factors described in the captions above</w:t>
      </w:r>
      <w:r>
        <w:rPr>
          <w:rFonts w:ascii="Arial" w:cs="Arial" w:eastAsia="Arial" w:hAnsi="Arial"/>
          <w:sz w:val="17"/>
          <w:szCs w:val="17"/>
          <w:i w:val="1"/>
          <w:iCs w:val="1"/>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VB Direct</w:t>
      </w:r>
      <w:r>
        <w:rPr>
          <w:rFonts w:ascii="Arial" w:cs="Arial" w:eastAsia="Arial" w:hAnsi="Arial"/>
          <w:sz w:val="17"/>
          <w:szCs w:val="17"/>
          <w:color w:val="auto"/>
        </w:rPr>
        <w:t>. For the thirteen weeks ended October 30, 2021, operating income in the VB Direct segment decreased $2.0 million, to $17.8 million from</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$19.8 million in the comparable prior-year period. As a percentage of VB Direct segment net revenues, operating income in the VB Direct segment was 20.6% and 25.3% for the thirteen weeks ended October 30, 2021 and October 31, 2020, respectively. The decrease in operating income as a percentage of VB Direct segment net revenues was primarily due to a decrease in gross margin as a percentage of net revenues as described above and COVID-19-related expense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savings from the prior-year period that did not recur. This decrease was partially offset by SG&amp;A expense leverage associated with increased sales.</w:t>
      </w:r>
    </w:p>
    <w:p>
      <w:pPr>
        <w:spacing w:after="0" w:line="1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VB Indirect</w:t>
      </w:r>
      <w:r>
        <w:rPr>
          <w:rFonts w:ascii="Arial" w:cs="Arial" w:eastAsia="Arial" w:hAnsi="Arial"/>
          <w:sz w:val="16"/>
          <w:szCs w:val="16"/>
          <w:color w:val="auto"/>
        </w:rPr>
        <w:t>. For the thirteen weeks ended October 30, 2021, operating income in the VB Indirect segment decreased $2.0 million, or 21.4%, to $7.3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$9.3 million in the comparable prior-year period. As a percentage of VB Indirect segment net revenues, operating income in the VB Indirect segment was 35.1% and 41.8% for the thirteen weeks ended October 30, 2021 and October 31, 2020, respectively. The decrease in operating income as a percentage of VB Indirect segment net revenues was primarily due to a decrease in gross margin as a percentage of net revenues as described above.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Pura Vida. </w:t>
      </w:r>
      <w:r>
        <w:rPr>
          <w:rFonts w:ascii="Arial" w:cs="Arial" w:eastAsia="Arial" w:hAnsi="Arial"/>
          <w:sz w:val="17"/>
          <w:szCs w:val="17"/>
          <w:color w:val="auto"/>
        </w:rPr>
        <w:t>For the thirteen weeks ended October 30, 2021, operating income in the Pura Vida segment increased $1.4 million to $1.8 million from</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$0.4 million in the comparable prior-year period. As a percentage of Pura Vida segment net revenues, operating income in the Pura Vida segment was 6.6% and 1.7% for the thirteen weeks ended October 30, 2021 and October 31, 2020, respectively. The increase in operating income as a percentage of Pura Vida net revenues was primarily due to a decrease in the intangible asset amortization expense compared to the prior-year period, partially offset by a decrease in gross margin as a percentage of net revenues partly due to channel mix changes as a result of the impact of the COVID-19 pandemic on wholesale sales in the prior-year period.</w:t>
      </w:r>
    </w:p>
    <w:p>
      <w:pPr>
        <w:spacing w:after="0" w:line="13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thirteen weeks ended October 30, 2021, unallocated expenses increased $1.6 million, or 9.5%, to $19.0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$17.4 million in the comparable prior-year period. The increase in unallocated expenses was primarily due to prior-year period initiatives to reduce expenses in light of COVID-19 that did not recur in the current-year including temporarily reducing the base compensation for certain salaried associates and reducing other non-payroll expenses including marketing. These increases in SG&amp;A expense were partially offset by a decrease in incentive compensation expense as a result of a change in performance estimates.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jc w:val="both"/>
        <w:ind w:right="180"/>
        <w:spacing w:after="0" w:line="248" w:lineRule="auto"/>
        <w:rPr>
          <w:sz w:val="20"/>
          <w:szCs w:val="20"/>
          <w:color w:val="auto"/>
        </w:rPr>
      </w:pPr>
      <w:r>
        <w:rPr>
          <w:rFonts w:ascii="Arial" w:cs="Arial" w:eastAsia="Arial" w:hAnsi="Arial"/>
          <w:sz w:val="18"/>
          <w:szCs w:val="18"/>
          <w:color w:val="auto"/>
        </w:rPr>
        <w:t>The effective tax rate for the thirteen weeks ended October 30, 2021, was 21.6%, compared to 24.4% for the thirteen weeks ended October 31, 2020. The year-over year effective tax rate decrease was primarily due to the relative impact of permanent and discrete items in the current-year period compared to the prior-year period, primarily as a result of stock-based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0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thirteen weeks ended October 30, 2021, net income decreased $2.8 million to $6.2 million from $9.0 million in the comparable prior-year period due to the factors described in the captions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Redeemable Noncontrolling Interest</w:t>
      </w:r>
    </w:p>
    <w:p>
      <w:pPr>
        <w:spacing w:after="0" w:line="10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For the thirteen weeks ended October 30, 2021, net income attributable to redeemable noncontrolling interest was $0.4 million compared to $0.1 million in the prior-year period. This represents the allocation of the Pura Vida net income to the noncontrolling interest. The reduction in net income was due to the factors described above in the Pura Vida operating segment.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Vera Bradley, Inc.</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thirteen weeks ended October 30, 2021, net income attributable to Vera Bradley, Inc. decreased $3.1 million to $5.8 million from $8.9 million in the comparable prior-year period due to the factors described in the captions above.</w:t>
      </w:r>
    </w:p>
    <w:p>
      <w:pPr>
        <w:spacing w:after="0" w:line="207" w:lineRule="exact"/>
        <w:rPr>
          <w:sz w:val="20"/>
          <w:szCs w:val="20"/>
          <w:color w:val="auto"/>
        </w:rPr>
      </w:pPr>
    </w:p>
    <w:p>
      <w:pPr>
        <w:ind w:right="3360"/>
        <w:spacing w:after="0" w:line="354" w:lineRule="auto"/>
        <w:rPr>
          <w:sz w:val="20"/>
          <w:szCs w:val="20"/>
          <w:color w:val="auto"/>
        </w:rPr>
      </w:pPr>
      <w:r>
        <w:rPr>
          <w:rFonts w:ascii="Arial" w:cs="Arial" w:eastAsia="Arial" w:hAnsi="Arial"/>
          <w:sz w:val="18"/>
          <w:szCs w:val="18"/>
          <w:b w:val="1"/>
          <w:bCs w:val="1"/>
          <w:color w:val="auto"/>
        </w:rPr>
        <w:t xml:space="preserve">Thirty-Nine Weeks Ended October 30, 2021, Compared to Thirty-Nine Weeks Ended October 31, 2020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For the thirty-nine weeks ended October 30, 2021, net revenues increased $65.0 million, or 19.9%, to $390.9 million, from $325.9 million in the comparable prior-year period.</w:t>
      </w:r>
    </w:p>
    <w:p>
      <w:pPr>
        <w:spacing w:after="0" w:line="116"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VB Direct</w:t>
      </w:r>
      <w:r>
        <w:rPr>
          <w:rFonts w:ascii="Arial" w:cs="Arial" w:eastAsia="Arial" w:hAnsi="Arial"/>
          <w:sz w:val="18"/>
          <w:szCs w:val="18"/>
          <w:color w:val="auto"/>
        </w:rPr>
        <w:t>. For the thirty-nine weeks ended October 30, 2021, net revenues in the VB Direct segment increased $54.3 million, or 27.7%, to $250.5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$196.2 million in the comparable prior-year period. The increase primarily resulted from higher store sales in the current-year since in the prior-year the Company’s stores temporarily closed, as a result of COVID-19, beginning on March 19, 2020. The stores began to re-open on May 5, 2020 of the prior-year. The increase was partially offset by a decline in mask sales compared to the prior-year period. We also opened six Vera Bradley factory outlet stores over the past 12 months.</w:t>
      </w:r>
    </w:p>
    <w:p>
      <w:pPr>
        <w:spacing w:after="0" w:line="1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VB Indirect</w:t>
      </w:r>
      <w:r>
        <w:rPr>
          <w:rFonts w:ascii="Arial" w:cs="Arial" w:eastAsia="Arial" w:hAnsi="Arial"/>
          <w:sz w:val="18"/>
          <w:szCs w:val="18"/>
          <w:color w:val="auto"/>
        </w:rPr>
        <w:t>. For the thirty-nine weeks ended October 30, 2021, net revenues in the VB Indirect segment increased $1.7 million, or 3.3%, to $53.0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$51.3 million in the comparable prior-year period. The increase was primarily due to an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increase in orders from specialty and certain key accounts, largely related to the impacts of COVID-19 in the prior-year period, partially offset by a decline in mask sales in the current-year period.</w:t>
      </w:r>
    </w:p>
    <w:p>
      <w:pPr>
        <w:spacing w:after="0" w:line="11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i w:val="1"/>
          <w:iCs w:val="1"/>
          <w:color w:val="auto"/>
        </w:rPr>
        <w:t xml:space="preserve">Pura Vida. </w:t>
      </w:r>
      <w:r>
        <w:rPr>
          <w:rFonts w:ascii="Arial" w:cs="Arial" w:eastAsia="Arial" w:hAnsi="Arial"/>
          <w:sz w:val="16"/>
          <w:szCs w:val="16"/>
          <w:color w:val="auto"/>
        </w:rPr>
        <w:t>For the thirty-nine weeks ended October 30, 2021, net revenues in the Pura Vida segment increased $9.0 million, or 11.5%, to $87.4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$78.4 million in the comparable prior-year period. Pura Vida wholesale sales increased over the prior-year period, which was impacted by the COVID-19 pandemic. Our marketing effectiveness for the e-commerce channel was negatively impacted by the Apple iOS 14.5 update in the current-year resulting in a decline in e-commerce sales. This update impacted Facebook and Instagram, which have been our primary marketing vehicles.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For the thirty-nine weeks ended October 30, 2021, gross profit increased $24.2 million, or 12.9%, to $211.8 million, from $187.6 million in the comparable prior-year period. As a percentage of net revenues, gross profit decreased to 54.2% for the thirty-nine weeks ended October 30, 2021, from 57.6% in the comparable prior-year period. Increased shipping expense and incremental expense from the expiration of the GSP duty-free status negatively impacted the gross profit as a percentage of net revenues for the current-year by approximately 110 basis points and 75 basis points, respectively. Higher-margin mask sales benefited the prior-year gross profit as a percentage of net revenues by approximately 230 basis points, which did not recur in the current-year. The prior-year period also included charges for the cancellation of certain purchase orders due to COVID-19 which totaled $1.3 million and negatively impacted gross margin as a percentage of net revenues by 40 basis points.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For the thirty-nine weeks ended October 30, 2021, SG&amp;A expenses increased $10.5 million, or 5.7%, to $194.1 million, from $183.6 million in the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comparable prior-year period. As a percentage of net revenues, SG&amp;A expenses decreased to 49.7% for the thirty-nine weeks ended October 30, 2021,</w:t>
      </w:r>
    </w:p>
    <w:p>
      <w:pPr>
        <w:spacing w:after="0" w:line="238" w:lineRule="auto"/>
        <w:rPr>
          <w:sz w:val="20"/>
          <w:szCs w:val="20"/>
          <w:color w:val="auto"/>
        </w:rPr>
      </w:pPr>
      <w:r>
        <w:rPr>
          <w:rFonts w:ascii="Arial" w:cs="Arial" w:eastAsia="Arial" w:hAnsi="Arial"/>
          <w:sz w:val="17"/>
          <w:szCs w:val="17"/>
          <w:color w:val="auto"/>
        </w:rPr>
        <w:t>from 56.3% in the comparable prior-year period. SG&amp;A expenses related to Vera Bradley and corporate unallocated were $152.5 million compared to</w:t>
      </w:r>
    </w:p>
    <w:p>
      <w:pPr>
        <w:spacing w:after="0"/>
        <w:rPr>
          <w:sz w:val="20"/>
          <w:szCs w:val="20"/>
          <w:color w:val="auto"/>
        </w:rPr>
      </w:pPr>
      <w:r>
        <w:rPr>
          <w:rFonts w:ascii="Arial" w:cs="Arial" w:eastAsia="Arial" w:hAnsi="Arial"/>
          <w:sz w:val="16"/>
          <w:szCs w:val="16"/>
          <w:color w:val="auto"/>
        </w:rPr>
        <w:t>$141.7 million in the comparable prior-year period. SG&amp;A expenses related to Pura Vida were $41.6 million compared to $41.9 million in the comparable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prior-year period. The increase in consolidated SG&amp;A expenses for the thirty-nine weeks ended October 30, 2021 was primarily due to:</w:t>
      </w:r>
    </w:p>
    <w:p>
      <w:pPr>
        <w:spacing w:after="0" w:line="47" w:lineRule="exact"/>
        <w:rPr>
          <w:sz w:val="20"/>
          <w:szCs w:val="20"/>
          <w:color w:val="auto"/>
        </w:rPr>
      </w:pPr>
    </w:p>
    <w:p>
      <w:pPr>
        <w:jc w:val="both"/>
        <w:ind w:left="660" w:hanging="328"/>
        <w:spacing w:after="0" w:line="253"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Vera Bradley initiatives to reduce expenses in light of COVID-19 including the temporary furlough of certain associates; temporarily reducing the base compensation for all other salaried associates; certain expense reductions associated with the CARES Act retention credit; and reducing other non-payroll expenses including marketing that occurred in the prior-year period but did not recur in the current-year period;</w:t>
      </w:r>
    </w:p>
    <w:p>
      <w:pPr>
        <w:spacing w:after="0" w:line="43"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in incentive compensation expense due to Company performance estimates compared to the prior-year period;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Amortization expense of certain cloud computing costs associated with Project Novus technology enhancements.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increases in SG&amp;A expenses were partially offset by:</w:t>
      </w:r>
    </w:p>
    <w:p>
      <w:pPr>
        <w:spacing w:after="0" w:line="7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$4.7 million reduction of intangible asset amortization associated with the Pura Vida acquisition;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reduction in depreciation expense primarily as a result of legacy software depreciation from the prior-year;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$3.8 million of Vera Bradley store impairment charges in the prior-year period that did not recur in the current-year period.</w:t>
      </w:r>
    </w:p>
    <w:p>
      <w:pPr>
        <w:spacing w:after="0" w:line="7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SG&amp;A expenses as a percentage of net revenues decreased primarily due to the aforementioned items, as well as SG&amp;A expense leverage associated with increased sales.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9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For the thirty-nine weeks ended October 30, 2021, net other income increased $0.8 million to $0.9 million compared to net other income of $0.1 million in the comparable prior-year period. The increase in net other income was primarily due to legal settlements in the current-year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04"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For the thirty-nine weeks ended October 30, 2021, operating income increased $14.5 million to $18.6 million in the current-year period, from operating income of $4.1 million in the comparable prior-year period. As a percentage of net revenues, operating income was 4.8% and 1.3% for the thirty-nine weeks ended October 30, 2021 and October 31, 2020, respectively. Operating income decreased due to the factors described in the captions above.</w:t>
      </w:r>
    </w:p>
    <w:p>
      <w:pPr>
        <w:spacing w:after="0" w:line="9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VB Direct</w:t>
      </w:r>
      <w:r>
        <w:rPr>
          <w:rFonts w:ascii="Arial" w:cs="Arial" w:eastAsia="Arial" w:hAnsi="Arial"/>
          <w:sz w:val="18"/>
          <w:szCs w:val="18"/>
          <w:color w:val="auto"/>
        </w:rPr>
        <w:t>. For the thirty-nine weeks ended October 30, 2021, operating income in the VB Direct segment increased $20.3 million, to $51.9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$31.6 million in the comparable prior-year period. As a percentage of VB Direct segment net revenues, operating income in the VB Direct segment was 20.7% and 16.1% for the thirty-nine weeks ended October 30, 2021 and October 31, 2020, respectively. The increase in operating income as a percentage of VB Direct segment net revenues was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primarily due to SG&amp;A expense leverage associated with increased sales, partially offset by a decrease in gross margin as a percentage of net revenues as described above and COVID-19-related expense savings from the prior-year period that did not recur. The increased expense in the current-year associated with the COVID-19-related savings that did not recur was partially offset by impairment charges from the prior-year that did not recur and a reduction in depreciation expense.</w:t>
      </w:r>
    </w:p>
    <w:p>
      <w:pPr>
        <w:spacing w:after="0" w:line="133"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VB Indirect</w:t>
      </w:r>
      <w:r>
        <w:rPr>
          <w:rFonts w:ascii="Arial" w:cs="Arial" w:eastAsia="Arial" w:hAnsi="Arial"/>
          <w:sz w:val="16"/>
          <w:szCs w:val="16"/>
          <w:color w:val="auto"/>
        </w:rPr>
        <w:t>. For the thirty-nine weeks ended October 30, 2021, operating income in the VB Indirect segment decreased $1.2 million, or 6.3%, to $17.4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from $18.6 million in the comparable prior-year period. As a percentage of VB Indirect segment net revenues, operating income in the VB Indirect segment was 32.8% and 36.2% for the thirty-nine weeks ended October 30, 2021 and October 31, 2020, respectively. The decrease in operating income as a percentage of VB Indirect segment net revenues was primarily due to a decrease in gross margin as a percentage of net revenues, partially offset by SG&amp;A expense leverage associated with increased sales and a decrease in the bad debt provision compared to the prior-year period.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Pura Vida. </w:t>
      </w:r>
      <w:r>
        <w:rPr>
          <w:rFonts w:ascii="Arial" w:cs="Arial" w:eastAsia="Arial" w:hAnsi="Arial"/>
          <w:sz w:val="17"/>
          <w:szCs w:val="17"/>
          <w:color w:val="auto"/>
        </w:rPr>
        <w:t>For the thirty-nine weeks ended October 30, 2021, operating income in the Pura Vida segment increased $3.5 million to $7.5 million from</w:t>
      </w:r>
    </w:p>
    <w:p>
      <w:pPr>
        <w:spacing w:after="0" w:line="3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$4.0 million in the comparable prior-year period. As a percentage of Pura Vida segment net revenues, operating income in the Pura Vida segment was 8.6% and 5.2% for the thirty-nine weeks ended October 30, 2021 and October 31, 2020, respectively. The increase in operating income as a percentage of Pura Vida net revenues was primarily due to SG&amp;A expense leverage associated with increased sales and a decrease in the intangible asset amortization expense compared to the prior-year period, partially offset by a decrease in gross margin as a percentage of net revenues partly due to channel mix changes as a result of the impact of the COVID-19 pandemic on wholesale sales in the prior-year period.</w:t>
      </w:r>
    </w:p>
    <w:p>
      <w:pPr>
        <w:spacing w:after="0" w:line="12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i w:val="1"/>
          <w:iCs w:val="1"/>
          <w:color w:val="auto"/>
        </w:rPr>
        <w:t>Corporate Unallocated</w:t>
      </w:r>
      <w:r>
        <w:rPr>
          <w:rFonts w:ascii="Arial" w:cs="Arial" w:eastAsia="Arial" w:hAnsi="Arial"/>
          <w:sz w:val="16"/>
          <w:szCs w:val="16"/>
          <w:color w:val="auto"/>
        </w:rPr>
        <w:t>. For the thirty-nine weeks ended October 30, 2021, unallocated expenses increased $7.9 million, or 15.9%, to $58.1 million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$50.2 million in the comparable prior-year period. The increase in unallocated expenses was primarily due to prior-year period initiatives to reduce expenses in light of COVID-19 that did not recur in the current-year including the temporary furlough of certain associates; temporarily reducing the base compensation for all other salaried associates; and reducing other non-payroll expenses including marketing, as well as an increase in incentive compensation expense due to Company performance estimates and amortization expense associated with certain cloud computing costs for Project Novus technology enhancements. These increases in SG&amp;A expense were partially offset by a decrease in depreciation expense, as described above.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The effective tax rate for the thirty-nine weeks ended October 30, 2021, was 20.9%, compared to 45.5% for the thirty-nine weeks ended October 31, 2020. The year-over year effective tax rate decrease was primarily due to the relative impact of permanent and discrete items in the current-year period compared to the prior-year period, primarily as a result of stock-based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0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the thirty-nine weeks ended October 30, 2021, net income increased $12.8 million to $14.6 million from $1.8 million in the comparable prior-year period due to the factors described in the captions above</w:t>
      </w:r>
      <w:r>
        <w:rPr>
          <w:rFonts w:ascii="Arial" w:cs="Arial" w:eastAsia="Arial" w:hAnsi="Arial"/>
          <w:sz w:val="18"/>
          <w:szCs w:val="18"/>
          <w:i w:val="1"/>
          <w:iCs w:val="1"/>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Redeemable Noncontrolling Interest</w:t>
      </w:r>
    </w:p>
    <w:p>
      <w:pPr>
        <w:spacing w:after="0" w:line="10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For the thirty-nine weeks ended October 30, 2021, net income attributable to redeemable noncontrolling interest was $1.9 million compared to $1.0 million in the prior-year period. This represents the allocation of the Pura Vida net income to the noncontrolling interest. The increase in net income was due to the factors described above in the Pura Vida operating segment.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Vera Bradley, Inc.</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thirty-nine weeks ended October 30, 2021, net income attributable to Vera Bradley, Inc. increased $11.9 million to $12.7 million from $0.8 million in the comparable prior-year period due to the factors described in the captions above.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0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Our primary sources of liquidity are cash on hand and cash equivalents, investments, and cash flow from operations. We also have access to additional liquidity, if needed, through borrowings under our $75.0 million asset-based revolving credit agreement (the “Credit Agreement”). There was no debt outstanding as of October 30, 2021.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merchandise inventories, accounts receivable, accounts payable, and other current liabilities.</w:t>
      </w:r>
    </w:p>
    <w:p>
      <w:pPr>
        <w:spacing w:after="0" w:line="21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believe that cash on hand and cash equivalents, investments, cash flows from operating activities, and the availability of borrowings under our Credit Agreement or other financing arrangements will be sufficient to meet working capital requirements and anticipated capital expenditures, and other strategic uses of cash, if any, for the foreseeable future.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Thirty-Nine Weeks Ended</w:t>
            </w:r>
          </w:p>
        </w:tc>
      </w:tr>
      <w:tr>
        <w:trPr>
          <w:trHeight w:val="135"/>
        </w:trPr>
        <w:tc>
          <w:tcPr>
            <w:tcW w:w="8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October 30,</w:t>
            </w:r>
          </w:p>
        </w:tc>
        <w:tc>
          <w:tcPr>
            <w:tcW w:w="240" w:type="dxa"/>
            <w:vAlign w:val="bottom"/>
          </w:tcPr>
          <w:p>
            <w:pPr>
              <w:spacing w:after="0"/>
              <w:rPr>
                <w:sz w:val="11"/>
                <w:szCs w:val="11"/>
                <w:color w:val="auto"/>
              </w:rPr>
            </w:pPr>
          </w:p>
        </w:tc>
        <w:tc>
          <w:tcPr>
            <w:tcW w:w="1200" w:type="dxa"/>
            <w:vAlign w:val="bottom"/>
          </w:tcPr>
          <w:p>
            <w:pPr>
              <w:jc w:val="right"/>
              <w:ind w:right="277"/>
              <w:spacing w:after="0" w:line="135" w:lineRule="exact"/>
              <w:rPr>
                <w:sz w:val="20"/>
                <w:szCs w:val="20"/>
                <w:color w:val="auto"/>
              </w:rPr>
            </w:pPr>
            <w:r>
              <w:rPr>
                <w:rFonts w:ascii="Arial" w:cs="Arial" w:eastAsia="Arial" w:hAnsi="Arial"/>
                <w:sz w:val="14"/>
                <w:szCs w:val="14"/>
                <w:b w:val="1"/>
                <w:bCs w:val="1"/>
                <w:color w:val="auto"/>
              </w:rPr>
              <w:t>October 31,</w:t>
            </w:r>
          </w:p>
        </w:tc>
      </w:tr>
      <w:tr>
        <w:trPr>
          <w:trHeight w:val="188"/>
        </w:trPr>
        <w:tc>
          <w:tcPr>
            <w:tcW w:w="8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19,211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240" w:type="dxa"/>
            <w:vAlign w:val="bottom"/>
          </w:tcPr>
          <w:p>
            <w:pPr>
              <w:spacing w:after="0"/>
              <w:rPr>
                <w:sz w:val="19"/>
                <w:szCs w:val="19"/>
                <w:color w:val="auto"/>
              </w:rPr>
            </w:pPr>
          </w:p>
        </w:tc>
        <w:tc>
          <w:tcPr>
            <w:tcW w:w="1200" w:type="dxa"/>
            <w:vAlign w:val="bottom"/>
          </w:tcPr>
          <w:p>
            <w:pPr>
              <w:ind w:left="640"/>
              <w:spacing w:after="0"/>
              <w:rPr>
                <w:sz w:val="20"/>
                <w:szCs w:val="20"/>
                <w:color w:val="auto"/>
              </w:rPr>
            </w:pPr>
            <w:r>
              <w:rPr>
                <w:rFonts w:ascii="Arial" w:cs="Arial" w:eastAsia="Arial" w:hAnsi="Arial"/>
                <w:sz w:val="18"/>
                <w:szCs w:val="18"/>
                <w:color w:val="auto"/>
                <w:w w:val="94"/>
              </w:rPr>
              <w:t>(3,173)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17,995</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(5,415)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including depreciation, amortization, impairment charges, deferred taxes, and stock-based compensation; and the effect of changes in assets and liabilities.</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Net cash provided by operating activities for the thirty-nine weeks ended October 30, 2021 was $19.2 million compared to $1.6 million for the thirty-nine weeks ended October 31, 2020. The increase in cash provided by operating activities was primarily related to the change in assets and liabilities. The increase in net income of $12.8 million was more than offset by the change in non-cash items. Changes in assets and liabilities resulting in a source of cash were primarily related to an increase in trade accounts receivable collections, mostly due to the impact of COVID-19 on the prior-year period, a decrease in inventory receipts compared to the prior-year, as well as a change in the income tax receivable due to timing of payments and income compared to the prior-year. Changes in assets and liabilities resulting in a use of cash were primarily related to the timing of payments, including rent payments which were impacted by payment deferrals in the prior-year.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Investing Activities</w:t>
      </w:r>
    </w:p>
    <w:p>
      <w:pPr>
        <w:spacing w:after="0" w:line="10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Investing activities consist primarily of investments and capital expenditures related to new store openings, buildings, operational equipment, and information technology investments.</w:t>
      </w:r>
    </w:p>
    <w:p>
      <w:pPr>
        <w:spacing w:after="0" w:line="11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Net cash used in investing activities was $3.2 million for the thirty-nine weeks ended October 30, 2021 compared to cash provided by investing activities of $18.0 million for the thirty-nine weeks ended October 31, 2020. The increase in cash used in investing activities was primarily a result of proceeds from investment activity in the prior-year period that did not recur in the current-year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fiscal 2022 are expected to be approximately $6.0 million to $8.0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Net cash used in financing activities was $5.4 million for the thirty-nine weeks ended October 30, 2021 compared to cash provided by financing activities of $6.2 million for the thirty-nine weeks ended October 31, 2020. The increase in cash used in financing activities was primarily due to financing activities that occurred in the prior-year period but did not recur in the current-year period including net borrowings of $30.0 million under our Credit Agreement, partially offset by $18.7 million for a contingent consideration payment associated with the July 2019 acquisition of Pura Vida.</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September 7, 2018, VBD, a wholly-owned subsidiary of the Company, entered into an asset 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 The Company was in compliance with these covenants as of October 30, 2021.</w:t>
      </w:r>
    </w:p>
    <w:p>
      <w:pPr>
        <w:spacing w:after="0" w:line="71"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The Credit Agreement also requires the Loan Parties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2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Any commitments made under the Credit Agreement mature on September 7, 2023.</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As of October 30, 2021 and January 30, 2021, the Company had no borrowings outstanding and availability of $75.0 million under the Credit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January 30, 2021.</w:t>
      </w:r>
    </w:p>
    <w:p>
      <w:pPr>
        <w:spacing w:after="0" w:line="10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Discussion and Analysis of Financial Condition and Results of Operations” in the Company’s Annual Report on Form 10-K for the fiscal year ended January 30, 2021. There were no significant changes to any of the critical accounting policies and estimates described in the Annual Report as of October 30,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 to Note 1 “Description of the Company and Basis of Presentation” within Item 1 “Financial Statements”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October 30, 2021, there was no material change in the market risks described in “Quantitative and Qualitative Disclosures About Market Risks” in the Company’s Annual Report on Form 10-K for the fiscal year ended January 30, 2021.</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October 30, 2021.</w:t>
      </w:r>
    </w:p>
    <w:p>
      <w:pPr>
        <w:spacing w:after="0" w:line="13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0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Company has filed a motion for summary judgement asking the Court to dismiss all claims with prejudice and grant judgement on its counterclaim. The motion is fully briefed and the Company is awaiting a decision from the Court.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April of 2020, Chidimma Igboakaeze filed suit seeking class certification for all current and former hourly-paid employees who worked for the Company within the state of California during the four years preceding the filing until final judgement. The complaint alleged various violations of the California Labor Code related to wages, overtime, meal and rest breaks, non-compliant wage statements and records and other similar allegations related to employment. The Plaintiff also filed a Private Attorney General Act claim with the state of California regarding the same allegations. This case was settled in the first quarter of fiscal 2022 for an immaterial amount.</w:t>
      </w:r>
    </w:p>
    <w:p>
      <w:pPr>
        <w:spacing w:after="0" w:line="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is subject to other legal proceedings from time to time in the ordinary course of business, but does not believe any of these such claims would have a material adverse impact on the Company at this time.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Except as follows, there have been no material changes to the risk factors previously set forth in the Company’s Annual Report on Form 10-K for the fiscal year ended January 30, 2021.</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Losses or disruptions associated with our distribution systems could have a material adverse effect on our business and operations.</w:t>
      </w:r>
    </w:p>
    <w:p>
      <w:pPr>
        <w:spacing w:after="0" w:line="11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operating results depend on the orderly operation of our receiving and distribution functions, which also depends on our vendors' adherence to our shipping and receiving schedules. We may not anticipate all of the changing demands that our operating activities may impose on our receiving and distribution functions. There may also be events that are beyond our control that could cause delays in these functions, including but not limited to, public health pandemics such as COVID-19 and other catastrophic events, changing macroeconomic trends, and general disruptions or delays in shipping and receiving.</w:t>
      </w:r>
    </w:p>
    <w:p>
      <w:pPr>
        <w:spacing w:after="0" w:line="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we rely on the flow of our goods through worldwide ports on a consistent basis. Disruption at the ports could create significant risks to our business, particularly if the occurrence is during a peak import time. For example, COVID-19 has resulted in a shortage of shipping containers, the lack of available shipping vessels, capacity constraints, and a general shipping backlog. If we experience significant delays in our receipt of product, we may experience an increase in freight costs, unanticipated inventory shortages, and missed sales opportunities which could adversely affect our financial condition, results of operations, and cash flows.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results of operations could suffer if we are unable to attract and retain retail and distribution center employees required for our business.</w:t>
      </w:r>
    </w:p>
    <w:p>
      <w:pPr>
        <w:spacing w:after="0" w:line="12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must attract, motivate, and retain a sufficient number of qualified retail and distribution center employees. Historically, competition for talent in these positions has been intense and turnover is generally high, both of which have been amplified by the COVID-19 pandemic. If we are unable to attract and retain such employees with the necessary skills and experience, we may not achieve our objectives and our financial condition, results of operations, and cash flows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On November 29, 2018, the Company's board of directors approved a share repurchase plan (the “2018 Share Repurchase Program”) authorizing up to</w:t>
      </w:r>
    </w:p>
    <w:p>
      <w:pPr>
        <w:spacing w:after="0" w:line="46"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$50.0 million of repurchases of shares of the Company's common stock. On December 3, 2020, the 2018 Share Repurchase Program was extended through December 11, 2021. On March 20, 2020, the Company temporarily suspended the share repurchase program to conserve cash as a result of the COVID-19 pandemic. The board of directors authorized the resumption of the share repurchase program beginning on March 11, 2021.</w:t>
      </w:r>
    </w:p>
    <w:p>
      <w:pPr>
        <w:spacing w:after="0" w:line="3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Subsequent to the end of the quarter, in December 2021, the Company's board of directors approved a new share repurchase plan (the “2021 Share Repurchase Program”) which authorized Company management to utilize up to $50.0 million of available cash for repurchases of shares of the Company's common stock. The 2021 Share Repurchase Program goes into effect beginning December 13, 2021 and expires in December 2024.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Details regarding the activity under the program during the thirteen weeks ended October 30, 2021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Total Number of Shares</w:t>
            </w:r>
          </w:p>
        </w:tc>
        <w:tc>
          <w:tcPr>
            <w:tcW w:w="160" w:type="dxa"/>
            <w:vAlign w:val="bottom"/>
          </w:tcPr>
          <w:p>
            <w:pPr>
              <w:spacing w:after="0"/>
              <w:rPr>
                <w:sz w:val="11"/>
                <w:szCs w:val="11"/>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Average Price Paid per</w:t>
            </w: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1"/>
                <w:szCs w:val="11"/>
                <w:color w:val="auto"/>
              </w:rPr>
            </w:pPr>
          </w:p>
        </w:tc>
        <w:tc>
          <w:tcPr>
            <w:tcW w:w="18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35"/>
        </w:trPr>
        <w:tc>
          <w:tcPr>
            <w:tcW w:w="354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Period</w:t>
            </w:r>
          </w:p>
        </w:tc>
        <w:tc>
          <w:tcPr>
            <w:tcW w:w="1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Publicly Announced Plans or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88"/>
        </w:trPr>
        <w:tc>
          <w:tcPr>
            <w:tcW w:w="3540" w:type="dxa"/>
            <w:vAlign w:val="bottom"/>
            <w:vMerge w:val="continue"/>
          </w:tcPr>
          <w:p>
            <w:pPr>
              <w:spacing w:after="0"/>
              <w:rPr>
                <w:sz w:val="16"/>
                <w:szCs w:val="16"/>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Purchased</w:t>
            </w:r>
          </w:p>
        </w:tc>
        <w:tc>
          <w:tcPr>
            <w:tcW w:w="160" w:type="dxa"/>
            <w:vAlign w:val="bottom"/>
          </w:tcPr>
          <w:p>
            <w:pPr>
              <w:spacing w:after="0"/>
              <w:rPr>
                <w:sz w:val="16"/>
                <w:szCs w:val="16"/>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Pr>
          <w:p>
            <w:pPr>
              <w:spacing w:after="0"/>
              <w:rPr>
                <w:sz w:val="16"/>
                <w:szCs w:val="16"/>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Under the Plans or Program</w:t>
            </w:r>
          </w:p>
        </w:tc>
        <w:tc>
          <w:tcPr>
            <w:tcW w:w="0" w:type="dxa"/>
            <w:vAlign w:val="bottom"/>
          </w:tcPr>
          <w:p>
            <w:pPr>
              <w:spacing w:after="0"/>
              <w:rPr>
                <w:sz w:val="1"/>
                <w:szCs w:val="1"/>
                <w:color w:val="auto"/>
              </w:rPr>
            </w:pPr>
          </w:p>
        </w:tc>
      </w:tr>
      <w:tr>
        <w:trPr>
          <w:trHeight w:val="224"/>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August 1, 2021 - August 28, 2021</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32,939,607</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August 29, 2021 - October 2, 2021</w:t>
            </w:r>
          </w:p>
        </w:tc>
        <w:tc>
          <w:tcPr>
            <w:tcW w:w="1820" w:type="dxa"/>
            <w:vAlign w:val="bottom"/>
          </w:tcPr>
          <w:p>
            <w:pPr>
              <w:jc w:val="right"/>
              <w:spacing w:after="0"/>
              <w:rPr>
                <w:sz w:val="20"/>
                <w:szCs w:val="20"/>
                <w:color w:val="auto"/>
              </w:rPr>
            </w:pPr>
            <w:r>
              <w:rPr>
                <w:rFonts w:ascii="Arial" w:cs="Arial" w:eastAsia="Arial" w:hAnsi="Arial"/>
                <w:sz w:val="18"/>
                <w:szCs w:val="18"/>
                <w:color w:val="auto"/>
              </w:rPr>
              <w:t>97,403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97,403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31,967,715</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3, 2021 - October 30, 2021</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116,627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30,821,485</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214,030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7920" w:type="dxa"/>
            <w:vAlign w:val="bottom"/>
            <w:gridSpan w:val="6"/>
          </w:tcPr>
          <w:p>
            <w:pPr>
              <w:ind w:left="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80" w:type="dxa"/>
            <w:vAlign w:val="bottom"/>
            <w:gridSpan w:val="7"/>
          </w:tcPr>
          <w:p>
            <w:pPr>
              <w:ind w:left="120"/>
              <w:spacing w:after="0"/>
              <w:rPr>
                <w:sz w:val="20"/>
                <w:szCs w:val="20"/>
                <w:color w:val="auto"/>
              </w:rPr>
            </w:pPr>
            <w:r>
              <w:rPr>
                <w:rFonts w:ascii="Arial" w:cs="Arial" w:eastAsia="Arial" w:hAnsi="Arial"/>
                <w:sz w:val="18"/>
                <w:szCs w:val="18"/>
                <w:color w:val="auto"/>
              </w:rPr>
              <w:t>a. Exhibits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8"/>
              </w:rPr>
              <w:t>Exhibit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7"/>
              </w:rPr>
              <w:t>No.</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2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320" w:type="dxa"/>
            <w:vAlign w:val="bottom"/>
          </w:tcPr>
          <w:p>
            <w:pPr>
              <w:spacing w:after="0"/>
              <w:rPr>
                <w:rFonts w:ascii="Arial" w:cs="Arial" w:eastAsia="Arial" w:hAnsi="Arial"/>
                <w:sz w:val="18"/>
                <w:szCs w:val="18"/>
                <w:color w:val="0000FF"/>
                <w:w w:val="85"/>
              </w:rPr>
            </w:pPr>
            <w:hyperlink w:anchor="page45">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rFonts w:ascii="Arial" w:cs="Arial" w:eastAsia="Arial" w:hAnsi="Arial"/>
                <w:sz w:val="18"/>
                <w:szCs w:val="18"/>
                <w:color w:val="0000FF"/>
              </w:rPr>
            </w:pPr>
            <w:hyperlink w:anchor="page45">
              <w:r>
                <w:rPr>
                  <w:rFonts w:ascii="Arial" w:cs="Arial" w:eastAsia="Arial" w:hAnsi="Arial"/>
                  <w:sz w:val="18"/>
                  <w:szCs w:val="18"/>
                  <w:color w:val="0000FF"/>
                </w:rPr>
                <w:t>CEO Section 302 Certification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rFonts w:ascii="Arial" w:cs="Arial" w:eastAsia="Arial" w:hAnsi="Arial"/>
                <w:sz w:val="18"/>
                <w:szCs w:val="18"/>
                <w:color w:val="0000FF"/>
                <w:w w:val="85"/>
              </w:rPr>
            </w:pPr>
            <w:hyperlink w:anchor="page4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20" w:type="dxa"/>
            <w:vAlign w:val="bottom"/>
            <w:gridSpan w:val="4"/>
          </w:tcPr>
          <w:p>
            <w:pPr>
              <w:ind w:left="20"/>
              <w:spacing w:after="0"/>
              <w:rPr>
                <w:rFonts w:ascii="Arial" w:cs="Arial" w:eastAsia="Arial" w:hAnsi="Arial"/>
                <w:sz w:val="18"/>
                <w:szCs w:val="18"/>
                <w:color w:val="0000FF"/>
              </w:rPr>
            </w:pPr>
            <w:hyperlink w:anchor="page46">
              <w:r>
                <w:rPr>
                  <w:rFonts w:ascii="Arial" w:cs="Arial" w:eastAsia="Arial" w:hAnsi="Arial"/>
                  <w:sz w:val="18"/>
                  <w:szCs w:val="18"/>
                  <w:color w:val="0000FF"/>
                </w:rPr>
                <w:t>CFO Section 302 Certification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rFonts w:ascii="Arial" w:cs="Arial" w:eastAsia="Arial" w:hAnsi="Arial"/>
                <w:sz w:val="18"/>
                <w:szCs w:val="18"/>
                <w:color w:val="0000FF"/>
                <w:w w:val="85"/>
              </w:rPr>
            </w:pPr>
            <w:hyperlink w:anchor="page47">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20" w:type="dxa"/>
            <w:vAlign w:val="bottom"/>
            <w:gridSpan w:val="4"/>
          </w:tcPr>
          <w:p>
            <w:pPr>
              <w:ind w:left="20"/>
              <w:spacing w:after="0"/>
              <w:rPr>
                <w:rFonts w:ascii="Arial" w:cs="Arial" w:eastAsia="Arial" w:hAnsi="Arial"/>
                <w:sz w:val="18"/>
                <w:szCs w:val="18"/>
                <w:color w:val="0000FF"/>
              </w:rPr>
            </w:pPr>
            <w:hyperlink w:anchor="page47">
              <w:r>
                <w:rPr>
                  <w:rFonts w:ascii="Arial" w:cs="Arial" w:eastAsia="Arial" w:hAnsi="Arial"/>
                  <w:sz w:val="18"/>
                  <w:szCs w:val="18"/>
                  <w:color w:val="0000FF"/>
                </w:rPr>
                <w:t>Section 906 Certifications*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auto"/>
                <w:w w:val="95"/>
              </w:rPr>
              <w:t>Inline XBRL Instance Document (the instance document does not appear in the Interactive Data File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340" w:type="dxa"/>
            <w:vAlign w:val="bottom"/>
            <w:gridSpan w:val="2"/>
          </w:tcPr>
          <w:p>
            <w:pPr>
              <w:ind w:left="20"/>
              <w:spacing w:after="0"/>
              <w:rPr>
                <w:sz w:val="20"/>
                <w:szCs w:val="20"/>
                <w:color w:val="auto"/>
              </w:rPr>
            </w:pPr>
            <w:r>
              <w:rPr>
                <w:rFonts w:ascii="Arial" w:cs="Arial" w:eastAsia="Arial" w:hAnsi="Arial"/>
                <w:sz w:val="18"/>
                <w:szCs w:val="18"/>
                <w:color w:val="auto"/>
                <w:w w:val="99"/>
              </w:rPr>
              <w:t>104</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720" w:hanging="694"/>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Vera Bradley, Inc.</w:t>
            </w:r>
          </w:p>
        </w:tc>
      </w:tr>
      <w:tr>
        <w:trPr>
          <w:trHeight w:val="230"/>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(Registrant)</w:t>
            </w:r>
          </w:p>
        </w:tc>
      </w:tr>
      <w:tr>
        <w:trPr>
          <w:trHeight w:val="499"/>
        </w:trPr>
        <w:tc>
          <w:tcPr>
            <w:tcW w:w="5640" w:type="dxa"/>
            <w:vAlign w:val="bottom"/>
          </w:tcPr>
          <w:p>
            <w:pPr>
              <w:spacing w:after="0"/>
              <w:rPr>
                <w:sz w:val="20"/>
                <w:szCs w:val="20"/>
                <w:color w:val="auto"/>
              </w:rPr>
            </w:pPr>
            <w:r>
              <w:rPr>
                <w:rFonts w:ascii="Arial" w:cs="Arial" w:eastAsia="Arial" w:hAnsi="Arial"/>
                <w:sz w:val="18"/>
                <w:szCs w:val="18"/>
                <w:color w:val="auto"/>
              </w:rPr>
              <w:t>Date: December 8, 2021</w:t>
            </w: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Enwright</w:t>
            </w:r>
          </w:p>
        </w:tc>
      </w:tr>
      <w:tr>
        <w:trPr>
          <w:trHeight w:val="222"/>
        </w:trPr>
        <w:tc>
          <w:tcPr>
            <w:tcW w:w="564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John Enwright</w:t>
            </w:r>
          </w:p>
        </w:tc>
      </w:tr>
      <w:tr>
        <w:trPr>
          <w:trHeight w:val="230"/>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21" w:right="3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Robert Wallstrom, certify that:</w:t>
      </w:r>
    </w:p>
    <w:p>
      <w:pPr>
        <w:spacing w:after="0" w:line="104"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8"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34" w:lineRule="auto"/>
        <w:tabs>
          <w:tab w:leader="none" w:pos="1297"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644"/>
        <w:spacing w:after="0" w:line="263" w:lineRule="auto"/>
        <w:tabs>
          <w:tab w:leader="none" w:pos="12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300" w:right="460" w:hanging="644"/>
        <w:spacing w:after="0" w:line="334" w:lineRule="auto"/>
        <w:tabs>
          <w:tab w:leader="none" w:pos="1297"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40" w:hanging="644"/>
        <w:spacing w:after="0" w:line="273" w:lineRule="auto"/>
        <w:tabs>
          <w:tab w:leader="none" w:pos="12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Date: December 8, 2021</w:t>
            </w:r>
          </w:p>
        </w:tc>
        <w:tc>
          <w:tcPr>
            <w:tcW w:w="7160" w:type="dxa"/>
            <w:vAlign w:val="bottom"/>
            <w:gridSpan w:val="2"/>
          </w:tcPr>
          <w:p>
            <w:pPr>
              <w:ind w:left="1600"/>
              <w:spacing w:after="0"/>
              <w:rPr>
                <w:sz w:val="20"/>
                <w:szCs w:val="20"/>
                <w:color w:val="auto"/>
              </w:rPr>
            </w:pPr>
            <w:r>
              <w:rPr>
                <w:rFonts w:ascii="Arial" w:cs="Arial" w:eastAsia="Arial" w:hAnsi="Arial"/>
                <w:sz w:val="18"/>
                <w:szCs w:val="18"/>
                <w:color w:val="auto"/>
              </w:rPr>
              <w:t>/s/ Robert Wallstrom</w:t>
            </w:r>
          </w:p>
        </w:tc>
      </w:tr>
      <w:tr>
        <w:trPr>
          <w:trHeight w:val="222"/>
        </w:trPr>
        <w:tc>
          <w:tcPr>
            <w:tcW w:w="3380" w:type="dxa"/>
            <w:vAlign w:val="bottom"/>
          </w:tcPr>
          <w:p>
            <w:pPr>
              <w:spacing w:after="0"/>
              <w:rPr>
                <w:sz w:val="19"/>
                <w:szCs w:val="19"/>
                <w:color w:val="auto"/>
              </w:rPr>
            </w:pPr>
          </w:p>
        </w:tc>
        <w:tc>
          <w:tcPr>
            <w:tcW w:w="2240" w:type="dxa"/>
            <w:vAlign w:val="bottom"/>
          </w:tcPr>
          <w:p>
            <w:pPr>
              <w:ind w:left="1600"/>
              <w:spacing w:after="0"/>
              <w:rPr>
                <w:sz w:val="20"/>
                <w:szCs w:val="20"/>
                <w:color w:val="auto"/>
              </w:rPr>
            </w:pPr>
            <w:r>
              <w:rPr>
                <w:rFonts w:ascii="Arial" w:cs="Arial" w:eastAsia="Arial" w:hAnsi="Arial"/>
                <w:sz w:val="18"/>
                <w:szCs w:val="18"/>
                <w:color w:val="auto"/>
              </w:rPr>
              <w:t>Robert</w:t>
            </w:r>
          </w:p>
        </w:tc>
        <w:tc>
          <w:tcPr>
            <w:tcW w:w="4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Wallstrom</w:t>
            </w:r>
          </w:p>
        </w:tc>
      </w:tr>
      <w:tr>
        <w:trPr>
          <w:trHeight w:val="230"/>
        </w:trPr>
        <w:tc>
          <w:tcPr>
            <w:tcW w:w="3380" w:type="dxa"/>
            <w:vAlign w:val="bottom"/>
          </w:tcPr>
          <w:p>
            <w:pPr>
              <w:spacing w:after="0"/>
              <w:rPr>
                <w:sz w:val="20"/>
                <w:szCs w:val="20"/>
                <w:color w:val="auto"/>
              </w:rPr>
            </w:pPr>
          </w:p>
        </w:tc>
        <w:tc>
          <w:tcPr>
            <w:tcW w:w="7160" w:type="dxa"/>
            <w:vAlign w:val="bottom"/>
            <w:gridSpan w:val="2"/>
          </w:tcPr>
          <w:p>
            <w:pPr>
              <w:ind w:left="160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John Enwright, certify that:</w:t>
      </w:r>
    </w:p>
    <w:p>
      <w:pPr>
        <w:spacing w:after="0" w:line="104"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8"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34" w:lineRule="auto"/>
        <w:tabs>
          <w:tab w:leader="none" w:pos="1297"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644"/>
        <w:spacing w:after="0" w:line="263" w:lineRule="auto"/>
        <w:tabs>
          <w:tab w:leader="none" w:pos="12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300" w:right="460" w:hanging="644"/>
        <w:spacing w:after="0" w:line="334" w:lineRule="auto"/>
        <w:tabs>
          <w:tab w:leader="none" w:pos="1297"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40" w:hanging="644"/>
        <w:spacing w:after="0" w:line="273" w:lineRule="auto"/>
        <w:tabs>
          <w:tab w:leader="none" w:pos="12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Date: December 8, 2021</w:t>
            </w:r>
          </w:p>
        </w:tc>
        <w:tc>
          <w:tcPr>
            <w:tcW w:w="7160" w:type="dxa"/>
            <w:vAlign w:val="bottom"/>
            <w:gridSpan w:val="2"/>
          </w:tcPr>
          <w:p>
            <w:pPr>
              <w:ind w:left="1600"/>
              <w:spacing w:after="0"/>
              <w:rPr>
                <w:sz w:val="20"/>
                <w:szCs w:val="20"/>
                <w:color w:val="auto"/>
              </w:rPr>
            </w:pPr>
            <w:r>
              <w:rPr>
                <w:rFonts w:ascii="Arial" w:cs="Arial" w:eastAsia="Arial" w:hAnsi="Arial"/>
                <w:sz w:val="18"/>
                <w:szCs w:val="18"/>
                <w:color w:val="auto"/>
              </w:rPr>
              <w:t>/s/ John Enwright</w:t>
            </w:r>
          </w:p>
        </w:tc>
      </w:tr>
      <w:tr>
        <w:trPr>
          <w:trHeight w:val="20"/>
        </w:trPr>
        <w:tc>
          <w:tcPr>
            <w:tcW w:w="33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r>
      <w:tr>
        <w:trPr>
          <w:trHeight w:val="222"/>
        </w:trPr>
        <w:tc>
          <w:tcPr>
            <w:tcW w:w="3380" w:type="dxa"/>
            <w:vAlign w:val="bottom"/>
          </w:tcPr>
          <w:p>
            <w:pPr>
              <w:spacing w:after="0"/>
              <w:rPr>
                <w:sz w:val="19"/>
                <w:szCs w:val="19"/>
                <w:color w:val="auto"/>
              </w:rPr>
            </w:pPr>
          </w:p>
        </w:tc>
        <w:tc>
          <w:tcPr>
            <w:tcW w:w="7160" w:type="dxa"/>
            <w:vAlign w:val="bottom"/>
            <w:gridSpan w:val="2"/>
          </w:tcPr>
          <w:p>
            <w:pPr>
              <w:ind w:left="1600"/>
              <w:spacing w:after="0"/>
              <w:rPr>
                <w:sz w:val="20"/>
                <w:szCs w:val="20"/>
                <w:color w:val="auto"/>
              </w:rPr>
            </w:pPr>
            <w:r>
              <w:rPr>
                <w:rFonts w:ascii="Arial" w:cs="Arial" w:eastAsia="Arial" w:hAnsi="Arial"/>
                <w:sz w:val="18"/>
                <w:szCs w:val="18"/>
                <w:color w:val="auto"/>
              </w:rPr>
              <w:t>John Enwright</w:t>
            </w:r>
          </w:p>
        </w:tc>
      </w:tr>
      <w:tr>
        <w:trPr>
          <w:trHeight w:val="230"/>
        </w:trPr>
        <w:tc>
          <w:tcPr>
            <w:tcW w:w="3380" w:type="dxa"/>
            <w:vAlign w:val="bottom"/>
          </w:tcPr>
          <w:p>
            <w:pPr>
              <w:spacing w:after="0"/>
              <w:rPr>
                <w:sz w:val="20"/>
                <w:szCs w:val="20"/>
                <w:color w:val="auto"/>
              </w:rPr>
            </w:pPr>
          </w:p>
        </w:tc>
        <w:tc>
          <w:tcPr>
            <w:tcW w:w="7160" w:type="dxa"/>
            <w:vAlign w:val="bottom"/>
            <w:gridSpan w:val="2"/>
          </w:tcPr>
          <w:p>
            <w:pPr>
              <w:ind w:left="1600"/>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ind w:right="160" w:firstLine="180"/>
        <w:spacing w:after="0" w:line="259" w:lineRule="auto"/>
        <w:rPr>
          <w:sz w:val="20"/>
          <w:szCs w:val="20"/>
          <w:color w:val="auto"/>
        </w:rPr>
      </w:pPr>
      <w:r>
        <w:rPr>
          <w:rFonts w:ascii="Arial" w:cs="Arial" w:eastAsia="Arial" w:hAnsi="Arial"/>
          <w:sz w:val="18"/>
          <w:szCs w:val="18"/>
          <w:color w:val="auto"/>
        </w:rPr>
        <w:t>I, Robert Wallstrom, the Chief Executive Officer of Vera Bradley, Inc., certify that (i) the quarterly report on Form 10-Q for the fiscal quarter ended October 30, 2021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318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Robert Wallstrom</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Chief Executive Officer</w:t>
      </w:r>
    </w:p>
    <w:p>
      <w:pPr>
        <w:spacing w:after="0" w:line="29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December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318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Date</w:t>
      </w:r>
    </w:p>
    <w:p>
      <w:pPr>
        <w:spacing w:after="0" w:line="347" w:lineRule="exact"/>
        <w:rPr>
          <w:sz w:val="20"/>
          <w:szCs w:val="20"/>
          <w:color w:val="auto"/>
        </w:rPr>
      </w:pPr>
    </w:p>
    <w:p>
      <w:pPr>
        <w:ind w:right="160" w:firstLine="180"/>
        <w:spacing w:after="0" w:line="259" w:lineRule="auto"/>
        <w:rPr>
          <w:sz w:val="20"/>
          <w:szCs w:val="20"/>
          <w:color w:val="auto"/>
        </w:rPr>
      </w:pPr>
      <w:r>
        <w:rPr>
          <w:rFonts w:ascii="Arial" w:cs="Arial" w:eastAsia="Arial" w:hAnsi="Arial"/>
          <w:sz w:val="18"/>
          <w:szCs w:val="18"/>
          <w:color w:val="auto"/>
        </w:rPr>
        <w:t>I, John Enwright, the Chief Financial Officer of Vera Bradley, Inc., certify that (i) the quarterly report on Form 10-Q for the fiscal quarter ended October 30, 2021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318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John Enwright</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Chief Financial Officer</w:t>
      </w:r>
    </w:p>
    <w:p>
      <w:pPr>
        <w:spacing w:after="0" w:line="29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December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318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Date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lvl w:ilvl="1">
      <w:lvlJc w:val="left"/>
      <w:lvlText w:val="•"/>
      <w:numFmt w:val="bullet"/>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3"/>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4"/>
    </w:lvl>
  </w:abstractNum>
  <w:abstractNum w:abstractNumId="12">
    <w:nsid w:val="2443A858"/>
    <w:multiLevelType w:val="hybridMultilevel"/>
    <w:lvl w:ilvl="0">
      <w:lvlJc w:val="left"/>
      <w:lvlText w:val="%1."/>
      <w:numFmt w:val="decimal"/>
      <w:start w:val="5"/>
    </w:lvl>
    <w:lvl w:ilvl="1">
      <w:lvlJc w:val="left"/>
      <w:lvlText w:val="•"/>
      <w:numFmt w:val="bullet"/>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6"/>
    </w:lvl>
  </w:abstractNum>
  <w:abstractNum w:abstractNumId="15">
    <w:nsid w:val="75A2A8D4"/>
    <w:multiLevelType w:val="hybridMultilevel"/>
    <w:lvl w:ilvl="0">
      <w:lvlJc w:val="left"/>
      <w:lvlText w:val="%1."/>
      <w:numFmt w:val="decimal"/>
      <w:start w:val="7"/>
    </w:lvl>
  </w:abstractNum>
  <w:abstractNum w:abstractNumId="16">
    <w:nsid w:val="8EDBDAB"/>
    <w:multiLevelType w:val="hybridMultilevel"/>
    <w:lvl w:ilvl="0">
      <w:lvlJc w:val="left"/>
      <w:lvlText w:val="%1."/>
      <w:numFmt w:val="decimal"/>
      <w:start w:val="9"/>
    </w:lvl>
  </w:abstractNum>
  <w:abstractNum w:abstractNumId="17">
    <w:nsid w:val="79838CB2"/>
    <w:multiLevelType w:val="hybridMultilevel"/>
    <w:lvl w:ilvl="0">
      <w:lvlJc w:val="left"/>
      <w:lvlText w:val="%1."/>
      <w:numFmt w:val="decimal"/>
      <w:start w:val="10"/>
    </w:lvl>
  </w:abstractNum>
  <w:abstractNum w:abstractNumId="18">
    <w:nsid w:val="4353D0CD"/>
    <w:multiLevelType w:val="hybridMultilevel"/>
    <w:lvl w:ilvl="0">
      <w:lvlJc w:val="left"/>
      <w:lvlText w:val="%1."/>
      <w:numFmt w:val="decimal"/>
      <w:start w:val="13"/>
    </w:lvl>
  </w:abstractNum>
  <w:abstractNum w:abstractNumId="19">
    <w:nsid w:val="B03E0C6"/>
    <w:multiLevelType w:val="hybridMultilevel"/>
    <w:lvl w:ilvl="0">
      <w:lvlJc w:val="left"/>
      <w:lvlText w:val="%1."/>
      <w:numFmt w:val="decimal"/>
      <w:start w:val="14"/>
    </w:lvl>
  </w:abstractNum>
  <w:abstractNum w:abstractNumId="20">
    <w:nsid w:val="189A769B"/>
    <w:multiLevelType w:val="hybridMultilevel"/>
    <w:lvl w:ilvl="0">
      <w:lvlJc w:val="left"/>
      <w:lvlText w:val="%1."/>
      <w:numFmt w:val="decimal"/>
      <w:start w:val="15"/>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2021-12-08T15:02:23Z</dcterms:created>
  <dcterms:modified xsi:type="dcterms:W3CDTF">2021-12-08T15:02:23Z</dcterms:modified>
</cp:coreProperties>
</file>