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29,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480" w:space="720"/>
            <w:col w:w="42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6380" w:type="dxa"/>
            <w:vAlign w:val="bottom"/>
          </w:tcPr>
          <w:p>
            <w:pPr>
              <w:jc w:val="center"/>
              <w:ind w:right="4042"/>
              <w:spacing w:after="0"/>
              <w:rPr>
                <w:sz w:val="20"/>
                <w:szCs w:val="20"/>
                <w:color w:val="auto"/>
              </w:rPr>
            </w:pPr>
            <w:r>
              <w:rPr>
                <w:rFonts w:ascii="Arial" w:cs="Arial" w:eastAsia="Arial" w:hAnsi="Arial"/>
                <w:sz w:val="18"/>
                <w:szCs w:val="18"/>
                <w:b w:val="1"/>
                <w:bCs w:val="1"/>
                <w:color w:val="auto"/>
                <w:w w:val="91"/>
              </w:rPr>
              <w:t>Indiana</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380" w:type="dxa"/>
            <w:vAlign w:val="bottom"/>
          </w:tcPr>
          <w:p>
            <w:pPr>
              <w:jc w:val="center"/>
              <w:ind w:right="406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80" w:type="dxa"/>
            <w:vAlign w:val="bottom"/>
          </w:tcPr>
          <w:p>
            <w:pPr>
              <w:jc w:val="center"/>
              <w:ind w:right="4062"/>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80" w:type="dxa"/>
            <w:vAlign w:val="bottom"/>
          </w:tcPr>
          <w:p>
            <w:pPr>
              <w:jc w:val="center"/>
              <w:ind w:right="4062"/>
              <w:spacing w:after="0"/>
              <w:rPr>
                <w:sz w:val="20"/>
                <w:szCs w:val="20"/>
                <w:color w:val="auto"/>
              </w:rPr>
            </w:pPr>
            <w:r>
              <w:rPr>
                <w:rFonts w:ascii="Arial" w:cs="Arial" w:eastAsia="Arial" w:hAnsi="Arial"/>
                <w:sz w:val="18"/>
                <w:szCs w:val="18"/>
                <w:b w:val="1"/>
                <w:bCs w:val="1"/>
                <w:color w:val="auto"/>
                <w:w w:val="88"/>
              </w:rPr>
              <w:t>2208 Production Road,</w:t>
            </w:r>
          </w:p>
        </w:tc>
        <w:tc>
          <w:tcPr>
            <w:tcW w:w="1100" w:type="dxa"/>
            <w:vAlign w:val="bottom"/>
          </w:tcPr>
          <w:p>
            <w:pPr>
              <w:spacing w:after="0"/>
              <w:rPr>
                <w:sz w:val="24"/>
                <w:szCs w:val="24"/>
                <w:color w:val="auto"/>
              </w:rPr>
            </w:pPr>
          </w:p>
        </w:tc>
      </w:tr>
      <w:tr>
        <w:trPr>
          <w:trHeight w:val="231"/>
        </w:trPr>
        <w:tc>
          <w:tcPr>
            <w:tcW w:w="6380" w:type="dxa"/>
            <w:vAlign w:val="bottom"/>
          </w:tcPr>
          <w:p>
            <w:pPr>
              <w:jc w:val="center"/>
              <w:ind w:right="4062"/>
              <w:spacing w:after="0"/>
              <w:rPr>
                <w:sz w:val="20"/>
                <w:szCs w:val="20"/>
                <w:color w:val="auto"/>
              </w:rPr>
            </w:pPr>
            <w:r>
              <w:rPr>
                <w:rFonts w:ascii="Arial" w:cs="Arial" w:eastAsia="Arial" w:hAnsi="Arial"/>
                <w:sz w:val="18"/>
                <w:szCs w:val="18"/>
                <w:b w:val="1"/>
                <w:bCs w:val="1"/>
                <w:color w:val="auto"/>
                <w:w w:val="91"/>
              </w:rPr>
              <w:t>Fort Wayne, Indiana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46808</w:t>
            </w:r>
          </w:p>
        </w:tc>
      </w:tr>
      <w:tr>
        <w:trPr>
          <w:trHeight w:val="174"/>
        </w:trPr>
        <w:tc>
          <w:tcPr>
            <w:tcW w:w="6380" w:type="dxa"/>
            <w:vAlign w:val="bottom"/>
          </w:tcPr>
          <w:p>
            <w:pPr>
              <w:jc w:val="center"/>
              <w:ind w:right="40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80" w:type="dxa"/>
            <w:vAlign w:val="bottom"/>
          </w:tcPr>
          <w:p>
            <w:pPr>
              <w:jc w:val="center"/>
              <w:ind w:left="1482"/>
              <w:spacing w:after="0"/>
              <w:rPr>
                <w:sz w:val="20"/>
                <w:szCs w:val="20"/>
                <w:color w:val="auto"/>
              </w:rPr>
            </w:pPr>
            <w:r>
              <w:rPr>
                <w:rFonts w:ascii="Arial" w:cs="Arial" w:eastAsia="Arial" w:hAnsi="Arial"/>
                <w:sz w:val="18"/>
                <w:szCs w:val="18"/>
                <w:b w:val="1"/>
                <w:bCs w:val="1"/>
                <w:color w:val="auto"/>
                <w:w w:val="89"/>
              </w:rPr>
              <w:t>(877) 708-8372</w:t>
            </w:r>
          </w:p>
        </w:tc>
        <w:tc>
          <w:tcPr>
            <w:tcW w:w="1100" w:type="dxa"/>
            <w:vAlign w:val="bottom"/>
          </w:tcPr>
          <w:p>
            <w:pPr>
              <w:spacing w:after="0"/>
              <w:rPr>
                <w:sz w:val="24"/>
                <w:szCs w:val="24"/>
                <w:color w:val="auto"/>
              </w:rPr>
            </w:pPr>
          </w:p>
        </w:tc>
      </w:tr>
      <w:tr>
        <w:trPr>
          <w:trHeight w:val="174"/>
        </w:trPr>
        <w:tc>
          <w:tcPr>
            <w:tcW w:w="6380" w:type="dxa"/>
            <w:vAlign w:val="bottom"/>
          </w:tcPr>
          <w:p>
            <w:pPr>
              <w:jc w:val="center"/>
              <w:ind w:left="14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380" w:type="dxa"/>
            <w:vAlign w:val="bottom"/>
          </w:tcPr>
          <w:p>
            <w:pPr>
              <w:jc w:val="center"/>
              <w:ind w:left="1482"/>
              <w:spacing w:after="0"/>
              <w:rPr>
                <w:sz w:val="20"/>
                <w:szCs w:val="20"/>
                <w:color w:val="auto"/>
              </w:rPr>
            </w:pPr>
            <w:r>
              <w:rPr>
                <w:rFonts w:ascii="Arial" w:cs="Arial" w:eastAsia="Arial" w:hAnsi="Arial"/>
                <w:sz w:val="18"/>
                <w:szCs w:val="18"/>
                <w:b w:val="1"/>
                <w:bCs w:val="1"/>
                <w:color w:val="auto"/>
                <w:w w:val="84"/>
              </w:rPr>
              <w:t>None</w:t>
            </w:r>
          </w:p>
        </w:tc>
        <w:tc>
          <w:tcPr>
            <w:tcW w:w="1100" w:type="dxa"/>
            <w:vAlign w:val="bottom"/>
          </w:tcPr>
          <w:p>
            <w:pPr>
              <w:spacing w:after="0"/>
              <w:rPr>
                <w:sz w:val="24"/>
                <w:szCs w:val="24"/>
                <w:color w:val="auto"/>
              </w:rPr>
            </w:pPr>
          </w:p>
        </w:tc>
      </w:tr>
      <w:tr>
        <w:trPr>
          <w:trHeight w:val="174"/>
        </w:trPr>
        <w:tc>
          <w:tcPr>
            <w:tcW w:w="6380" w:type="dxa"/>
            <w:vAlign w:val="bottom"/>
          </w:tcPr>
          <w:p>
            <w:pPr>
              <w:jc w:val="center"/>
              <w:ind w:left="148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40,506,670 shares of its common stock outstanding as of November 30, 2011.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20" w:type="dxa"/>
            <w:vAlign w:val="bottom"/>
            <w:gridSpan w:val="6"/>
          </w:tcPr>
          <w:p>
            <w:pPr>
              <w:jc w:val="center"/>
              <w:ind w:right="2980"/>
              <w:spacing w:after="0"/>
              <w:rPr>
                <w:sz w:val="20"/>
                <w:szCs w:val="20"/>
                <w:color w:val="auto"/>
              </w:rPr>
            </w:pPr>
            <w:r>
              <w:rPr>
                <w:rFonts w:ascii="Arial" w:cs="Arial" w:eastAsia="Arial" w:hAnsi="Arial"/>
                <w:sz w:val="18"/>
                <w:szCs w:val="18"/>
                <w:b w:val="1"/>
                <w:bCs w:val="1"/>
                <w:color w:val="auto"/>
                <w:w w:val="96"/>
              </w:rPr>
              <w:t>TABLE OF CONTENTS</w:t>
            </w:r>
          </w:p>
        </w:tc>
        <w:tc>
          <w:tcPr>
            <w:tcW w:w="100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320" w:type="dxa"/>
            <w:vAlign w:val="bottom"/>
            <w:gridSpan w:val="8"/>
          </w:tcPr>
          <w:p>
            <w:pPr>
              <w:spacing w:after="0"/>
              <w:rPr>
                <w:sz w:val="24"/>
                <w:szCs w:val="24"/>
                <w:color w:val="auto"/>
              </w:rPr>
            </w:pPr>
          </w:p>
        </w:tc>
        <w:tc>
          <w:tcPr>
            <w:tcW w:w="10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Financial Statements (unaudited)</w:t>
              </w:r>
            </w:hyperlink>
          </w:p>
        </w:tc>
        <w:tc>
          <w:tcPr>
            <w:tcW w:w="722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October 29, 2011, and January 29, 2011</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8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and Thirty-Nine Weeks Ended October 29, 2011, and October 30, 2010</w:t>
              </w:r>
            </w:hyperlink>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80" w:type="dxa"/>
            <w:vAlign w:val="bottom"/>
          </w:tcPr>
          <w:p>
            <w:pPr>
              <w:spacing w:after="0"/>
              <w:rPr>
                <w:sz w:val="24"/>
                <w:szCs w:val="24"/>
                <w:color w:val="auto"/>
              </w:rPr>
            </w:pPr>
          </w:p>
        </w:tc>
        <w:tc>
          <w:tcPr>
            <w:tcW w:w="80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for the Thirty-Nine Weeks Ended October 29, 2011, and October 30, 2010</w:t>
              </w:r>
            </w:hyperlink>
          </w:p>
        </w:tc>
        <w:tc>
          <w:tcPr>
            <w:tcW w:w="148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8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2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3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10320" w:type="dxa"/>
            <w:vAlign w:val="bottom"/>
            <w:gridSpan w:val="1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r>
      <w:tr>
        <w:trPr>
          <w:trHeight w:val="304"/>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92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62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660" w:type="dxa"/>
            <w:vAlign w:val="bottom"/>
            <w:gridSpan w:val="11"/>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83"/>
        </w:trPr>
        <w:tc>
          <w:tcPr>
            <w:tcW w:w="7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80" w:type="dxa"/>
            <w:vAlign w:val="bottom"/>
            <w:gridSpan w:val="8"/>
          </w:tcPr>
          <w:p>
            <w:pPr>
              <w:jc w:val="right"/>
              <w:ind w:right="28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beginning on page 16 of the Company’s Annual Report on Form 10-K for the fiscal year ended January 29, 2011.</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10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October 29,</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111,099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160,467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and amortization of $39,724 and $32,808,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225,275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18,949</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322"/>
        </w:trPr>
        <w:tc>
          <w:tcPr>
            <w:tcW w:w="96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65,568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141,717</w:t>
            </w:r>
          </w:p>
        </w:tc>
        <w:tc>
          <w:tcPr>
            <w:tcW w:w="0" w:type="dxa"/>
            <w:vAlign w:val="bottom"/>
          </w:tcPr>
          <w:p>
            <w:pPr>
              <w:spacing w:after="0"/>
              <w:rPr>
                <w:sz w:val="1"/>
                <w:szCs w:val="1"/>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w w:val="94"/>
              </w:rPr>
              <w:t>Preferred stock; October 29, 2011, and January 29, 2011 – 5,000,000 shares authorized, no shares issued or outstanding</w:t>
            </w:r>
          </w:p>
        </w:tc>
        <w:tc>
          <w:tcPr>
            <w:tcW w:w="10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without par value; October 29, 2011, and January 29, 2011 – 200,000,000 shares authorized, 40,506,670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103,454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225,275</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8"/>
              </w:rPr>
              <w:t>October 29,</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October 30,</w:t>
            </w: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5"/>
              </w:rPr>
              <w:t>October 29,</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55,471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39,921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51,674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53,239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124,474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21,519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42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21,231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5,999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40,506,670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36,082,298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40,506,670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35,654,464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40,540,429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36,213,361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40,538,022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35,699,156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distributions per share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Diluted distributions per share</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information (Notes 1 and 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weighted-average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36,082,298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35,654,464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 forma diluted weighted-average shares outstanding</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36,082,298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35,699,156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net income (loss)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 forma diluted net income (loss) per share</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Thirty-Nine Weeks Ended</w:t>
            </w: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October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ind w:left="19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31,963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plant, and equipment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6,193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debt-issuance costs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15,799</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(6,604)</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r>
      <w:tr>
        <w:trPr>
          <w:trHeight w:val="216"/>
        </w:trPr>
        <w:tc>
          <w:tcPr>
            <w:tcW w:w="2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(17,153)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Accrued and other liabilities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w:t>
            </w: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(7,303)</w:t>
            </w:r>
          </w:p>
        </w:tc>
      </w:tr>
      <w:tr>
        <w:trPr>
          <w:trHeight w:val="223"/>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Restricted cash on deposit</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w:t>
            </w: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(58,900)</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105,673</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Payment of debt-issuance costs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net of costs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56,337</w:t>
            </w: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Repurchase of stock</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distributions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(132,782)</w:t>
            </w:r>
          </w:p>
        </w:tc>
      </w:tr>
      <w:tr>
        <w:trPr>
          <w:trHeight w:val="223"/>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(31,114)</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 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109"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producer, marketer, and retailer of stylish, highly functional accessories for women. The Company’s products include a wide offering of handbags, accessories, luggage, travel, eyewear, and paper and gift accessories. The Company generates net revenues by selling products through two reportable segments: Indirect and Direct. The Indirect business consists of sales of Vera Bradley products to approximately 3,400 independent retailers, substantially all of which are located in the United States, as well as select national retailers and third-party e-commerce sites. The Direct business consists of sales of Vera Bradley products through the Company’s full-price, outlet, and Japanese pop-up stores, its websites, verabradley.com and verabradley.co.jp, and its annual outlet sale in Fort Wayne, Indiana. As of October 29, 2011, the Company operated 47 full-price stores and eight outlet stores.</w:t>
      </w:r>
    </w:p>
    <w:p>
      <w:pPr>
        <w:spacing w:after="0" w:line="147"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29, 2011, filed with the SEC.</w:t>
      </w:r>
    </w:p>
    <w:p>
      <w:pPr>
        <w:spacing w:after="0" w:line="1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October 29, 2011,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October 29, 2011, and October 30, 2010,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 Forma Income Statement Information</w:t>
      </w:r>
    </w:p>
    <w:p>
      <w:pPr>
        <w:spacing w:after="0" w:line="96" w:lineRule="exact"/>
        <w:rPr>
          <w:rFonts w:ascii="Arial" w:cs="Arial" w:eastAsia="Arial" w:hAnsi="Arial"/>
          <w:sz w:val="18"/>
          <w:szCs w:val="18"/>
          <w:b w:val="1"/>
          <w:bCs w:val="1"/>
          <w:color w:val="auto"/>
        </w:rPr>
      </w:pPr>
    </w:p>
    <w:p>
      <w:pPr>
        <w:ind w:left="460" w:right="4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Prior to the Reorganization, the Company was taxed as an “S” Corporation for purposes of federal and state income taxes. Accordingly, each of the Company’s shareholders was required to include his or her portion of the Company’s taxable income or loss on his or her federal and state income tax returns. As part of the Reorganization, the Company’s “S” Corporation status automatically terminated and the Company became subject to increased taxes.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right="860"/>
        <w:spacing w:after="0" w:line="332" w:lineRule="auto"/>
        <w:rPr>
          <w:sz w:val="20"/>
          <w:szCs w:val="20"/>
          <w:color w:val="auto"/>
        </w:rPr>
      </w:pPr>
      <w:r>
        <w:rPr>
          <w:rFonts w:ascii="Arial" w:cs="Arial" w:eastAsia="Arial" w:hAnsi="Arial"/>
          <w:sz w:val="16"/>
          <w:szCs w:val="16"/>
          <w:color w:val="auto"/>
        </w:rPr>
        <w:t>The unaudited pro forma income statement information gives effect to an adjustment for income tax expense as if the Company had been a “C” Corporation as of the beginning of each period presented. See Note 6 for additional information regarding pro forma income tax expense.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This guidance eliminates the option to present the components of other comprehensive income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As this guidance only amends the presentation of the components of comprehensive income, the adoption will not have an impact on the Company’s consolidated financial position, results of operations, or cash flows.</w:t>
      </w:r>
    </w:p>
    <w:p>
      <w:pPr>
        <w:spacing w:after="0" w:line="118"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In May 2011, the FASB issued ASU 2011-4, </w:t>
      </w:r>
      <w:r>
        <w:rPr>
          <w:rFonts w:ascii="Arial" w:cs="Arial" w:eastAsia="Arial" w:hAnsi="Arial"/>
          <w:sz w:val="16"/>
          <w:szCs w:val="16"/>
          <w:i w:val="1"/>
          <w:iCs w:val="1"/>
          <w:color w:val="auto"/>
        </w:rPr>
        <w:t>Fair Value Measurement—Amendments to Achieve Common Fair Value Measurement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in U.S. GAAP and IFRS</w:t>
      </w:r>
      <w:r>
        <w:rPr>
          <w:rFonts w:ascii="Arial" w:cs="Arial" w:eastAsia="Arial" w:hAnsi="Arial"/>
          <w:sz w:val="16"/>
          <w:szCs w:val="16"/>
          <w:color w:val="auto"/>
        </w:rPr>
        <w:t>. The guidance requires additional disclosures, including disclosures related to the measurement of level 3 assets.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is effective for interim and annual periods beginning after December 15, 2011 and is applied prospectively. The Company is currently evaluating this guidance, but does not expect its adoption will have a material effect on its consolidated financial statements.</w:t>
      </w:r>
    </w:p>
    <w:p>
      <w:pPr>
        <w:spacing w:after="0" w:line="22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Net income per share is computed under the provisions of ASC 260, Earnings Per Share. Basic net income per share is computed based on the weighted-average number of common shares outstanding during the period. Diluted net income per share is computed based on the weighted-average number of common shares plus the effect of dilutive potential common shares outstanding during the period using the treasury stock method. Dilutive potential common shares represent outstanding restricted stock units. The components of basic and diluted net income per share were as follows ($ in thousands, except per share amounts):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5"/>
              </w:rPr>
              <w:t>October 29,</w:t>
            </w: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October 30,</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8"/>
              </w:rPr>
              <w:t>October 29,</w:t>
            </w: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12,962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40,506,670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36,082,298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40,506,670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35,654,464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131,063</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31,352</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(diluted)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40,540,429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36,213,361</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40,538,022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35,699,156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carrying amounts reflected on the consolidated balance sheets for cash and cash equivalents, receivables, prepaid expenses and other current assets, and payables as of October 29, 2011, and January 29, 2011, approximated their fair values. The carrying value of our bank borrowings approximates fair value since it bears interest at variable rates. See Note 5—Long-Term Debt to Notes to the Consolidated Financial Statements for further information regarding the Company’s debt.</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October 29,</w:t>
            </w:r>
          </w:p>
        </w:tc>
        <w:tc>
          <w:tcPr>
            <w:tcW w:w="1360" w:type="dxa"/>
            <w:vAlign w:val="bottom"/>
            <w:gridSpan w:val="4"/>
          </w:tcPr>
          <w:p>
            <w:pPr>
              <w:ind w:left="560"/>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96,262</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86,193</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111,099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96,717</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October 29, 2011, and January 29, 2011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29,</w:t>
            </w:r>
          </w:p>
        </w:tc>
        <w:tc>
          <w:tcPr>
            <w:tcW w:w="1360" w:type="dxa"/>
            <w:vAlign w:val="bottom"/>
            <w:gridSpan w:val="4"/>
          </w:tcPr>
          <w:p>
            <w:pPr>
              <w:ind w:left="560"/>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47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Amended and restated credit agreement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65,450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66,750</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Vendor-financed debt</w:t>
            </w: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65,656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67,017</w:t>
            </w:r>
          </w:p>
        </w:tc>
        <w:tc>
          <w:tcPr>
            <w:tcW w:w="100" w:type="dxa"/>
            <w:vAlign w:val="bottom"/>
            <w:shd w:val="clear" w:color="auto" w:fill="CCEEFF"/>
          </w:tcPr>
          <w:p>
            <w:pPr>
              <w:spacing w:after="0"/>
              <w:rPr>
                <w:sz w:val="18"/>
                <w:szCs w:val="18"/>
                <w:color w:val="auto"/>
              </w:rPr>
            </w:pPr>
          </w:p>
        </w:tc>
      </w:tr>
      <w:tr>
        <w:trPr>
          <w:trHeight w:val="331"/>
        </w:trPr>
        <w:tc>
          <w:tcPr>
            <w:tcW w:w="47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r>
      <w:tr>
        <w:trPr>
          <w:trHeight w:val="216"/>
        </w:trPr>
        <w:tc>
          <w:tcPr>
            <w:tcW w:w="47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65,568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66,934</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459" w:right="25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31"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At October 29, 2011, the interest rate on outstanding borrowings under the Company’s $125 million amended and restated credit agreement was 1.3%, and the Company had borrowing availability of $59.5 million under the agreement.</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Prior to October 3, 2010, Vera Bradley Designs, Inc. was taxed as an “S” Corporation for federal income tax purposes under Section 1362 of the Internal Revenue Code, and therefore was not subject to federal and state income taxes (subject to exception in a limited number of state and local jurisdictions that do not recognize the “S” Corporation status). On October 3, 2010, as part of the Reorganization, the Company’s “S” Corporation status automatically terminated and the Company became subject to corporate-level federal and state income taxes at prevailing corporate rates.</w:t>
      </w:r>
    </w:p>
    <w:p>
      <w:pPr>
        <w:spacing w:after="0" w:line="112" w:lineRule="exact"/>
        <w:rPr>
          <w:rFonts w:ascii="Arial" w:cs="Arial" w:eastAsia="Arial" w:hAnsi="Arial"/>
          <w:sz w:val="18"/>
          <w:szCs w:val="18"/>
          <w:b w:val="1"/>
          <w:bCs w:val="1"/>
          <w:color w:val="auto"/>
        </w:rPr>
      </w:pPr>
    </w:p>
    <w:p>
      <w:pPr>
        <w:ind w:left="460" w:right="1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85" w:lineRule="exact"/>
        <w:rPr>
          <w:rFonts w:ascii="Arial" w:cs="Arial" w:eastAsia="Arial" w:hAnsi="Arial"/>
          <w:sz w:val="18"/>
          <w:szCs w:val="18"/>
          <w:b w:val="1"/>
          <w:bCs w:val="1"/>
          <w:color w:val="auto"/>
        </w:rPr>
      </w:pPr>
    </w:p>
    <w:p>
      <w:pPr>
        <w:ind w:left="460" w:right="3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thirteen weeks ended October 29, 2011, was 38.9%. The Company’s effective tax rate for the thirteen weeks ended October 29, 2011, was negatively impacted by the net operating loss incurred by the Company’s recently formed Japanese subsidiary, for which no tax benefit was recorded. The valuation allowance recorded against the deferred tax asset arising from the net operating loss of the Company’s Japanese subsidiary increased the effective tax rate by 1.1% for the thirteen weeks ended October 29, 2011.</w:t>
      </w:r>
    </w:p>
    <w:p>
      <w:pPr>
        <w:spacing w:after="0" w:line="112"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thirty-nine weeks ended October 29, 2011, was 39.6%. The Company’s effective tax rate for the thirty-nine weeks ended October 29, 2011, was negatively impacted by the non-deductibility of expenses related to the April 2011 secondary offering and by the net operating loss incurred by the Company’s recently formed Japanese subsidiary, for which no tax benefit was recorded. The non-deductibility of the secondary offering expenses increased the effective tax rate by approximately 0.3% for the thirty-nine weeks ended October 29, 2011. The secondary offering expenses were recorded as a discrete event in the effective tax rate in the thirteen weeks ended April 30, 2011. The valuation allowance recorded against the deferred tax asset arising from the net operating loss of the Company’s Japanese subsidiary increased the effective tax rate by 1.3% for the thirty-nine weeks ended October 29, 2011.</w:t>
      </w:r>
    </w:p>
    <w:p>
      <w:pPr>
        <w:spacing w:after="0" w:line="147"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a reconciliation of differences from the U.S. federal statutory rate of 35% on an actual and a pro-forma basis for the thirteen and thirty-nine weeks ended October 30,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7"/>
              </w:rPr>
              <w:t>Thirteen Weeks Ended</w:t>
            </w:r>
          </w:p>
        </w:tc>
        <w:tc>
          <w:tcPr>
            <w:tcW w:w="17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Thirty-Nine Weeks Ended</w:t>
            </w:r>
          </w:p>
        </w:tc>
        <w:tc>
          <w:tcPr>
            <w:tcW w:w="0" w:type="dxa"/>
            <w:vAlign w:val="bottom"/>
          </w:tcPr>
          <w:p>
            <w:pPr>
              <w:spacing w:after="0"/>
              <w:rPr>
                <w:sz w:val="1"/>
                <w:szCs w:val="1"/>
                <w:color w:val="auto"/>
              </w:rPr>
            </w:pPr>
          </w:p>
        </w:tc>
      </w:tr>
      <w:tr>
        <w:trPr>
          <w:trHeight w:val="161"/>
        </w:trPr>
        <w:tc>
          <w:tcPr>
            <w:tcW w:w="65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166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October 30, 2010</w:t>
            </w:r>
          </w:p>
        </w:tc>
        <w:tc>
          <w:tcPr>
            <w:tcW w:w="500" w:type="dxa"/>
            <w:vAlign w:val="bottom"/>
          </w:tcPr>
          <w:p>
            <w:pPr>
              <w:spacing w:after="0"/>
              <w:rPr>
                <w:sz w:val="14"/>
                <w:szCs w:val="14"/>
                <w:color w:val="auto"/>
              </w:rPr>
            </w:pPr>
          </w:p>
        </w:tc>
        <w:tc>
          <w:tcPr>
            <w:tcW w:w="166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October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7"/>
                <w:szCs w:val="17"/>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 Corporation tax (benefit) expense</w:t>
            </w: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Federal taxes at 35% statutory rate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$(4,523)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(271)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$(4,523)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 income taxes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Nondeductible stock-based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1,686</w:t>
            </w:r>
          </w:p>
        </w:tc>
        <w:tc>
          <w:tcPr>
            <w:tcW w:w="5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Impact of change in tax status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 Corporation tax (benefit) expense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 Corporation tax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income tax (benefit) expense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(6,775)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(6,418)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For the thirteen weeks ended October 30, 2010, the Company recorded an income tax benefit of $6.8 million. The benefit was comprised of (1) the one-time deferred tax benefit of $2.8 million recognized upon the “S” Corporation termination and (2) a benefit of $4.1 million related to the activity for the period in which the Company was a “C” Corporation (October 3, 2010, through October 30, 2010) at an effective tax rate of 41.3%, offset in part by $0.1 million of state taxes related to taxing jurisdictions that did not recognize the Company’s previous “S” Corporation status. Included in this benefit is tax expense of $1.2 million related to permanently nondeductible stock-based compensation expense associated with restricted-stock awards that vested during the thirteen weeks ended October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comprehensive income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Thirteen Weeks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tcBorders>
              <w:top w:val="single" w:sz="8" w:color="auto"/>
            </w:tcBorders>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October 29,</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30,</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5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37,819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13,009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37,940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14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October 29, 2011, the Company granted a total of 841 restricted stock units to certain employees under the 2010 Equity and Incentive Plan. During the thirty-nine weeks ended October 29, 2011, the Company granted a total of 110,943 restricted stock units with an aggregate fair value of $4.6 million to certain employees and non-employee directors under the 2010 Equity and Incentive Plan. These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 The Company determined the fair value of the awards based on the closing price of the Company’s common stock on the grant date.</w:t>
      </w:r>
    </w:p>
    <w:p>
      <w:pPr>
        <w:spacing w:after="0" w:line="12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a summary of restricted stock unit activity for the period ended October 29,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5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unit)</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29, 2011</w:t>
            </w:r>
          </w:p>
        </w:tc>
        <w:tc>
          <w:tcPr>
            <w:tcW w:w="1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110,943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(10,170)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October 29, 2011</w:t>
            </w:r>
          </w:p>
        </w:tc>
        <w:tc>
          <w:tcPr>
            <w:tcW w:w="16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154,998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jc w:val="both"/>
        <w:ind w:left="460" w:right="5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 sold certain life insurance policies on the lives of its founders, who are also directors and officers of the Company, to the insureds at the fair market value of $0.7 million. The cash surrender value of the policies was $0.6 million, resulting in a $0.1 million gain. The cash surrender value was included in other assets prior to the sale and the gain on the sale was recorded in other income. Other life insurance policies not purchased by the insureds were terminated.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10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Indirect segment represents activity driven by revenues generated through the distribution of Company-branded products to approximately 3,400 independent retailers, substantially all of which are located in the United States. The Direct segment includes the Company’s full-price, outlet, and Japanese pop-up stores, e-commerce activity driven by the Company’s websites, and the annual outlet sale. Revenues generated through this segment are driven by the sale of Company-branded products from Vera Bradley to end customers.</w:t>
      </w:r>
    </w:p>
    <w:p>
      <w:pPr>
        <w:spacing w:after="0" w:line="112"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IT, and various other corporate-level-activity-related expenses. All intercompany-related activities are eliminated in consolidation and are excluded from the segment reporting.</w:t>
      </w:r>
    </w:p>
    <w:p>
      <w:pPr>
        <w:spacing w:after="0" w:line="140"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chief operating decision maker evaluates segment operating results based on several indicators. The primary or key performance indicators for each segment are net revenues and operating income. The table below represents key financial information for each of the Company’s reportable segments: Indirect and Direct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Thirteen Weeks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30,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Indirect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69,123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59,754</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182,290</w:t>
            </w:r>
          </w:p>
        </w:tc>
        <w:tc>
          <w:tcPr>
            <w:tcW w:w="2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52,026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144,038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121,149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91,595</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326,328</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Indirect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26,690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23,624</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72,478</w:t>
            </w:r>
          </w:p>
        </w:tc>
        <w:tc>
          <w:tcPr>
            <w:tcW w:w="2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32,592</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111,373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32,592</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111,373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(18,661)</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(32,784)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(47,868)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(69,083)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outside of the United States were insignificant.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thirty-nine weeks ended October 29, 2011, and October 30, 2010. The following discussion should be read in conjunction with our Annual Report on Form 10-K for the fiscal year ended January 29, 2011,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highly functional accessories for women. Our products include a wide offering of handbags, accessories, luggage, travel, eyewear, and paper and gifts. Over our 29-year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generate revenues by selling products through two reportable segments: Indirect and Direct. As of October 29, 2011, our Indirect business consisted of sales of Vera Bradley products to approximately 3,400 independent retailers, substantially all of which are located in the United States, and to select national retailers and independent e-commerce sites. As of October 29, 2011, our Direct business consisted of sales of Vera Bradley products through our full-price, outlet, and Japanese pop-up stores, our websites, verabradley.com and verabradley.co.jp, and our annual outlet sale in Fort Wayne, Indiana. In the United States we operated 47 full-price and eight outlet stores as of October 29, 2011, compared to 34 full-price stores and four outlet stores as of October 30, 2010.</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thirteen weeks ended October 29, 2011, we continued to experience strong demand for our brand across all of our sales channels, as reflected in our net revenue growth of 32.3%. In our Indirect segment, net revenues increased 15.7%, driven primarily by the strength of product offerings, improved productivity through our retail partners, and the sale of certain retired inventory. In our Direct segment, net revenues increased 63.4%, including an increase of $9.3 million in revenues related to the opening of new stores, a $9.9 million, or 55.1%, increase in e-commerce revenues, and a comparable-store sales increase of 7.4%. Additionally, we achieved operating income of $21.5 million for the thirteen weeks ended October 29, 2011, compared to an operating loss of $0.2 million in the thirteen weeks ended October 30, 2010. Operating income for the thirteen weeks ended October 30, 2010, included $15.7 million of stock-based compensation expense associated with vesting of restricted-stock awards upon our initial public offering.</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thirty-nine weeks ended October 29, 2011, we remained focused on executing our growth strategies, which include growing in underpenetrated markets and expanding our store base and product offerings. In doing so, we opened 12 full-price stores and four outlet stores. We also introduced our brand in Japan through a combination of pop-up stores and the launch of a Japanese-language website. We believe the combination of our expanding product offerings and continued growth in underpenetrated markets will lead to meaningful growth opportunities throughout the remainder of fiscal 2012.</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Although we believe that our strategies will continue to offer significant opportunities, they also present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that our focus on brand identity, customer loyalty, a distinctive shopping experience, product development expertise, and company culture will contribute positively to our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revenues represent revenues from the sale of our merchandise and from distribution and shipping and handling fees, less returns and discounts. Revenues for the Indirect segment represent revenues from sales to our independent retailers, select national retailers, and independent e-commerce sites. Revenues for the Direct segment represent revenues from sales through our full-price, outlet, and Japanese pop-up stores, our websites, and our annual outlet sale.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and fluctuations in pricing structures.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SG&amp;A expenses fall into three categories: (1) selling; (2) advertising, marketing, and product development; and (3)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 as the associated increase in revenues. Certain prior-year amounts have been reclassified to conform to the current-year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Operating income equals gross profit less SG&amp;A expenses and plus other income. Operating income excludes interest income, interest expense, and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(loss), which is the annual income (loss) from operations before income tax, excluding unusual or infrequently occurring (or discrete)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October 30,</w:t>
            </w:r>
          </w:p>
        </w:tc>
        <w:tc>
          <w:tcPr>
            <w:tcW w:w="660" w:type="dxa"/>
            <w:vAlign w:val="bottom"/>
          </w:tcPr>
          <w:p>
            <w:pPr>
              <w:spacing w:after="0"/>
              <w:rPr>
                <w:sz w:val="11"/>
                <w:szCs w:val="11"/>
                <w:color w:val="auto"/>
              </w:rPr>
            </w:pPr>
          </w:p>
        </w:tc>
        <w:tc>
          <w:tcPr>
            <w:tcW w:w="12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October 30,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7"/>
              </w:rPr>
              <w:t>(unaudited)</w:t>
            </w:r>
          </w:p>
        </w:tc>
        <w:tc>
          <w:tcPr>
            <w:tcW w:w="66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7"/>
              </w:rPr>
              <w:t>(unaudited)</w:t>
            </w:r>
          </w:p>
        </w:tc>
        <w:tc>
          <w:tcPr>
            <w:tcW w:w="6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revenues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121,149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91,595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326,328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256,672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55,471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39,921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144,578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109,362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65,678</w:t>
            </w: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51,674</w:t>
            </w: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181,750</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147,310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53,239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124,474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63,505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8,269</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24,753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37,819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31,963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vMerge w:val="restart"/>
          </w:tcPr>
          <w:p>
            <w:pPr>
              <w:jc w:val="right"/>
              <w:ind w:right="23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7"/>
              </w:rPr>
              <w:t>Thirteen Weeks Ended</w:t>
            </w: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624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29,</w:t>
            </w:r>
          </w:p>
        </w:tc>
        <w:tc>
          <w:tcPr>
            <w:tcW w:w="4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October 30,</w:t>
            </w:r>
          </w:p>
        </w:tc>
        <w:tc>
          <w:tcPr>
            <w:tcW w:w="48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October 29,</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48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48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5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59,754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$182,290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$161,286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31,841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144,038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121,149</w:t>
            </w: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91,595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326,328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256,672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October 29,</w:t>
            </w: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October 30,</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October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8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Indirect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(1)</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111,235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72,863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82"/>
              </w:rPr>
              <w:t>111,235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only our full-price and outlet stores.</w:t>
      </w:r>
    </w:p>
    <w:p>
      <w:pPr>
        <w:spacing w:after="0" w:line="15" w:lineRule="exact"/>
        <w:rPr>
          <w:rFonts w:ascii="Arial" w:cs="Arial" w:eastAsia="Arial" w:hAnsi="Arial"/>
          <w:sz w:val="18"/>
          <w:szCs w:val="18"/>
          <w:color w:val="auto"/>
        </w:rPr>
      </w:pPr>
    </w:p>
    <w:p>
      <w:pPr>
        <w:ind w:left="460" w:right="100" w:hanging="452"/>
        <w:spacing w:after="0" w:line="30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240"/>
        <w:spacing w:after="0" w:line="347" w:lineRule="auto"/>
        <w:rPr>
          <w:sz w:val="20"/>
          <w:szCs w:val="20"/>
          <w:color w:val="auto"/>
        </w:rPr>
      </w:pPr>
      <w:r>
        <w:rPr>
          <w:rFonts w:ascii="Arial" w:cs="Arial" w:eastAsia="Arial" w:hAnsi="Arial"/>
          <w:sz w:val="18"/>
          <w:szCs w:val="18"/>
          <w:b w:val="1"/>
          <w:bCs w:val="1"/>
          <w:color w:val="auto"/>
        </w:rPr>
        <w:t xml:space="preserve">Thirteen Weeks Ended October 29, 2011, Compared to Thirteen Weeks Ended October 30, 2010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thirteen weeks ended October 29, 2011, net revenues increased $29.5 million, or 32.3%, to $121.1 million, from $91.6 million in the comparable prior-year period.</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October 29, 2011, net revenues in the Indirect segment increased $9.3 million, or 15.7%, to $69.1 million, from $59.8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due to increased sales volume to our Indirect retailers, driven by the strength of product offerings, improved productivity through our retail partners, and the sale of certain retired inventory.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October 29, 2011, net revenues in the Direct segment increased $20.2 million, or 63.4%, to $52.0 million, from $31.8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comparable prior-year period. This growth resulted from a $9.3 million increase in revenues related to the opening of new stores, a $9.9 million increase in e-commerce revenues due primarily to greater traffic resulting from marketing initiatives, and a comparable-store sales increase of $1.0 million, or 7.4%. The aggregate number of our full-price and outlet stores grew from 38 at October 30, 2010, to 55 at October 29,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thirteen weeks ended October 29, 2011, gross profit increased $14.0 million, or 27.1%, to $65.7 million, from $51.7 million in the comparable prior-year period. As a percentage of net revenues, gross profit decreased to 54.2% for the thirteen weeks ended October 29, 2011, from 56.4% in the comparable prior-year period. The decrease in gross margin was due primarily to ongoing efforts to better manage inventory growth to more closely match sales growth. This included lower inventory receipts during the fiscal quarter resulting in supply chain cost absorption not fully aligned with lower inventory levels. In addition, the Company sold higher levels of certain retired inventory. These efforts closely aligned inventory growth with sales growth in the thirteen weeks ended October 29, 2011, which is sooner than we had planned.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thirteen weeks ended October 29, 2011, SG&amp;A expenses decreased $7.9 million, or 14.8%, to $45.3 million, from $53.2 million in the comparable prior-year period. As a percentage of net revenues, SG&amp;A expenses were 37.5% and 58.1% for the fiscal quarters ended October 29, 2011, and October 30, 2010, respectively.</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thirteen weeks ended October 29, 2011, selling expenses increased $5.9 million, or 29.6%, to $26.1 million, from $20.2 million in the comparable prior-year period. As a percentage of net revenues, selling expenses were 21.6% and 22.0% for the fiscal quarters ended October 29, 2011, and October 30, 2010, respectively. The decrease as a percentage of net revenues in selling expenses was due primarily to leveraged fixed costs offset by costs associated with our market entry into Japan.</w:t>
      </w:r>
    </w:p>
    <w:p>
      <w:pPr>
        <w:spacing w:after="0" w:line="143"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For the thirteen weeks ended October 29, 2011, advertising, marketing, and product development expenses increased $0.7 million, or 9.9%, to $7.6 million, from $6.9 million in the comparable prior-year period. As a percentage of net revenues, advertising, marketing, and product development expenses were 6.3% and</w:t>
      </w:r>
    </w:p>
    <w:p>
      <w:pPr>
        <w:ind w:right="100"/>
        <w:spacing w:after="0" w:line="255" w:lineRule="auto"/>
        <w:rPr>
          <w:sz w:val="20"/>
          <w:szCs w:val="20"/>
          <w:color w:val="auto"/>
        </w:rPr>
      </w:pPr>
      <w:r>
        <w:rPr>
          <w:rFonts w:ascii="Arial" w:cs="Arial" w:eastAsia="Arial" w:hAnsi="Arial"/>
          <w:sz w:val="18"/>
          <w:szCs w:val="18"/>
          <w:color w:val="auto"/>
        </w:rPr>
        <w:t>7.6% for the fiscal quarters ended October 29, 2011, and October 30, 2010, respectively. The decrease as a percentage of net revenues in these expenses resulted primarily from a decrease in the number of direct mailers we distributed on behalf of our independent retailers, offset in part by an increase in marketing promotional costs.</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For the thirteen weeks ended October 29, 2011, administrative expenses decreased $14.5 million, or 55.6%, to $11.6 million, from $26.1 million in the comparable prior-year period. As a percentage of net revenues, administrative expenses were 9.6% and 28.5% for the fiscal quarters ended October 29, 2011, and October 30, 2010, respectively. The decrease as a percentage of net revenues, in administrative expenses was due primarily to the $15.7 million of stock-based compensation expense associated with vesting of restricted-stock awards upon our initial public offering in the prior-year. In addition, administrative expenses declined as a percentage of net revenues due to a decline in professional fees related in part to our transition from a private to a public company in the prior-year.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thirteen weeks ended October 29, 2011, other income decreased $0.2 million, or 12.2%, to $1.2 million, from $1.4 million in the comparable prior-year period, due to a decline in reimbursement of our advertising expenses by our independent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the thirteen weeks ended October 29, 2011, operating income increased $21.7 million, to $21.5 million, from an operating loss of $0.2 million in the comparable prior-year period. As a percentage of net revenues, operating income was 17.8% and (0.2)% for the thirteen weeks ended October 29, 2011, and October 30, 2010, respectively. This increase as a percentage of net revenues was primarily due to the previously discussed $15.7 million of stock-based compensation expense associated with vesting of restricted-stock awards upon our initial public offering in the prior-year period, and sales-driven leverage of SG&amp;A in the current period, offset in part in the current period by the decline in gross margin and the costs associated with our market entry into Japan, as previously discussed ($ in thousands):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Thirteen Weeks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30,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Indirect</w:t>
            </w:r>
          </w:p>
        </w:tc>
        <w:tc>
          <w:tcPr>
            <w:tcW w:w="2800" w:type="dxa"/>
            <w:vAlign w:val="bottom"/>
            <w:gridSpan w:val="2"/>
          </w:tcPr>
          <w:p>
            <w:pPr>
              <w:ind w:left="26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26,690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23,624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3,066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13,490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ind w:left="420"/>
              <w:spacing w:after="0"/>
              <w:rPr>
                <w:sz w:val="20"/>
                <w:szCs w:val="20"/>
                <w:color w:val="auto"/>
              </w:rPr>
            </w:pPr>
            <w:r>
              <w:rPr>
                <w:rFonts w:ascii="Arial" w:cs="Arial" w:eastAsia="Arial" w:hAnsi="Arial"/>
                <w:sz w:val="18"/>
                <w:szCs w:val="18"/>
                <w:color w:val="auto"/>
              </w:rPr>
              <w:t>Subtotal</w:t>
            </w: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40,180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32,592</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7,588</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unallocated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(18,661)</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(32,784)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14,123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21,519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21,711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80" w:type="dxa"/>
            <w:vAlign w:val="bottom"/>
            <w:vMerge w:val="restart"/>
          </w:tcPr>
          <w:p>
            <w:pPr>
              <w:jc w:val="right"/>
              <w:ind w:right="69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October 29, 2011, operating income in the Indirect segment increased $3.1 million, or 13.0%. This increase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an increase in revenue and sales-driven leverage of SG&amp;A, offset in part by a decline in gross margin as previously discussed.</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29, 2011, operating income in the Direct segment increased $4.5 million, or 50.4%, due to an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sales-driven leverage of SG&amp;A, offset in part by our market entry into Japan.</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29, 2011, unallocated expenses decreased $14.1 million, or 43.1%, primarily as a result of stock-based compensation expense associated with vesting of restricted-stock awards upon our initial public offering in the prior-year period, offset in part by higher corporate personnel and advertising and marketing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thirteen weeks ended October 29, 2011, net interest expense decreased $0.3 million, or 50.6%, to $0.3 million, from $0.6 million in the comparable prior-year period. The decrease of $0.3 million was due primarily to a write off in the same period of the prior-year of $0.2 million of unamortized debt-issuance costs in connection with the amendment and restatement of the credit agreement. The remaining $0.1 million was attributable to lower average borrowing rates in the thirteen weeks ended October 29,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effective tax rate for the thirteen weeks ended October 29, 2011, was 38.9%. The Company’s effective tax rate for the thirteen weeks ended October 29, 2011, was negatively impacted by the net operating loss incurred by the Company’s recently formed Japanese subsidiary, for which no tax benefit was recorded. The valuation allowance recorded against the deferred tax asset arising from the net operating loss of the Company’s Japanese subsidiary increased the effective tax rate by 1.1% for the thirteen weeks ended October 29, 2011.</w:t>
      </w:r>
    </w:p>
    <w:p>
      <w:pPr>
        <w:spacing w:after="0" w:line="218" w:lineRule="exact"/>
        <w:rPr>
          <w:sz w:val="20"/>
          <w:szCs w:val="20"/>
          <w:color w:val="auto"/>
        </w:rPr>
      </w:pPr>
    </w:p>
    <w:p>
      <w:pPr>
        <w:ind w:right="3760"/>
        <w:spacing w:after="0" w:line="347" w:lineRule="auto"/>
        <w:rPr>
          <w:sz w:val="20"/>
          <w:szCs w:val="20"/>
          <w:color w:val="auto"/>
        </w:rPr>
      </w:pPr>
      <w:r>
        <w:rPr>
          <w:rFonts w:ascii="Arial" w:cs="Arial" w:eastAsia="Arial" w:hAnsi="Arial"/>
          <w:sz w:val="18"/>
          <w:szCs w:val="18"/>
          <w:b w:val="1"/>
          <w:bCs w:val="1"/>
          <w:color w:val="auto"/>
        </w:rPr>
        <w:t xml:space="preserve">Thirty-Nine Weeks Ended October 29, 2011, Compared to Thirty-Nine Weeks Ended October 30, 2010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the thirty-nine weeks ended October 29, 2011, net revenues increased $69.7 million, or 27.1%, to $326.3 million, from $256.7 million in the comparable prior-year period.</w:t>
      </w:r>
    </w:p>
    <w:p>
      <w:pPr>
        <w:spacing w:after="0" w:line="132"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October 29, 2011, net revenues in the Indirect segment increased $21.0 million, or 13.0%, to $182.3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$161.3 million in the comparable prior-year period, due to increased sales volume to our Indirect retailers, driven by strong demand for our winter product assortment and strong sales of carryover patterns from prior releases.</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29, 2011, net revenues in the Direct segment increased $48.7 million, or 51.0%, to $144.0 million, from $95.4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growth resulted from a $25.2 million increase in revenues related to the opening of new stores, a $19.5 million increase in e-commerce revenues due primarily to greater traffic resulting from marketing initiatives, and a comparable-store sales increase of $4.1 million, or 12.0%, offset in part by a decrease of $0.3 million in outlet-sale revenues. The aggregate number of our full-price and outlet stores grew from 38 at October 30, 2010, to 55 at October 29,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thirty-nine weeks ended October 29, 2011, gross profit increased $34.5 million, or 23.4%, to $181.8 million, from $147.3 million in the comparable prior-year period. As a percentage of net revenues, gross profit decreased to 55.7% for the thirty-nine weeks ended October 29, 2011, from 57.4% in the comparable prior-year period. The decrease in gross margin was due primarily to higher input costs and to ongoing efforts to better manage inventory growth to more closely match sales growth. This included lower inventory receipts during the fiscal quarter resulting in supply chain cost absorption not fully aligned with lower inventory levels. In addition, the Company sold higher levels of certain retired inventory in the thirteen weeks ended October 29, 2011. These efforts closely aligned inventory growth with sales growth sooner than we had planned.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thirty-nine weeks ended October 29, 2011, SG&amp;A expenses decreased $1.4 million, or 1.1%, to $124.4 million, from $125.8 million in the comparable prior-year period. As a percentage of net revenues, SG&amp;A expenses were 38.1% and 49.0% for the fiscal quarters ended October 29, 2011, and October 30, 2010,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For the thirty-nine weeks ended October 29, 2011, selling expenses increased $18.1 million, or 33.4%, to $72.4 million, from $54.3 million in the comparable prior-year period. As a percentage of net revenues, selling expenses were 22.2% and 21.2% for the thirty- nine weeks ended October 29, 2011, and October 30, 2010, respectively. The increase as a percentage of net revenues in selling expenses was due primarily to costs associated with our market entry into Japan.</w:t>
      </w:r>
    </w:p>
    <w:p>
      <w:pPr>
        <w:spacing w:after="0" w:line="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thirty-nine weeks ended October 29, 2011, advertising, marketing, and product development expenses decreased $0.2 million, or 0.8%, to $21.2 million, from $21.4 million in the comparable prior-year period. As a percentage of net revenues, advertising, marketing, and product development expenses were 6.5% and 8.3% for the thirty-nine weeks ended October 29, 2011, and October 30, 2010, respectively. The decrease as a percentage of net revenues in these expenses resulted primarily from a decline in the number of direct mailers we distributed on behalf of our independent retailers, offset in part by increased marketing promotional costs.</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thirty-nine weeks ended October 29, 2011, administrative expenses decreased $19.3 million, or 38.5%, to $30.8 million, from $50.1 million in the comparable prior-year period. As a percentage of net revenues, administrative expenses were 9.5% and 19.5% for the thirty-nine weeks ended October 29, 2011, and October 30, 2010, respectively. The decrease as a percentage of net revenues in administrative expenses was due primarily to $15.8 million of stock-based compensation expense associated with the vesting of restricted-stock awards in connection with the IPO as well as $6.1 million of expense associated with bonuses paid to recipients of the restricted-stock awards to satisfy a portion of the tax obligation associated with these awards in the prior-year period. In addition, administrative expenses declined as a percentage of net revenues due to a decline in professional fees related in part to our transition from a private to a public company in the prior-year.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thirty-nine weeks ended October 29, 2011, other income increased $0.9 million, or 17.8%, to $6.2 million, from $5.3 million in the comparable prior-year period, due to increased reimbursement of our advertising expenses by our independent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For the thirty-nine weeks ended October 29, 2011, operating income increased $36.7 million, to $63.5 million, from $26.8 million in the comparable prior-year period. As a percentage of net revenues, operating income was 19.5% and 10.4% for the thirty-nine weeks ended October 29, 2011, and October 30, 2010, respectively. This increase as a percentage of net revenues was primarily due to the previously mentioned $15.8 million of stock-based compensation expense associated with the vesting of restricted-stock awards in connection with the IPO as well as $6.1 million of expense associated with bonuses paid to recipients of the restricted-stock awards to satisfy a portion of the tax obligation associated with these awards in the prior-year period and to sales-driven leverage of SG&amp;A in the current period, offset in part by the decline in gross margin and the costs associated with our market entry into Japan, as previously discussed ($ in thousands):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Thirty-Nine Weeks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October 30,</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Indirect</w:t>
            </w: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72,478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67,843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4,635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28,012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10,883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40"/>
              <w:spacing w:after="0"/>
              <w:rPr>
                <w:sz w:val="20"/>
                <w:szCs w:val="20"/>
                <w:color w:val="auto"/>
              </w:rPr>
            </w:pPr>
            <w:r>
              <w:rPr>
                <w:rFonts w:ascii="Arial" w:cs="Arial" w:eastAsia="Arial" w:hAnsi="Arial"/>
                <w:sz w:val="18"/>
                <w:szCs w:val="18"/>
                <w:color w:val="auto"/>
              </w:rPr>
              <w:t>Subtotal</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line="20" w:lineRule="exact"/>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111,373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95,855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15,518</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Corporate unallocated</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(47,868)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(69,083)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21,215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63,505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26,772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36,773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4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thirty-nine weeks ended October 29, 2011, operating income in the Indirect segment increased $4.6 million, or 6.8%. This increase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an increase in revenue and sales-driven leverage of SG&amp;A, offset in part by a decline in gross margin, as previously discussed.</w:t>
      </w:r>
    </w:p>
    <w:p>
      <w:pPr>
        <w:spacing w:after="0" w:line="8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i w:val="1"/>
          <w:iCs w:val="1"/>
          <w:color w:val="auto"/>
        </w:rPr>
        <w:t>Direct</w:t>
      </w:r>
      <w:r>
        <w:rPr>
          <w:rFonts w:ascii="Arial" w:cs="Arial" w:eastAsia="Arial" w:hAnsi="Arial"/>
          <w:sz w:val="15"/>
          <w:szCs w:val="15"/>
          <w:color w:val="auto"/>
        </w:rPr>
        <w:t>. For the thirty-nine weeks ended October 29, 2011, operating income in the Direct segment increased $10.9 million, or 38.9%, due to an increase in gross</w:t>
      </w:r>
      <w:r>
        <w:rPr>
          <w:rFonts w:ascii="Arial" w:cs="Arial" w:eastAsia="Arial" w:hAnsi="Arial"/>
          <w:sz w:val="15"/>
          <w:szCs w:val="15"/>
          <w:i w:val="1"/>
          <w:iCs w:val="1"/>
          <w:color w:val="auto"/>
        </w:rPr>
        <w:t xml:space="preserve"> </w:t>
      </w:r>
      <w:r>
        <w:rPr>
          <w:rFonts w:ascii="Arial" w:cs="Arial" w:eastAsia="Arial" w:hAnsi="Arial"/>
          <w:sz w:val="15"/>
          <w:szCs w:val="15"/>
          <w:color w:val="auto"/>
        </w:rPr>
        <w:t>profit, offset in part by increased selling expenses related to store operational costs and costs associated with our market entry into Japan, as previously discussed.</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October 29, 2011, unallocated expenses decreased $21.2 million, or 30.7%, primarily as a result of stock-based compensation expense and bonuses paid to recipients of restricted-stock awards in the prior-year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thirty-nine weeks ended October 29, 2011, net interest expense decreased $0.3 million, or 24.0%, to $0.9 million, from $1.2 million in the comparable prior-year period. The decrease of $0.3 million was due primarily to a write off in the same period of the prior-year of $0.2 million of unamortized debt-issuance costs in connection with the amendment and restatement of the credit agreement. The remaining $0.1 million was attributable to lower average borrowing rates in the thirty-nine weeks ended October 29,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effective tax rate for the thirty-nine weeks ended October 29, 2011, was 39.6%. The Company’s effective tax rate for the thirty-nine weeks ended October 29, 2011 was negatively impacted by the non-deductibility of expenses related to the April 2011 secondary offering and by the net operating loss incurred by the Company’s recently formed Japanese subsidiary, for which no tax benefit was recorded. The non-deductibility of the secondary offering expenses increased the effective tax rate by approximately 0.3% for the thirty-nine weeks ended October 29, 2011. The secondary offering expenses were recorded as a discrete event in the effective tax rate in the thirteen weeks ended April 30, 2011. The valuation allowance recorded against the deferred tax asset arising from the net operating loss of the Company’s Japanese subsidiary increased the effective tax rate by 1.3% for the thirty-nine weeks ended October 29,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 million amended and restated credit agreement.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future. Further, as a result of our conversion to a “C” Corporation, we no longer make tax distributions to shareholders, but we now are required to make quarterly income tax payments to various taxing authorities.</w:t>
      </w:r>
    </w:p>
    <w:p>
      <w:pPr>
        <w:spacing w:after="0" w:line="118"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including expansion of our Direct business, and debt payments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r>
      <w:tr>
        <w:trPr>
          <w:trHeight w:val="129"/>
        </w:trPr>
        <w:tc>
          <w:tcPr>
            <w:tcW w:w="46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5"/>
              </w:rPr>
              <w:t>October 29,</w:t>
            </w: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October 30,</w:t>
            </w:r>
          </w:p>
        </w:tc>
        <w:tc>
          <w:tcPr>
            <w:tcW w:w="120" w:type="dxa"/>
            <w:vAlign w:val="bottom"/>
          </w:tcPr>
          <w:p>
            <w:pPr>
              <w:spacing w:after="0"/>
              <w:rPr>
                <w:sz w:val="11"/>
                <w:szCs w:val="11"/>
                <w:color w:val="auto"/>
              </w:rPr>
            </w:pPr>
          </w:p>
        </w:tc>
      </w:tr>
      <w:tr>
        <w:trPr>
          <w:trHeight w:val="161"/>
        </w:trPr>
        <w:tc>
          <w:tcPr>
            <w:tcW w:w="4680" w:type="dxa"/>
            <w:vAlign w:val="bottom"/>
          </w:tcPr>
          <w:p>
            <w:pPr>
              <w:spacing w:after="0"/>
              <w:rPr>
                <w:sz w:val="14"/>
                <w:szCs w:val="14"/>
                <w:color w:val="auto"/>
              </w:rPr>
            </w:pPr>
          </w:p>
        </w:tc>
        <w:tc>
          <w:tcPr>
            <w:tcW w:w="248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6,869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$ 36,281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80" w:type="dxa"/>
            <w:vAlign w:val="bottom"/>
            <w:gridSpan w:val="3"/>
          </w:tcPr>
          <w:p>
            <w:pPr>
              <w:jc w:val="right"/>
              <w:ind w:right="340"/>
              <w:spacing w:after="0"/>
              <w:rPr>
                <w:sz w:val="20"/>
                <w:szCs w:val="20"/>
                <w:color w:val="auto"/>
              </w:rPr>
            </w:pPr>
            <w:r>
              <w:rPr>
                <w:rFonts w:ascii="Arial" w:cs="Arial" w:eastAsia="Arial" w:hAnsi="Arial"/>
                <w:sz w:val="18"/>
                <w:szCs w:val="18"/>
                <w:color w:val="auto"/>
              </w:rPr>
              <w:t>(11,316)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(5,803)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(1,285)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(31,114)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Operating activities consist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was $6.9 million and $36.3 million for the thirty-nine weeks ended October 29, 2011, and October 30, 2010, respectively. The $29.4 million decrease in cash provided by operating activities was due primarily to a decrease of $22.6 million of current liabilities from timing of payments, including $10.0 million of income tax payments, and to a $6.8 million change in accounts receivable. This overall decrease in cash provided by operating activities was partially offset by an increase in net income of $5.9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operational equipment, and information technology investments.</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used in investing activities was $11.3 million and $5.8 million for the thirty-nine weeks ended October 29, 2011, and October 30, 2010, respectively. The $5.5 million increase in capital expenditures was due primarily to increased investments in new stores, including the opening of 16 stores during the thirty-nine weeks ended October 29, 2011, compared to 11 stores during the thirty-nine weeks ended October 30, 2010, investments related to our market entry into Japan, and information technology investments.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Capital expenditures for fiscal 2012 are expected to be approximately $18.5 million, which includes approximately $4.5 million related to the distribution center expansion.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Financing activities consist primarily of borrowings and repayments under our credit agreement and, prior to our conversion to a “C” Corporation in October 2010, to fund tax distributions to our shareholders.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cash used in financing activities was $1.3 million for the thirty-nine weeks ended October 29, 2011, resulting primarily from $1.3 million of net payments under our amended and restated credit agreement.</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was $31.1 million in the thirty-nine weeks ended October 30, 2010, driven primarily by $132.8 million of “S” Corporation distributions (including the final “S” Corporation distribution of $106.0 million), offset in part by net IPO proceeds of $56.3 million and net borrowings of $46.8 million under the credit agreement or amended and restated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4, 2010, Vera Bradley Designs, Inc. entered into an amended and restated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October 29, 2011.</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October 29, 2011, the interest rate on outstanding borrowings under the credit agreement was 1.30%. The Company had borrowing availability of $59.5 million under the agreement as of October 29,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29, 2011.</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section beginning on page 42 of the Company’s Annual Report on Form 10-K for the fiscal year ended January 29, 2011. As discussed in Note 8 to the consolidated financial statements in this Quarterly Report, in March 2011, the Company granted restricted stock units with an aggregate fair value of $4.6 million to certain employees and non-employee directors. As a result of these awards, the Company’s accounting for stock-based compensation relating to equity awards granted subsequent to its initial public offering – that is, public-company equity and incentive grants – became a critical accounting policy. Previously, the Company’s accounting for stock-based compensation relating to equity awards granted prior to its initial public offering – that is, private-company equity and incentive grants – was a critical accounting policy. As of October 29, 2011, other than this change, there was no significant change to any of the critical accounting policies and estimates described in the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In June 2011, the Financial Accounting Standards Board (“FASB”) issued Accounting Standards Update (“ASU”) 2011-05, </w:t>
      </w:r>
      <w:r>
        <w:rPr>
          <w:rFonts w:ascii="Arial" w:cs="Arial" w:eastAsia="Arial" w:hAnsi="Arial"/>
          <w:sz w:val="15"/>
          <w:szCs w:val="15"/>
          <w:i w:val="1"/>
          <w:iCs w:val="1"/>
          <w:color w:val="auto"/>
        </w:rPr>
        <w:t>Comprehensive Income—</w:t>
      </w: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This guidance eliminates the option to present the components of other comprehensive income as part of the Statement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As this guidance only amends the presentation of the components of comprehensive income, the adoption will not have an impact on the Company’s consolidated financial position, results of operations, or cash flows.</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In May 2011, the FASB issued ASU 2011-4, </w:t>
      </w:r>
      <w:r>
        <w:rPr>
          <w:rFonts w:ascii="Arial" w:cs="Arial" w:eastAsia="Arial" w:hAnsi="Arial"/>
          <w:sz w:val="16"/>
          <w:szCs w:val="16"/>
          <w:i w:val="1"/>
          <w:iCs w:val="1"/>
          <w:color w:val="auto"/>
        </w:rPr>
        <w:t>Fair Value Measurement—Amendments to Achieve Common Fair Value Measurement and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in U.S. GAAP and IFRS</w:t>
      </w:r>
      <w:r>
        <w:rPr>
          <w:rFonts w:ascii="Arial" w:cs="Arial" w:eastAsia="Arial" w:hAnsi="Arial"/>
          <w:sz w:val="16"/>
          <w:szCs w:val="16"/>
          <w:color w:val="auto"/>
        </w:rPr>
        <w:t>. The guidance requires additional disclosures, including disclosures related to the measurement of level 3 assets. The guidance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interim and annual periods beginning after December 15, 2011 and is applied prospectively. The Company is currently evaluating this guidance, but does not expect its adoption will have a material effect on its consolidated financial statements.</w:t>
      </w:r>
    </w:p>
    <w:p>
      <w:pPr>
        <w:sectPr>
          <w:pgSz w:w="11900" w:h="16838" w:orient="portrait"/>
          <w:cols w:equalWidth="0" w:num="1">
            <w:col w:w="11400"/>
          </w:cols>
          <w:pgMar w:left="240" w:top="459" w:right="25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280"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October 29, 2011, there was no material change in the market risks described in “Quantitative and Qualitative Disclosures About Market Risks” on page 45 of the Company’s Annual Report on Form 10-K for the fiscal year ended January 29,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October 29, 2011.</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1A. RISK FACTORS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has been no material change to our risk factors as previously disclosed beginning on page 16 of our Annual Report on Form 10-K for the fiscal year ended January 29,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28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6. EXHIBITS</w:t>
            </w:r>
          </w:p>
        </w:tc>
      </w:tr>
      <w:tr>
        <w:trPr>
          <w:trHeight w:val="297"/>
        </w:trPr>
        <w:tc>
          <w:tcPr>
            <w:tcW w:w="74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Exhibits</w:t>
            </w:r>
          </w:p>
        </w:tc>
      </w:tr>
      <w:tr>
        <w:trPr>
          <w:trHeight w:val="340"/>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right="280" w:hanging="1012"/>
        <w:spacing w:after="0" w:line="25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the Vera Bradley, Inc.’s Quarterly Report on Form 10-Q for the quarter ended October 29, 2011 formatted in Extensible Business Reporting Language (XBRL): (i) Consolidated Statements of Operations and Comprehensive Income for the Thirteen and Thirty-Nine Weeks ended October 29, 2011 and October 30, 2010; (ii) Consolidated Balance Sheets at October 29, 2011 and January 29, 2011; (iii) Consolidated Statements of Cash Flows for the Thirty-Nine Weeks Ended October 29, 2011 and October 30, 2010, and (iv) related notes, tagged as blocks of text.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Vera Bradley, Inc.</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720" w:type="dxa"/>
            <w:vAlign w:val="bottom"/>
          </w:tcPr>
          <w:p>
            <w:pPr>
              <w:spacing w:after="0"/>
              <w:rPr>
                <w:sz w:val="20"/>
                <w:szCs w:val="20"/>
                <w:color w:val="auto"/>
              </w:rPr>
            </w:pPr>
            <w:r>
              <w:rPr>
                <w:rFonts w:ascii="Arial" w:cs="Arial" w:eastAsia="Arial" w:hAnsi="Arial"/>
                <w:sz w:val="18"/>
                <w:szCs w:val="18"/>
                <w:color w:val="auto"/>
              </w:rPr>
              <w:t>Date: December 13, 2011</w:t>
            </w:r>
          </w:p>
        </w:tc>
        <w:tc>
          <w:tcPr>
            <w:tcW w:w="224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3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7"/>
              </w:rPr>
              <w:t>Executive Vice President – Chief Financial and Administrative Officer</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365"/>
        </w:trPr>
        <w:tc>
          <w:tcPr>
            <w:tcW w:w="3720" w:type="dxa"/>
            <w:vAlign w:val="bottom"/>
          </w:tcPr>
          <w:p>
            <w:pPr>
              <w:spacing w:after="0"/>
              <w:rPr>
                <w:sz w:val="24"/>
                <w:szCs w:val="24"/>
                <w:color w:val="auto"/>
              </w:rPr>
            </w:pPr>
          </w:p>
        </w:tc>
        <w:tc>
          <w:tcPr>
            <w:tcW w:w="224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right="300" w:hanging="1012"/>
        <w:spacing w:after="0" w:line="25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materials from the Vera Bradley, Inc.’s Quarterly Report on Form 10-Q for the quarter ended October 29, 2011 formatted in Extensible Business Reporting Language (XBRL): (i) Consolidated Statements of Operations and Comprehensive Income for the Thirteen and Thirty-Nine weeks ended October 29, 2011 and October 30, 2010; (ii) Consolidated Balance Sheets at October 29, 2011 and January 29, 2011; (iii) Consolidated Statements of Cash Flows for the Thirty-Nine Weeks Ended October 29, 2011 and October 30, 2010, and (iv) related notes, tagged as blocks of text.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December 13,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C. Ray</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C. Ray</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302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December 13,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A. Blade</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Jeffrey A. Blade</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President—Chief Financial and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Administrative Officer</w:t>
            </w: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October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October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President—Chief Financial and Administrative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0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2019-12-11T06:38:50Z</dcterms:created>
  <dcterms:modified xsi:type="dcterms:W3CDTF">2019-12-11T06:38:50Z</dcterms:modified>
</cp:coreProperties>
</file>