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-10072026_091048.xml.htm"/>
      <w:bookmarkStart w:id="1" w:name="ksform410072026_091048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Brockman Ivan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12420 STONEBRIDGE ROAD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ROANOKE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IN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46783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Vera Bradley,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VRA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10/06/2026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23"/>
        <w:gridCol w:w="902"/>
        <w:gridCol w:w="771"/>
        <w:gridCol w:w="599"/>
        <w:gridCol w:w="350"/>
        <w:gridCol w:w="934"/>
        <w:gridCol w:w="459"/>
        <w:gridCol w:w="673"/>
        <w:gridCol w:w="1169"/>
        <w:gridCol w:w="1002"/>
        <w:gridCol w:w="923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2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6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2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Shares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10/06/2026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10,000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5.02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12,500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See note.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Shares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25,074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These shares are held for the account of the Ivan and Lori Brockman Trust, of which the reporting person and his spouse are co-trustees and beneficiaries. The reporting person disclaims beneficial ownership of the reported securities except to the extent of his pecuniary interest therein.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Alyson Bohren, attorney-in-fact for Ivan Brockman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10/06/2026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853943" TargetMode="External"/><Relationship Id="rId5" Type="http://schemas.openxmlformats.org/officeDocument/2006/relationships/hyperlink" Target="http://www.sec.gov/cgi-bin/browse-edgar?action=getcompany&amp;CIK=0001495320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613</Words>
  <Characters>3338</Characters>
  <CharactersWithSpaces>3881</CharactersWithSpaces>
  <Paragraphs>98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