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72026_080703.xml.htm"/>
      <w:bookmarkStart w:id="1" w:name="ksform407072026_0807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Bickley 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12420 STONEBRIDGE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ROANOKE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46783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 Bradley, Inc.</w:t>
              </w:r>
            </w:hyperlink>
            <w:r>
              <w:rPr/>
              <w:t xml:space="preserve"> [ </w:t>
            </w:r>
            <w:r>
              <w:rPr>
                <w:rFonts w:ascii="Times;serif" w:hAnsi="Times;serif"/>
                <w:color w:val="0000FF"/>
                <w:sz w:val="24"/>
                <w:shd w:fill="FFFFFF" w:val="clear"/>
              </w:rPr>
              <w:t>VRA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665"/>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30,273</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3.91</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1,058,337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135,623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to fulfill tax withholding obligations with respect to the vesting of a previously granted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for the account of the Ian Bickley Revocable Trust, for which the reporting person and his wife serve as trustees and the reporting person is the sole beneficiary.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Alyson Bohren, attorney-in-fact for Ian Bickley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2468" TargetMode="External"/><Relationship Id="rId5" Type="http://schemas.openxmlformats.org/officeDocument/2006/relationships/hyperlink" Target="http://www.sec.gov/cgi-bin/browse-edgar?action=getcompany&amp;CIK=0001495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3379</Characters>
  <CharactersWithSpaces>3939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