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577215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542925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46"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1, 2020</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160"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17145</wp:posOffset>
            </wp:positionV>
            <wp:extent cx="2477135" cy="1251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1251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48"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78"/>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55"/>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32"/>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63"/>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ind w:right="32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60"/>
          </w:cols>
          <w:pgMar w:left="320" w:top="225" w:right="319" w:bottom="105" w:gutter="0" w:footer="0" w:header="0"/>
        </w:sectPr>
      </w:pPr>
    </w:p>
    <w:bookmarkStart w:id="1" w:name="page2"/>
    <w:bookmarkEnd w:id="1"/>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13"/>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2" w:lineRule="exact"/>
        <w:rPr>
          <w:sz w:val="20"/>
          <w:szCs w:val="20"/>
          <w:color w:val="auto"/>
        </w:rPr>
      </w:pPr>
    </w:p>
    <w:p>
      <w:pPr>
        <w:jc w:val="both"/>
        <w:ind w:left="2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5" w:lineRule="exact"/>
        <w:rPr>
          <w:sz w:val="20"/>
          <w:szCs w:val="20"/>
          <w:color w:val="auto"/>
        </w:rPr>
      </w:pPr>
    </w:p>
    <w:p>
      <w:pPr>
        <w:ind w:right="16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The registrant had 33,409,326 shares of its common stock outstanding as of September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909955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7" w:lineRule="exact"/>
        <w:rPr>
          <w:sz w:val="20"/>
          <w:szCs w:val="20"/>
          <w:color w:val="auto"/>
        </w:rPr>
      </w:pPr>
    </w:p>
    <w:p>
      <w:pPr>
        <w:ind w:left="20"/>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PART I. FINANCIAL INFORMATION</w:t>
        </w:r>
      </w:hyperlink>
    </w:p>
    <w:p>
      <w:pPr>
        <w:spacing w:after="0" w:line="81"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w:t>
      </w:r>
      <w:r>
        <w:rPr>
          <w:sz w:val="20"/>
          <w:szCs w:val="20"/>
          <w:color w:val="auto"/>
        </w:rPr>
        <w:tab/>
      </w:r>
      <w:hyperlink w:anchor="page5">
        <w:r>
          <w:rPr>
            <w:rFonts w:ascii="Times New Roman" w:cs="Times New Roman" w:eastAsia="Times New Roman" w:hAnsi="Times New Roman"/>
            <w:sz w:val="17"/>
            <w:szCs w:val="17"/>
            <w:u w:val="single" w:color="auto"/>
            <w:color w:val="0000FF"/>
          </w:rPr>
          <w:t>Financial Statements (unaudited)</w:t>
        </w:r>
      </w:hyperlink>
    </w:p>
    <w:p>
      <w:pPr>
        <w:spacing w:after="0" w:line="11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Balance Sheets as of August 1, 2020, and February 1, 2020</w:t>
        </w:r>
      </w:hyperlink>
    </w:p>
    <w:p>
      <w:pPr>
        <w:spacing w:after="0" w:line="77" w:lineRule="exact"/>
        <w:rPr>
          <w:sz w:val="20"/>
          <w:szCs w:val="20"/>
          <w:color w:val="auto"/>
        </w:rPr>
      </w:pPr>
    </w:p>
    <w:p>
      <w:pPr>
        <w:ind w:left="940" w:right="260"/>
        <w:spacing w:after="0" w:line="237" w:lineRule="auto"/>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Operations for the Thirteen and Twenty-Six Weeks Ended August 1, 2020, and August</w:t>
        </w:r>
      </w:hyperlink>
      <w:r>
        <w:rPr>
          <w:rFonts w:ascii="Times New Roman" w:cs="Times New Roman" w:eastAsia="Times New Roman" w:hAnsi="Times New Roman"/>
          <w:sz w:val="18"/>
          <w:szCs w:val="18"/>
          <w:u w:val="single" w:color="auto"/>
          <w:color w:val="0000FF"/>
        </w:rPr>
        <w:t xml:space="preserve"> </w:t>
      </w:r>
      <w:hyperlink w:anchor="page5">
        <w:r>
          <w:rPr>
            <w:rFonts w:ascii="Times New Roman" w:cs="Times New Roman" w:eastAsia="Times New Roman" w:hAnsi="Times New Roman"/>
            <w:sz w:val="18"/>
            <w:szCs w:val="18"/>
            <w:u w:val="single" w:color="auto"/>
            <w:color w:val="0000FF"/>
          </w:rPr>
          <w:t>3, 2019</w:t>
        </w:r>
      </w:hyperlink>
    </w:p>
    <w:p>
      <w:pPr>
        <w:spacing w:after="0" w:line="50" w:lineRule="exact"/>
        <w:rPr>
          <w:sz w:val="20"/>
          <w:szCs w:val="20"/>
          <w:color w:val="auto"/>
        </w:rPr>
      </w:pPr>
    </w:p>
    <w:p>
      <w:pPr>
        <w:ind w:left="940" w:right="660"/>
        <w:spacing w:after="0" w:line="237" w:lineRule="auto"/>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Comprehensive Income for the Thirteen and Twenty-Six Weeks Ended August 1,</w:t>
        </w:r>
      </w:hyperlink>
      <w:r>
        <w:rPr>
          <w:rFonts w:ascii="Times New Roman" w:cs="Times New Roman" w:eastAsia="Times New Roman" w:hAnsi="Times New Roman"/>
          <w:sz w:val="18"/>
          <w:szCs w:val="18"/>
          <w:u w:val="single" w:color="auto"/>
          <w:color w:val="0000FF"/>
        </w:rPr>
        <w:t xml:space="preserve"> </w:t>
      </w:r>
      <w:hyperlink w:anchor="page6">
        <w:r>
          <w:rPr>
            <w:rFonts w:ascii="Times New Roman" w:cs="Times New Roman" w:eastAsia="Times New Roman" w:hAnsi="Times New Roman"/>
            <w:sz w:val="18"/>
            <w:szCs w:val="18"/>
            <w:u w:val="single" w:color="auto"/>
            <w:color w:val="0000FF"/>
          </w:rPr>
          <w:t>2020, and August 3, 2019</w:t>
        </w:r>
      </w:hyperlink>
    </w:p>
    <w:p>
      <w:pPr>
        <w:spacing w:after="0" w:line="50" w:lineRule="exact"/>
        <w:rPr>
          <w:sz w:val="20"/>
          <w:szCs w:val="20"/>
          <w:color w:val="auto"/>
        </w:rPr>
      </w:pPr>
    </w:p>
    <w:p>
      <w:pPr>
        <w:ind w:left="940" w:right="420"/>
        <w:spacing w:after="0" w:line="237" w:lineRule="auto"/>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Consolidated Statements of Shareholders' Equity for the Thirteen and Twenty-Six Weeks Ended August 1, 2020,</w:t>
        </w:r>
      </w:hyperlink>
      <w:r>
        <w:rPr>
          <w:rFonts w:ascii="Times New Roman" w:cs="Times New Roman" w:eastAsia="Times New Roman" w:hAnsi="Times New Roman"/>
          <w:sz w:val="18"/>
          <w:szCs w:val="18"/>
          <w:u w:val="single" w:color="auto"/>
          <w:color w:val="0000FF"/>
        </w:rPr>
        <w:t xml:space="preserve"> </w:t>
      </w:r>
      <w:hyperlink w:anchor="page7">
        <w:r>
          <w:rPr>
            <w:rFonts w:ascii="Times New Roman" w:cs="Times New Roman" w:eastAsia="Times New Roman" w:hAnsi="Times New Roman"/>
            <w:sz w:val="18"/>
            <w:szCs w:val="18"/>
            <w:u w:val="single" w:color="auto"/>
            <w:color w:val="0000FF"/>
          </w:rPr>
          <w:t>and August 3, 2019</w:t>
        </w:r>
      </w:hyperlink>
    </w:p>
    <w:p>
      <w:pPr>
        <w:spacing w:after="0" w:line="50" w:lineRule="exact"/>
        <w:rPr>
          <w:sz w:val="20"/>
          <w:szCs w:val="20"/>
          <w:color w:val="auto"/>
        </w:rPr>
      </w:pPr>
    </w:p>
    <w:p>
      <w:pPr>
        <w:ind w:left="940" w:right="580"/>
        <w:spacing w:after="0" w:line="328" w:lineRule="auto"/>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Condensed Consolidated Statements of Cash Flows for the Twenty-Six Weeks Ended August 1, 2020, and August 3, 2019</w:t>
        </w:r>
      </w:hyperlink>
      <w:r>
        <w:rPr>
          <w:rFonts w:ascii="Times New Roman" w:cs="Times New Roman" w:eastAsia="Times New Roman" w:hAnsi="Times New Roman"/>
          <w:sz w:val="18"/>
          <w:szCs w:val="18"/>
          <w:u w:val="single" w:color="auto"/>
          <w:color w:val="0000FF"/>
        </w:rPr>
        <w:t xml:space="preserve"> </w:t>
      </w:r>
      <w:hyperlink w:anchor="page11">
        <w:r>
          <w:rPr>
            <w:rFonts w:ascii="Times New Roman" w:cs="Times New Roman" w:eastAsia="Times New Roman" w:hAnsi="Times New Roman"/>
            <w:sz w:val="18"/>
            <w:szCs w:val="18"/>
            <w:u w:val="single" w:color="auto"/>
            <w:color w:val="0000FF"/>
          </w:rPr>
          <w:t>Notes to the Condensed Consolidated Financial Statements</w:t>
        </w:r>
      </w:hyperlink>
    </w:p>
    <w:p>
      <w:pPr>
        <w:spacing w:after="0" w:line="1"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2.</w:t>
      </w:r>
      <w:r>
        <w:rPr>
          <w:sz w:val="20"/>
          <w:szCs w:val="20"/>
          <w:color w:val="auto"/>
        </w:rPr>
        <w:tab/>
      </w:r>
      <w:hyperlink w:anchor="page30">
        <w:r>
          <w:rPr>
            <w:rFonts w:ascii="Times New Roman" w:cs="Times New Roman" w:eastAsia="Times New Roman" w:hAnsi="Times New Roman"/>
            <w:sz w:val="17"/>
            <w:szCs w:val="17"/>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3.</w:t>
      </w:r>
      <w:r>
        <w:rPr>
          <w:sz w:val="20"/>
          <w:szCs w:val="20"/>
          <w:color w:val="auto"/>
        </w:rPr>
        <w:tab/>
      </w:r>
      <w:hyperlink w:anchor="page43">
        <w:r>
          <w:rPr>
            <w:rFonts w:ascii="Times New Roman" w:cs="Times New Roman" w:eastAsia="Times New Roman" w:hAnsi="Times New Roman"/>
            <w:sz w:val="17"/>
            <w:szCs w:val="17"/>
            <w:u w:val="single" w:color="auto"/>
            <w:color w:val="0000FF"/>
          </w:rPr>
          <w:t>Quantitative and Qualitative Disclosures About Market Risk</w:t>
        </w:r>
      </w:hyperlink>
    </w:p>
    <w:p>
      <w:pPr>
        <w:spacing w:after="0" w:line="117"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4.</w:t>
      </w:r>
      <w:r>
        <w:rPr>
          <w:sz w:val="20"/>
          <w:szCs w:val="20"/>
          <w:color w:val="auto"/>
        </w:rPr>
        <w:tab/>
      </w:r>
      <w:hyperlink w:anchor="page44">
        <w:r>
          <w:rPr>
            <w:rFonts w:ascii="Times New Roman" w:cs="Times New Roman" w:eastAsia="Times New Roman" w:hAnsi="Times New Roman"/>
            <w:sz w:val="17"/>
            <w:szCs w:val="17"/>
            <w:u w:val="single" w:color="auto"/>
            <w:color w:val="0000FF"/>
          </w:rPr>
          <w:t>Controls and Procedures</w:t>
        </w:r>
      </w:hyperlink>
    </w:p>
    <w:p>
      <w:pPr>
        <w:spacing w:after="0" w:line="113" w:lineRule="exact"/>
        <w:rPr>
          <w:sz w:val="20"/>
          <w:szCs w:val="20"/>
          <w:color w:val="auto"/>
        </w:rPr>
      </w:pPr>
    </w:p>
    <w:p>
      <w:pPr>
        <w:ind w:left="20"/>
        <w:spacing w:after="0"/>
        <w:rPr>
          <w:rFonts w:ascii="Times New Roman" w:cs="Times New Roman" w:eastAsia="Times New Roman" w:hAnsi="Times New Roman"/>
          <w:sz w:val="18"/>
          <w:szCs w:val="18"/>
          <w:b w:val="1"/>
          <w:bCs w:val="1"/>
          <w:u w:val="single" w:color="auto"/>
          <w:color w:val="0000FF"/>
        </w:rPr>
      </w:pPr>
      <w:hyperlink w:anchor="page44">
        <w:r>
          <w:rPr>
            <w:rFonts w:ascii="Times New Roman" w:cs="Times New Roman" w:eastAsia="Times New Roman" w:hAnsi="Times New Roman"/>
            <w:sz w:val="18"/>
            <w:szCs w:val="18"/>
            <w:b w:val="1"/>
            <w:bCs w:val="1"/>
            <w:u w:val="single" w:color="auto"/>
            <w:color w:val="0000FF"/>
          </w:rPr>
          <w:t>PART II. OTHER INFORMATION</w:t>
        </w:r>
      </w:hyperlink>
    </w:p>
    <w:p>
      <w:pPr>
        <w:spacing w:after="0" w:line="81"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w:t>
      </w:r>
      <w:r>
        <w:rPr>
          <w:sz w:val="20"/>
          <w:szCs w:val="20"/>
          <w:color w:val="auto"/>
        </w:rPr>
        <w:tab/>
      </w:r>
      <w:hyperlink w:anchor="page45">
        <w:r>
          <w:rPr>
            <w:rFonts w:ascii="Times New Roman" w:cs="Times New Roman" w:eastAsia="Times New Roman" w:hAnsi="Times New Roman"/>
            <w:sz w:val="17"/>
            <w:szCs w:val="17"/>
            <w:u w:val="single" w:color="auto"/>
            <w:color w:val="0000FF"/>
          </w:rPr>
          <w:t>Legal Proceedings</w:t>
        </w:r>
      </w:hyperlink>
    </w:p>
    <w:p>
      <w:pPr>
        <w:spacing w:after="0" w:line="117"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1A.</w:t>
      </w:r>
      <w:r>
        <w:rPr>
          <w:sz w:val="20"/>
          <w:szCs w:val="20"/>
          <w:color w:val="auto"/>
        </w:rPr>
        <w:tab/>
      </w:r>
      <w:hyperlink w:anchor="page45">
        <w:r>
          <w:rPr>
            <w:rFonts w:ascii="Times New Roman" w:cs="Times New Roman" w:eastAsia="Times New Roman" w:hAnsi="Times New Roman"/>
            <w:sz w:val="17"/>
            <w:szCs w:val="17"/>
            <w:u w:val="single" w:color="auto"/>
            <w:color w:val="0000FF"/>
          </w:rPr>
          <w:t>Risk Factors</w:t>
        </w:r>
      </w:hyperlink>
    </w:p>
    <w:p>
      <w:pPr>
        <w:spacing w:after="0" w:line="117"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2.</w:t>
      </w:r>
      <w:r>
        <w:rPr>
          <w:sz w:val="20"/>
          <w:szCs w:val="20"/>
          <w:color w:val="auto"/>
        </w:rPr>
        <w:tab/>
      </w:r>
      <w:hyperlink w:anchor="page46">
        <w:r>
          <w:rPr>
            <w:rFonts w:ascii="Times New Roman" w:cs="Times New Roman" w:eastAsia="Times New Roman" w:hAnsi="Times New Roman"/>
            <w:sz w:val="17"/>
            <w:szCs w:val="17"/>
            <w:u w:val="single" w:color="auto"/>
            <w:color w:val="0000FF"/>
          </w:rPr>
          <w:t>Unregistered Sales of Equity Securities and Use of Proceeds</w:t>
        </w:r>
      </w:hyperlink>
    </w:p>
    <w:p>
      <w:pPr>
        <w:spacing w:after="0" w:line="117" w:lineRule="exact"/>
        <w:rPr>
          <w:sz w:val="20"/>
          <w:szCs w:val="20"/>
          <w:color w:val="auto"/>
        </w:rPr>
      </w:pPr>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Item 6.</w:t>
      </w:r>
      <w:r>
        <w:rPr>
          <w:sz w:val="20"/>
          <w:szCs w:val="20"/>
          <w:color w:val="auto"/>
        </w:rPr>
        <w:tab/>
      </w:r>
      <w:hyperlink w:anchor="page46">
        <w:r>
          <w:rPr>
            <w:rFonts w:ascii="Times New Roman" w:cs="Times New Roman" w:eastAsia="Times New Roman" w:hAnsi="Times New Roman"/>
            <w:sz w:val="17"/>
            <w:szCs w:val="17"/>
            <w:u w:val="single" w:color="auto"/>
            <w:color w:val="0000FF"/>
          </w:rPr>
          <w:t>Exhibits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p>
      <w:pPr>
        <w:spacing w:after="0" w:line="252"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p>
      <w:pPr>
        <w:spacing w:after="0" w:line="252"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p>
      <w:pPr>
        <w:spacing w:after="0" w:line="252"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p>
      <w:pPr>
        <w:spacing w:after="0" w:line="77"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p>
      <w:pPr>
        <w:spacing w:after="0" w:line="77" w:lineRule="exact"/>
        <w:rPr>
          <w:sz w:val="20"/>
          <w:szCs w:val="20"/>
          <w:color w:val="auto"/>
        </w:rPr>
      </w:pPr>
    </w:p>
    <w:p>
      <w:pPr>
        <w:jc w:val="right"/>
        <w:spacing w:after="0"/>
        <w:rPr>
          <w:rFonts w:ascii="Times New Roman" w:cs="Times New Roman" w:eastAsia="Times New Roman" w:hAnsi="Times New Roman"/>
          <w:sz w:val="17"/>
          <w:szCs w:val="17"/>
          <w:u w:val="single" w:color="auto"/>
          <w:color w:val="0000FF"/>
        </w:rPr>
      </w:pPr>
      <w:hyperlink w:anchor="page11">
        <w:r>
          <w:rPr>
            <w:rFonts w:ascii="Times New Roman" w:cs="Times New Roman" w:eastAsia="Times New Roman" w:hAnsi="Times New Roman"/>
            <w:sz w:val="17"/>
            <w:szCs w:val="17"/>
            <w:u w:val="single" w:color="auto"/>
            <w:color w:val="0000FF"/>
          </w:rPr>
          <w:t>11</w:t>
        </w:r>
      </w:hyperlink>
    </w:p>
    <w:p>
      <w:pPr>
        <w:spacing w:after="0" w:line="12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30">
        <w:r>
          <w:rPr>
            <w:rFonts w:ascii="Times New Roman" w:cs="Times New Roman" w:eastAsia="Times New Roman" w:hAnsi="Times New Roman"/>
            <w:sz w:val="17"/>
            <w:szCs w:val="17"/>
            <w:u w:val="single" w:color="auto"/>
            <w:color w:val="0000FF"/>
          </w:rPr>
          <w:t>30</w:t>
        </w:r>
      </w:hyperlink>
    </w:p>
    <w:p>
      <w:pPr>
        <w:spacing w:after="0" w:line="12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43">
        <w:r>
          <w:rPr>
            <w:rFonts w:ascii="Times New Roman" w:cs="Times New Roman" w:eastAsia="Times New Roman" w:hAnsi="Times New Roman"/>
            <w:sz w:val="17"/>
            <w:szCs w:val="17"/>
            <w:u w:val="single" w:color="auto"/>
            <w:color w:val="0000FF"/>
          </w:rPr>
          <w:t>43</w:t>
        </w:r>
      </w:hyperlink>
    </w:p>
    <w:p>
      <w:pPr>
        <w:spacing w:after="0" w:line="12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44">
        <w:r>
          <w:rPr>
            <w:rFonts w:ascii="Times New Roman" w:cs="Times New Roman" w:eastAsia="Times New Roman" w:hAnsi="Times New Roman"/>
            <w:sz w:val="17"/>
            <w:szCs w:val="17"/>
            <w:u w:val="single" w:color="auto"/>
            <w:color w:val="0000FF"/>
          </w:rPr>
          <w:t>43</w:t>
        </w:r>
      </w:hyperlink>
    </w:p>
    <w:p>
      <w:pPr>
        <w:spacing w:after="0" w:line="200" w:lineRule="exact"/>
        <w:rPr>
          <w:sz w:val="20"/>
          <w:szCs w:val="20"/>
          <w:color w:val="auto"/>
        </w:rPr>
      </w:pPr>
    </w:p>
    <w:p>
      <w:pPr>
        <w:spacing w:after="0" w:line="212"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45">
        <w:r>
          <w:rPr>
            <w:rFonts w:ascii="Times New Roman" w:cs="Times New Roman" w:eastAsia="Times New Roman" w:hAnsi="Times New Roman"/>
            <w:sz w:val="17"/>
            <w:szCs w:val="17"/>
            <w:u w:val="single" w:color="auto"/>
            <w:color w:val="0000FF"/>
          </w:rPr>
          <w:t>44</w:t>
        </w:r>
      </w:hyperlink>
    </w:p>
    <w:p>
      <w:pPr>
        <w:spacing w:after="0" w:line="12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45">
        <w:r>
          <w:rPr>
            <w:rFonts w:ascii="Times New Roman" w:cs="Times New Roman" w:eastAsia="Times New Roman" w:hAnsi="Times New Roman"/>
            <w:sz w:val="17"/>
            <w:szCs w:val="17"/>
            <w:u w:val="single" w:color="auto"/>
            <w:color w:val="0000FF"/>
          </w:rPr>
          <w:t>44</w:t>
        </w:r>
      </w:hyperlink>
    </w:p>
    <w:p>
      <w:pPr>
        <w:spacing w:after="0" w:line="12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46">
        <w:r>
          <w:rPr>
            <w:rFonts w:ascii="Times New Roman" w:cs="Times New Roman" w:eastAsia="Times New Roman" w:hAnsi="Times New Roman"/>
            <w:sz w:val="17"/>
            <w:szCs w:val="17"/>
            <w:u w:val="single" w:color="auto"/>
            <w:color w:val="0000FF"/>
          </w:rPr>
          <w:t>45</w:t>
        </w:r>
      </w:hyperlink>
    </w:p>
    <w:p>
      <w:pPr>
        <w:spacing w:after="0" w:line="12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46">
        <w:r>
          <w:rPr>
            <w:rFonts w:ascii="Times New Roman" w:cs="Times New Roman" w:eastAsia="Times New Roman" w:hAnsi="Times New Roman"/>
            <w:sz w:val="17"/>
            <w:szCs w:val="17"/>
            <w:u w:val="single" w:color="auto"/>
            <w:color w:val="0000FF"/>
          </w:rPr>
          <w:t>46</w:t>
        </w:r>
      </w:hyperlink>
    </w:p>
    <w:p>
      <w:pPr>
        <w:sectPr>
          <w:pgSz w:w="11900" w:h="16838" w:orient="portrait"/>
          <w:cols w:equalWidth="0" w:num="2">
            <w:col w:w="10300" w:space="720"/>
            <w:col w:w="180"/>
          </w:cols>
          <w:pgMar w:left="320" w:top="117" w:right="3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121" w:lineRule="exact"/>
        <w:rPr>
          <w:sz w:val="20"/>
          <w:szCs w:val="20"/>
          <w:color w:val="auto"/>
        </w:rPr>
      </w:pPr>
    </w:p>
    <w:p>
      <w:pPr>
        <w:ind w:left="660" w:right="620" w:hanging="328"/>
        <w:spacing w:after="0" w:line="3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including the continued outbreak of the novel coronavirus (COVID-19) and the measures taken by governmental authorities and other actors to address it, which may precipitate or exacerbate other risks and/or uncertainties;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and its impact on consumer behavior and potential damage or closures to our locations;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 including our Vision 20/20 initiatives;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03" w:lineRule="exact"/>
        <w:rPr>
          <w:rFonts w:ascii="Times New Roman" w:cs="Times New Roman" w:eastAsia="Times New Roman" w:hAnsi="Times New Roman"/>
          <w:sz w:val="18"/>
          <w:szCs w:val="18"/>
          <w:color w:val="auto"/>
        </w:rPr>
      </w:pPr>
    </w:p>
    <w:p>
      <w:pPr>
        <w:ind w:left="660" w:right="180" w:hanging="328"/>
        <w:spacing w:after="0" w:line="3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as may be related to the continued outbreak of COVID-19;</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that could lead to increased product costs and lower profit margins;</w:t>
      </w:r>
    </w:p>
    <w:p>
      <w:pPr>
        <w:spacing w:after="0" w:line="103" w:lineRule="exact"/>
        <w:rPr>
          <w:rFonts w:ascii="Times New Roman" w:cs="Times New Roman" w:eastAsia="Times New Roman" w:hAnsi="Times New Roman"/>
          <w:sz w:val="18"/>
          <w:szCs w:val="18"/>
          <w:color w:val="auto"/>
        </w:rPr>
      </w:pPr>
    </w:p>
    <w:p>
      <w:pPr>
        <w:ind w:left="660" w:right="660" w:hanging="328"/>
        <w:spacing w:after="0" w:line="3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Pura Vida acquisition benefits to materialize as expected, including the possibility that the business may not perform as anticipated;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w:t>
      </w:r>
    </w:p>
    <w:p>
      <w:pPr>
        <w:spacing w:after="0" w:line="21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1, 2020, as well as in Item 1A herein.</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40" w:type="dxa"/>
            <w:vAlign w:val="bottom"/>
          </w:tcPr>
          <w:p>
            <w:pPr>
              <w:spacing w:after="0"/>
              <w:rPr>
                <w:sz w:val="13"/>
                <w:szCs w:val="13"/>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49,917</w:t>
            </w:r>
          </w:p>
        </w:tc>
        <w:tc>
          <w:tcPr>
            <w:tcW w:w="0" w:type="dxa"/>
            <w:vAlign w:val="bottom"/>
          </w:tcPr>
          <w:p>
            <w:pPr>
              <w:spacing w:after="0"/>
              <w:rPr>
                <w:sz w:val="1"/>
                <w:szCs w:val="1"/>
                <w:color w:val="auto"/>
              </w:rPr>
            </w:pPr>
          </w:p>
        </w:tc>
      </w:tr>
      <w:tr>
        <w:trPr>
          <w:trHeight w:val="22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0" w:type="dxa"/>
            <w:vAlign w:val="bottom"/>
          </w:tcPr>
          <w:p>
            <w:pPr>
              <w:spacing w:after="0"/>
              <w:rPr>
                <w:sz w:val="1"/>
                <w:szCs w:val="1"/>
                <w:color w:val="auto"/>
              </w:rPr>
            </w:pPr>
          </w:p>
        </w:tc>
      </w:tr>
      <w:tr>
        <w:trPr>
          <w:trHeight w:val="22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10,956</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218,789</w:t>
            </w:r>
          </w:p>
        </w:tc>
        <w:tc>
          <w:tcPr>
            <w:tcW w:w="0" w:type="dxa"/>
            <w:vAlign w:val="bottom"/>
          </w:tcPr>
          <w:p>
            <w:pPr>
              <w:spacing w:after="0"/>
              <w:rPr>
                <w:sz w:val="1"/>
                <w:szCs w:val="1"/>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114,790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w:t>
            </w:r>
          </w:p>
        </w:tc>
        <w:tc>
          <w:tcPr>
            <w:tcW w:w="0" w:type="dxa"/>
            <w:vAlign w:val="bottom"/>
          </w:tcPr>
          <w:p>
            <w:pPr>
              <w:spacing w:after="0"/>
              <w:rPr>
                <w:sz w:val="1"/>
                <w:szCs w:val="1"/>
                <w:color w:val="auto"/>
              </w:rPr>
            </w:pPr>
          </w:p>
        </w:tc>
      </w:tr>
      <w:tr>
        <w:trPr>
          <w:trHeight w:val="22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Earn-out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0" w:type="dxa"/>
            <w:vAlign w:val="bottom"/>
          </w:tcPr>
          <w:p>
            <w:pPr>
              <w:spacing w:after="0"/>
              <w:rPr>
                <w:sz w:val="1"/>
                <w:szCs w:val="1"/>
                <w:color w:val="auto"/>
              </w:rPr>
            </w:pPr>
          </w:p>
        </w:tc>
      </w:tr>
      <w:tr>
        <w:trPr>
          <w:trHeight w:val="217"/>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82,240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87,405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7"/>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218,656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201,242</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without par value; 200,000 shares authorized, 41,803 and 41,515 shares issued and 33,409 and 33,503</w:t>
            </w:r>
          </w:p>
        </w:tc>
        <w:tc>
          <w:tcPr>
            <w:tcW w:w="2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307,414</w:t>
            </w: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Treasury stock</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(104,159)</w:t>
            </w:r>
          </w:p>
        </w:tc>
        <w:tc>
          <w:tcPr>
            <w:tcW w:w="0" w:type="dxa"/>
            <w:vAlign w:val="bottom"/>
          </w:tcPr>
          <w:p>
            <w:pPr>
              <w:spacing w:after="0"/>
              <w:rPr>
                <w:sz w:val="1"/>
                <w:szCs w:val="1"/>
                <w:color w:val="auto"/>
              </w:rPr>
            </w:pPr>
          </w:p>
        </w:tc>
      </w:tr>
      <w:tr>
        <w:trPr>
          <w:trHeight w:val="217"/>
        </w:trPr>
        <w:tc>
          <w:tcPr>
            <w:tcW w:w="81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303,770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17" w:right="359" w:bottom="578"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578"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2"/>
                <w:szCs w:val="12"/>
                <w:color w:val="auto"/>
              </w:rPr>
            </w:pPr>
          </w:p>
        </w:tc>
        <w:tc>
          <w:tcPr>
            <w:tcW w:w="118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210,788</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117,801</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37"/>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37"/>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7"/>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 noncontrolling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available to Vera Bradley, Inc.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available to Vera Bradley, Inc.</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(loss) available to Vera Bradley, Inc.</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portion of redeemable noncontrolling interest redemption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adjustment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Net income (loss) available to Vera Bradley, Inc. common</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54"/>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80" w:type="dxa"/>
            <w:vAlign w:val="bottom"/>
          </w:tcPr>
          <w:p>
            <w:pPr>
              <w:spacing w:after="0"/>
              <w:rPr>
                <w:sz w:val="12"/>
                <w:szCs w:val="12"/>
                <w:color w:val="auto"/>
              </w:rPr>
            </w:pPr>
          </w:p>
        </w:tc>
        <w:tc>
          <w:tcPr>
            <w:tcW w:w="116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available-for-sale debt investments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redeemable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7"/>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Vera Bradley, Inc.</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2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1, 2020</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33,503,249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8,011,372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307,414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(104,159)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303,770</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277,687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(381,835)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redemption value</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2, 2020</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33,399,101</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99,879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282,772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(107,060)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275,574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vMerge w:val="continue"/>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debt investments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10,225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redemption value</w:t>
            </w: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9,736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1, 2020</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33,409,326</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8,393,207</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101,112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299,724</w:t>
            </w:r>
          </w:p>
        </w:tc>
        <w:tc>
          <w:tcPr>
            <w:tcW w:w="8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(107,060)</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2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34,347,420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6,935,623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291,994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294,703</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available-for-sale debt investments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183,346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Cumulative adjustment for ASC 842 adoption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2019</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34,246,678</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7,219,711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96,019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289,393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(95,747)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289,774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vMerge w:val="continue"/>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debt investments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40,297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(196,507)</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34,090,468</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7,416,218</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96,958</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295,247</w:t>
            </w:r>
          </w:p>
        </w:tc>
        <w:tc>
          <w:tcPr>
            <w:tcW w:w="8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(97,975)</w:t>
            </w: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294,351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2"/>
                <w:szCs w:val="12"/>
                <w:color w:val="auto"/>
              </w:rPr>
            </w:pPr>
          </w:p>
        </w:tc>
        <w:tc>
          <w:tcPr>
            <w:tcW w:w="12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3,313</w:t>
            </w:r>
          </w:p>
        </w:tc>
      </w:tr>
      <w:tr>
        <w:trPr>
          <w:trHeight w:val="20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8,663</w:t>
            </w:r>
          </w:p>
        </w:tc>
      </w:tr>
      <w:tr>
        <w:trPr>
          <w:trHeight w:val="20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10,813</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charges</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r>
      <w:tr>
        <w:trPr>
          <w:trHeight w:val="20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2,493</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20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(gain) on investments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 of earn-out liability</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non-cash (gain) charges,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w:t>
            </w:r>
          </w:p>
        </w:tc>
      </w:tr>
      <w:tr>
        <w:trPr>
          <w:trHeight w:val="198"/>
        </w:trPr>
        <w:tc>
          <w:tcPr>
            <w:tcW w:w="8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(11,494)</w:t>
            </w:r>
          </w:p>
        </w:tc>
      </w:tr>
      <w:tr>
        <w:trPr>
          <w:trHeight w:val="208"/>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r>
      <w:tr>
        <w:trPr>
          <w:trHeight w:val="198"/>
        </w:trPr>
        <w:tc>
          <w:tcPr>
            <w:tcW w:w="8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9,393</w:t>
            </w:r>
          </w:p>
        </w:tc>
      </w:tr>
      <w:tr>
        <w:trPr>
          <w:trHeight w:val="207"/>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198"/>
        </w:trPr>
        <w:tc>
          <w:tcPr>
            <w:tcW w:w="82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(12,917)</w:t>
            </w:r>
          </w:p>
        </w:tc>
      </w:tr>
      <w:tr>
        <w:trPr>
          <w:trHeight w:val="207"/>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19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1,091</w:t>
            </w:r>
          </w:p>
        </w:tc>
      </w:tr>
      <w:tr>
        <w:trPr>
          <w:trHeight w:val="18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(8,089)</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maturities and sales of investments</w:t>
            </w:r>
          </w:p>
        </w:tc>
        <w:tc>
          <w:tcPr>
            <w:tcW w:w="2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29,798</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received (paid) for business acquisition, net of cash acquired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(73,010)</w:t>
            </w:r>
          </w:p>
        </w:tc>
      </w:tr>
      <w:tr>
        <w:trPr>
          <w:trHeight w:val="19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18,901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(61,412)</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20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 under asset-based revolving credit agreement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borrowings under asset-based revolving credit agreement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business acquisition</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(6,351)</w:t>
            </w:r>
          </w:p>
        </w:tc>
      </w:tr>
      <w:tr>
        <w:trPr>
          <w:trHeight w:val="20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(66,651)</w:t>
            </w:r>
          </w:p>
        </w:tc>
      </w:tr>
      <w:tr>
        <w:trPr>
          <w:trHeight w:val="20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113,493</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75,568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46,842</w:t>
            </w:r>
          </w:p>
        </w:tc>
      </w:tr>
      <w:tr>
        <w:trPr>
          <w:trHeight w:val="25"/>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2"/>
                <w:szCs w:val="12"/>
                <w:color w:val="auto"/>
              </w:rPr>
            </w:pPr>
          </w:p>
        </w:tc>
        <w:tc>
          <w:tcPr>
            <w:tcW w:w="120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3,328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August 1, 2020 and August 3, 2019</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February 1, 2020 and February 2, 2019</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August 1, 2020 and August 3, 2019</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February 1, 2020 and February 2, 2019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consideration related to business acquisition</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 Vera Bradley offers a unique, multi-channel sales model, as well as a focus on service and a high level of customer engagement.</w:t>
      </w:r>
    </w:p>
    <w:p>
      <w:pPr>
        <w:spacing w:after="0" w:line="58"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54" w:lineRule="exact"/>
        <w:rPr>
          <w:rFonts w:ascii="Times New Roman" w:cs="Times New Roman" w:eastAsia="Times New Roman" w:hAnsi="Times New Roman"/>
          <w:sz w:val="18"/>
          <w:szCs w:val="18"/>
          <w:b w:val="1"/>
          <w:bCs w:val="1"/>
          <w:color w:val="auto"/>
        </w:rPr>
      </w:pPr>
    </w:p>
    <w:p>
      <w:pPr>
        <w:ind w:left="6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second quarter of fiscal 2020, the Company included an additional segment for Pura Vida due to its acquisition. As a result, the Company has three reportable segments: Vera Bradley Direct (“VB Direct”), Vera Bradley Indirect (“VB Indirect”), and Pura Vida.</w:t>
      </w:r>
    </w:p>
    <w:p>
      <w:pPr>
        <w:spacing w:after="0" w:line="26"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August 1, 2020, the Company operated 82 full-line stores and 67 factory outlet stores. In light of the COVID-19 pandemic, the Company cancelled its 2020 annual outlet sale. The 2021 annual outlet sale is planned for April 2021.</w:t>
      </w:r>
    </w:p>
    <w:p>
      <w:pPr>
        <w:spacing w:after="0" w:line="58"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business consists of sales of Vera Bradley products to approximately 2,100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54"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1, 2020, filed with the SEC.</w:t>
      </w:r>
    </w:p>
    <w:p>
      <w:pPr>
        <w:spacing w:after="0" w:line="66"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1, 2020, are not necessarily indicative of the results to be expected for the full fiscal year. Further, the COVID-19 pandemic had a material impact on the Company's current-year period results.</w:t>
      </w:r>
    </w:p>
    <w:p>
      <w:pPr>
        <w:spacing w:after="0" w:line="58"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The COVID-19 pandemic resulted in travel restrictions both domestically and internationally, community and self-quarantines, certain factory closures or reduced operations, as well as mall closures and reduced mall operating hours during the first and second quarters of fiscal 2021. Although the Vera Bradley and Pura Vida e-commerce operations remained open, the aforementioned items had a material adverse impact on overall consumer demand, traffic, and sales. Furthermore, the pandemic materially impacted the Company's operating results. Beginning in mid-March 2020, the Company began taking several actions to navigate the COVID-19 pandemic, protect its financial position, maximize its liquidity, and to position the Company for a strong reopening and future. These actions included:</w:t>
      </w:r>
    </w:p>
    <w:p>
      <w:pPr>
        <w:spacing w:after="0" w:line="5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closing all Vera Bradley store locations on March 19;</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furloughing approximately 80% of its workforce mid first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980" w:right="1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reducing base compensation for remaining salaried associates, with reductions on a graduated scale ranging from 15% to 30%, and 75% for the Company's Chief Executive Officer;</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suspending cash compensation to the Company's Board of Directors;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suspending the share repurchase program;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 $60.0 million of its $75.0 million Credit Agreement;</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eliminating the Company 401(k) and associate charitable contribution matches;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Tightly managing inventory levels through the cancellation of purchase orders, delay of receipts, or seeking price concessions where possible;</w:t>
      </w:r>
    </w:p>
    <w:p>
      <w:pPr>
        <w:spacing w:after="0" w:line="115" w:lineRule="exact"/>
        <w:rPr>
          <w:rFonts w:ascii="Times New Roman" w:cs="Times New Roman" w:eastAsia="Times New Roman" w:hAnsi="Times New Roman"/>
          <w:sz w:val="17"/>
          <w:szCs w:val="17"/>
          <w:color w:val="auto"/>
        </w:rPr>
      </w:pPr>
    </w:p>
    <w:p>
      <w:pPr>
        <w:ind w:left="980" w:right="6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working with landlords on addressing rent abatement, payment terms, accelerating store closures, and delaying or cancelling certain planned new store openings;</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non-payroll operating expenses, including but not limited to, marketing and travel;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vendor payment terms.</w:t>
      </w:r>
    </w:p>
    <w:p>
      <w:pPr>
        <w:spacing w:after="0" w:line="104" w:lineRule="exact"/>
        <w:rPr>
          <w:sz w:val="20"/>
          <w:szCs w:val="20"/>
          <w:color w:val="auto"/>
        </w:rPr>
      </w:pPr>
    </w:p>
    <w:p>
      <w:pPr>
        <w:ind w:left="660" w:right="60"/>
        <w:spacing w:after="0" w:line="245" w:lineRule="auto"/>
        <w:rPr>
          <w:sz w:val="20"/>
          <w:szCs w:val="20"/>
          <w:color w:val="auto"/>
        </w:rPr>
      </w:pPr>
      <w:r>
        <w:rPr>
          <w:rFonts w:ascii="Times New Roman" w:cs="Times New Roman" w:eastAsia="Times New Roman" w:hAnsi="Times New Roman"/>
          <w:sz w:val="18"/>
          <w:szCs w:val="18"/>
          <w:color w:val="auto"/>
        </w:rPr>
        <w:t>During the second quarter albeit with reduced staffing, hours, and capacity limitations, the Company began to open its temporarily closed Vera Bradley retail stores; brought back the majority of associates from furlough; began to reinstate portions of the base compensation reductions; and paid back $30.0 million of the $60.0 million borrowing under the Credit Agreement. The Company continued to reduce operating expenses, work with landlords on rent abatements and payment terms, and carefully manage inventory levels and non-payroll operating expenses.</w:t>
      </w:r>
    </w:p>
    <w:p>
      <w:pPr>
        <w:spacing w:after="0" w:line="46"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In addition, the Company is leveraging elements of the Coronavirus Aid Relief and Economic Security (CARES) Act to enhance the financial well-being of associates and to maximize the financial health of the Company.</w:t>
      </w:r>
    </w:p>
    <w:p>
      <w:pPr>
        <w:spacing w:after="0" w:line="40"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Company cannot currently predict the extent that COVID-19 will impact its future liquidity, operating results, and financial condition, but it could have a significant adverse effect on these metrics.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360"/>
        <w:spacing w:after="0" w:line="312"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its wholly owned subsidiaries, and its majority owned subsidiary, Pura Vida beginning on July 17, 2019. The Company has eliminated intercompany balances and transactions in consolidation.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August 1, 2020 and August 3, 2019 refer to the thirteen-week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90"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The amendments in this update remove, modify, and add certain disclosure requirements to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adoption of this standard in the first quarter of fiscal 2021 did not have a material impact on the Company's consolidated financial statements.</w:t>
      </w:r>
    </w:p>
    <w:p>
      <w:pPr>
        <w:spacing w:after="0" w:line="61"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This standard replaces the incurred loss impairment methodology in current GAAP with a methodology that uses a forward-looking approach to recording credit losses for certain financial instruments including debt securities, trade receivables, and other financial assets. This guidance is effective for fiscal years beginning after December 15, 2019, including interim periods within those fiscal years, for SEC filers, which is the Company's fiscal 2021. Early adoption is permitted. The adoption of this standard in the first quarter of fiscal 2021 did not have a material impact on the Company's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0" w:lineRule="exact"/>
        <w:rPr>
          <w:sz w:val="20"/>
          <w:szCs w:val="20"/>
          <w:color w:val="auto"/>
        </w:rPr>
      </w:pPr>
    </w:p>
    <w:p>
      <w:pPr>
        <w:jc w:val="both"/>
        <w:ind w:left="660"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Company is currently evaluating the impact of the guidance on its consolidated financial statements.</w:t>
      </w:r>
    </w:p>
    <w:p>
      <w:pPr>
        <w:spacing w:after="0" w:line="20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twenty-six weeks ended August 1,</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2020 and August 3, 2019 (in thousands):</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320" w:type="dxa"/>
            <w:vAlign w:val="bottom"/>
          </w:tcPr>
          <w:p>
            <w:pPr>
              <w:spacing w:after="0"/>
              <w:rPr>
                <w:sz w:val="21"/>
                <w:szCs w:val="21"/>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36,243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20,819</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16,127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31,080</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46,345</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6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32,807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131,770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freight, stationery, and gift card breakage.</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49" w:lineRule="exact"/>
        <w:rPr>
          <w:rFonts w:ascii="Times New Roman" w:cs="Times New Roman" w:eastAsia="Times New Roman" w:hAnsi="Times New Roman"/>
          <w:sz w:val="18"/>
          <w:szCs w:val="18"/>
          <w:color w:val="auto"/>
        </w:rPr>
      </w:pPr>
    </w:p>
    <w:p>
      <w:pPr>
        <w:ind w:left="680" w:right="840" w:hanging="6"/>
        <w:spacing w:after="0" w:line="237"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million of net revenues related to product sales recognized at a point in time and $0.5 million of net revenues related to sales-based royalties recognized over time.</w:t>
      </w:r>
    </w:p>
    <w:p>
      <w:pPr>
        <w:spacing w:after="0" w:line="9"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320" w:type="dxa"/>
            <w:vAlign w:val="bottom"/>
          </w:tcPr>
          <w:p>
            <w:pPr>
              <w:spacing w:after="0"/>
              <w:rPr>
                <w:sz w:val="21"/>
                <w:szCs w:val="21"/>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50,675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30,172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8,069</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6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119,785</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49" w:lineRule="exact"/>
        <w:rPr>
          <w:rFonts w:ascii="Times New Roman" w:cs="Times New Roman" w:eastAsia="Times New Roman" w:hAnsi="Times New Roman"/>
          <w:sz w:val="18"/>
          <w:szCs w:val="18"/>
          <w:color w:val="auto"/>
        </w:rPr>
      </w:pPr>
    </w:p>
    <w:p>
      <w:pPr>
        <w:ind w:left="680" w:right="120" w:hanging="6"/>
        <w:spacing w:after="0" w:line="237"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million of net revenues related to product sales recognized at a point in time and $0.9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320" w:type="dxa"/>
            <w:vAlign w:val="bottom"/>
          </w:tcPr>
          <w:p>
            <w:pPr>
              <w:spacing w:after="0"/>
              <w:rPr>
                <w:sz w:val="21"/>
                <w:szCs w:val="21"/>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57,334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27,965</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51,619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75,453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23,541</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10,556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6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54,025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201,054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20" w:hanging="246"/>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49" w:lineRule="exact"/>
        <w:rPr>
          <w:rFonts w:ascii="Times New Roman" w:cs="Times New Roman" w:eastAsia="Times New Roman" w:hAnsi="Times New Roman"/>
          <w:sz w:val="18"/>
          <w:szCs w:val="18"/>
          <w:color w:val="auto"/>
        </w:rPr>
      </w:pPr>
    </w:p>
    <w:p>
      <w:pPr>
        <w:ind w:left="680" w:right="120" w:hanging="6"/>
        <w:spacing w:after="0" w:line="237" w:lineRule="auto"/>
        <w:tabs>
          <w:tab w:leader="none" w:pos="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 million of net revenues related to product sales recognized at a point in time and $1.1 million of net revenues related to sales-based royalties recognized over time.</w:t>
      </w:r>
    </w:p>
    <w:p>
      <w:pPr>
        <w:spacing w:after="0" w:line="9"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117" w:right="10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67,349</w:t>
            </w:r>
          </w:p>
        </w:tc>
        <w:tc>
          <w:tcPr>
            <w:tcW w:w="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320" w:type="dxa"/>
            <w:vAlign w:val="bottom"/>
          </w:tcPr>
          <w:p>
            <w:pPr>
              <w:spacing w:after="0"/>
              <w:rPr>
                <w:sz w:val="21"/>
                <w:szCs w:val="21"/>
                <w:color w:val="auto"/>
              </w:rPr>
            </w:pP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88,333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50,513</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50,434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14,338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7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6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165,516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210,788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20" w:hanging="246"/>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49" w:lineRule="exact"/>
        <w:rPr>
          <w:rFonts w:ascii="Times New Roman" w:cs="Times New Roman" w:eastAsia="Times New Roman" w:hAnsi="Times New Roman"/>
          <w:sz w:val="18"/>
          <w:szCs w:val="18"/>
          <w:color w:val="auto"/>
        </w:rPr>
      </w:pPr>
    </w:p>
    <w:p>
      <w:pPr>
        <w:ind w:left="680" w:right="840" w:hanging="6"/>
        <w:spacing w:after="0" w:line="237"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 million of net revenues related to product sales recognized at a point in time and $1.9 million of net revenues related to sales-based royalties recognized over time.</w:t>
      </w:r>
    </w:p>
    <w:p>
      <w:pPr>
        <w:spacing w:after="0" w:line="3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Contract liabilities as of August 1, 2020 and February 1, 2020, were $3.7 million and $3.9 million, respectively. The balance as of August 1, 2020 consisted of unearned revenue related to the monthly bracelet and jewelry clubs of the Pura Vida segment, unredeemed gift cards, Pura Vida loyalty club points, Pura Vida customer deposits and payments collected before shipment, and an immaterial amount of unearned revenue for pre-payments of royalties in certain of the Company’s licensing arrangements. The balance as of February 1, 2020 consisted of unearned revenue related to the monthly bracelet and jewelry clubs of the Pura Vida segment, unredeemed gift cards, Pura Vida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August 1, 2020 and February 1, 2020.</w:t>
      </w:r>
    </w:p>
    <w:p>
      <w:pPr>
        <w:spacing w:after="0" w:line="57"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August 1, 2020 and February 1, 2020, was $22.5 million and $16.3 million, respectively, which is recognized within accounts receivable, net, on the Company’s Condensed Consolidated Balance Sheets. The provision for doubtful accounts was $1.9 million and $0.5 million as of August 1, 2020 and February 1, 2020,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August 1, 2020.</w:t>
      </w:r>
    </w:p>
    <w:p>
      <w:pPr>
        <w:spacing w:after="0" w:line="18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07"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temporarily closed its full-line and factory outlet stores on March 19, 2020, due to the COVID-19 pandemic. As of the end of July, all but three full-line stores and all factory stores have been reopened, further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discussed in Note 1 herein. As a result of the temporary closures, certain rent payments have been deferred. An immaterial amount of rent abatements were received as of August 1, 2020.</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106"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weighted-average discount rate as of August 1, 2020, was 5.0%.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10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August 1, 2020, the Company had one retail store lease which was executed, but did not have control of the underlying asset; therefore, the lease liability and right-of-use asset are not recorded on the Condensed Consolidated Balance Sheet. This lease contains undiscounted lease payments, which will be included in the determination of the lease liability, totaling approximately $2.1 million and has an approximate term of 10 years commencing in fiscal 2022.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94" w:lineRule="exact"/>
        <w:rPr>
          <w:sz w:val="20"/>
          <w:szCs w:val="20"/>
          <w:color w:val="auto"/>
        </w:rPr>
      </w:pPr>
    </w:p>
    <w:p>
      <w:pPr>
        <w:jc w:val="both"/>
        <w:ind w:left="660" w:right="10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August 1, 2020 and August 3, 2019 (in thousands):</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96"/>
        </w:trPr>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8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80" w:type="dxa"/>
            <w:vAlign w:val="bottom"/>
          </w:tcPr>
          <w:p>
            <w:pPr>
              <w:spacing w:after="0"/>
              <w:rPr>
                <w:sz w:val="17"/>
                <w:szCs w:val="17"/>
                <w:color w:val="auto"/>
              </w:rPr>
            </w:pPr>
          </w:p>
        </w:tc>
        <w:tc>
          <w:tcPr>
            <w:tcW w:w="15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49"/>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14,367</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4,765</w:t>
            </w:r>
          </w:p>
        </w:tc>
      </w:tr>
      <w:tr>
        <w:trPr>
          <w:trHeight w:val="27"/>
        </w:trPr>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333</w:t>
            </w:r>
          </w:p>
        </w:tc>
      </w:tr>
      <w:tr>
        <w:trPr>
          <w:trHeight w:val="26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19,465</w:t>
            </w:r>
          </w:p>
        </w:tc>
      </w:tr>
      <w:tr>
        <w:trPr>
          <w:trHeight w:val="20"/>
        </w:trPr>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August 1, 2020 was 5.7 years.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1276"/>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96"/>
        </w:trPr>
        <w:tc>
          <w:tcPr>
            <w:tcW w:w="5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360" w:type="dxa"/>
            <w:vAlign w:val="bottom"/>
          </w:tcPr>
          <w:p>
            <w:pPr>
              <w:spacing w:after="0"/>
              <w:rPr>
                <w:sz w:val="17"/>
                <w:szCs w:val="17"/>
                <w:color w:val="auto"/>
              </w:rPr>
            </w:pPr>
          </w:p>
        </w:tc>
        <w:tc>
          <w:tcPr>
            <w:tcW w:w="17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3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4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11,791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3,271</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66"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(loss) or net income (loss) attributable to Vera Bradley, Inc. When calculating earnings per share attributable to Vera Bradley, Inc., the Company adjusts the net income (loss) attributable to Vera Bradley, Inc. for the measurement period adjustment to the extent the redemption value exceeds the fair value of the noncontrolling interest on a cumulative basis.</w:t>
      </w:r>
    </w:p>
    <w:p>
      <w:pPr>
        <w:spacing w:after="0" w:line="6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35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1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20" w:type="dxa"/>
            <w:vAlign w:val="bottom"/>
          </w:tcPr>
          <w:p>
            <w:pPr>
              <w:spacing w:after="0"/>
              <w:rPr>
                <w:sz w:val="12"/>
                <w:szCs w:val="12"/>
                <w:color w:val="auto"/>
              </w:rPr>
            </w:pPr>
          </w:p>
        </w:tc>
        <w:tc>
          <w:tcPr>
            <w:tcW w:w="1000" w:type="dxa"/>
            <w:vAlign w:val="bottom"/>
          </w:tcPr>
          <w:p>
            <w:pPr>
              <w:jc w:val="right"/>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 noncontrolling</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Excess portion of redeemable noncontrolling interest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02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Net income (loss) available to Vera Bradley, Inc. common</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39"/>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34,380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per share available to Vera Bradley, Inc.</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common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jc w:val="both"/>
        <w:ind w:left="660" w:right="100"/>
        <w:spacing w:after="0" w:line="261" w:lineRule="auto"/>
        <w:rPr>
          <w:sz w:val="20"/>
          <w:szCs w:val="20"/>
          <w:color w:val="auto"/>
        </w:rPr>
      </w:pPr>
      <w:r>
        <w:rPr>
          <w:rFonts w:ascii="Times New Roman" w:cs="Times New Roman" w:eastAsia="Times New Roman" w:hAnsi="Times New Roman"/>
          <w:sz w:val="18"/>
          <w:szCs w:val="18"/>
          <w:color w:val="auto"/>
        </w:rPr>
        <w:t>For the twenty-six weeks ended August 1, 2020, all potential common shares were excluded from the diluted share calculation because they were anti-dilutive due to the net loss in the period. For the thirteen weeks ended August 1, 2020 and the thirteen and twenty-six weeks ended August 3, 2019, there were an immaterial number of additional shares issuable upon the vesting of restricted stock units that were excluded from the diluted share calculations because they were anti-dilutive.</w:t>
      </w:r>
    </w:p>
    <w:p>
      <w:pPr>
        <w:spacing w:after="0" w:line="20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August 1, 2020 and February 1, 2020, approximated their fair values.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August 1, 2020 and February 1, 2020 (in thousands):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95"/>
        </w:trPr>
        <w:tc>
          <w:tcPr>
            <w:tcW w:w="3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6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3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investments:</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3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foreign securities</w:t>
            </w:r>
          </w:p>
        </w:tc>
        <w:tc>
          <w:tcPr>
            <w:tcW w:w="3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3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80" w:right="1020" w:hanging="6"/>
        <w:spacing w:after="0" w:line="282" w:lineRule="auto"/>
        <w:tabs>
          <w:tab w:leader="none" w:pos="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 a money market fund that has a maturity of three months or less at the date of purchase. Due to its short maturity, the Company believes the carrying value approximates fair value.</w:t>
      </w:r>
    </w:p>
    <w:p>
      <w:pPr>
        <w:spacing w:after="0" w:line="8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 property, plant, and equipment and lease right-of-use assets, on a quarterly basis or whenever events or circumstances indicate that the carrying amount of an asset may not be recoverable. Store-level assets, including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$3.8 million in impairment charges for the twenty-six weeks ended August 1, 2020 related to store assets including property, plant, and equipment and lease right-of-use assets. There were no impairment charges recorded for the thirteen weeks ended August 1, 2020 and August 3, 2019 and the twenty-six weeks ended August 3, 2019. The Company is unable to predict the extent of the impact that the COVID-19 pandemic will have on its operations, the economy, or other factors; therefore, it is possible additional impairments could be identified in future periods, and such amounts could be material.</w:t>
      </w:r>
    </w:p>
    <w:p>
      <w:pPr>
        <w:spacing w:after="0" w:line="57"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lease right-of-use assets, as well as assets related to the Pura Vida acquisition including goodwill and intangible assets. These assets are measured at fair value if determined to be impaired. Although the Company determined that no impairment exists for its goodwill and intangible assets, the assets could be at risk for impairment should economic conditions continue to deteriorate as a result of COVID-19 or other factors. Refer to Note 12 herein for additional information on the methods used in the valuation of acquired intangible assets.</w:t>
      </w:r>
    </w:p>
    <w:p>
      <w:pPr>
        <w:spacing w:after="0" w:line="66"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30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660"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rFonts w:ascii="Times New Roman" w:cs="Times New Roman" w:eastAsia="Times New Roman" w:hAnsi="Times New Roman"/>
          <w:sz w:val="18"/>
          <w:szCs w:val="18"/>
          <w:b w:val="1"/>
          <w:bCs w:val="1"/>
          <w:color w:val="auto"/>
        </w:rPr>
      </w:pPr>
    </w:p>
    <w:p>
      <w:pPr>
        <w:ind w:left="6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67"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0" w:lineRule="exact"/>
        <w:rPr>
          <w:rFonts w:ascii="Times New Roman" w:cs="Times New Roman" w:eastAsia="Times New Roman" w:hAnsi="Times New Roman"/>
          <w:sz w:val="18"/>
          <w:szCs w:val="18"/>
          <w:b w:val="1"/>
          <w:bCs w:val="1"/>
          <w:color w:val="auto"/>
        </w:rPr>
      </w:pPr>
    </w:p>
    <w:p>
      <w:pPr>
        <w:jc w:val="both"/>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jc w:val="both"/>
        <w:ind w:left="660" w:right="300"/>
        <w:spacing w:after="0" w:line="266" w:lineRule="auto"/>
        <w:rPr>
          <w:sz w:val="20"/>
          <w:szCs w:val="20"/>
          <w:color w:val="auto"/>
        </w:rPr>
      </w:pPr>
      <w:r>
        <w:rPr>
          <w:rFonts w:ascii="Times New Roman" w:cs="Times New Roman" w:eastAsia="Times New Roman" w:hAnsi="Times New Roman"/>
          <w:sz w:val="18"/>
          <w:szCs w:val="18"/>
          <w:color w:val="auto"/>
        </w:rPr>
        <w:t>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1"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sz w:val="20"/>
          <w:szCs w:val="20"/>
          <w:color w:val="auto"/>
        </w:rPr>
      </w:pPr>
    </w:p>
    <w:p>
      <w:pPr>
        <w:ind w:left="660" w:right="120"/>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60" w:hanging="4"/>
        <w:spacing w:after="0" w:line="255"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90"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As of August 1, 2020 the Company had outstanding borrowings of $30.0 million and availability of $45.0 million under the Credit Agreement, compared to no borrowings outstanding and availability of $75.0 million as of February 1, 2020 under the Credit Agreement.</w:t>
      </w:r>
    </w:p>
    <w:p>
      <w:pPr>
        <w:spacing w:after="0" w:line="18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40" w:lineRule="exact"/>
        <w:rPr>
          <w:rFonts w:ascii="Times New Roman" w:cs="Times New Roman" w:eastAsia="Times New Roman" w:hAnsi="Times New Roman"/>
          <w:sz w:val="18"/>
          <w:szCs w:val="18"/>
          <w:b w:val="1"/>
          <w:bCs w:val="1"/>
          <w:color w:val="auto"/>
        </w:rPr>
      </w:pPr>
    </w:p>
    <w:p>
      <w:pPr>
        <w:ind w:left="660" w:right="4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August 1, 2020, was 51.1% compared to 26.0% for the thirteen weeks ended August 3, 2019. The year-over-year effective tax rate increase was primarily due to a change in the projection of the Company's annual income in the current fiscal quarter. This change resulted in the reversal of the impact from the net operating loss (“NOL”) carryback that was estimated in the first quarter as a result of the Coronavirus Aid, Relief, and Economic Security Act (“CARES Act”) that was enacted on March 27, 2020 in response to the COVID-19 pandemic.</w:t>
      </w:r>
    </w:p>
    <w:p>
      <w:pPr>
        <w:spacing w:after="0" w:line="49" w:lineRule="exact"/>
        <w:rPr>
          <w:rFonts w:ascii="Times New Roman" w:cs="Times New Roman" w:eastAsia="Times New Roman" w:hAnsi="Times New Roman"/>
          <w:sz w:val="18"/>
          <w:szCs w:val="18"/>
          <w:b w:val="1"/>
          <w:bCs w:val="1"/>
          <w:color w:val="auto"/>
        </w:rPr>
      </w:pPr>
    </w:p>
    <w:p>
      <w:pPr>
        <w:jc w:val="both"/>
        <w:ind w:left="660" w:right="2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twenty-six weeks ended August 1, 2020, was 16.5%, compared to 26.8% for the twenty-six weeks ended August 3, 2019. The year-over-year effective tax rate decrease was primarily due to the relative impact of permanent and discrete items in the current-year period compared to the prior-year period, primarily as a result of stock-based compensation.</w:t>
      </w:r>
    </w:p>
    <w:p>
      <w:pPr>
        <w:spacing w:after="0" w:line="29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6"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0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54"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August 1, 2020 and August 3, 2019, the Company did not grant time-based or performance-based restricted stock units.</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twenty-six weeks ended August 1, 2020, the Company granted 1,412,024 time-based and performance-based restricted stock units with an aggregate fair value of $5.8 million to certain employees and non-employee directors under the 2010 Equity and Incentive Plan compared</w:t>
      </w:r>
    </w:p>
    <w:p>
      <w:pPr>
        <w:ind w:left="660" w:right="3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407,264 time-based and performance-based restricted stock units with an aggregate fair value of $5.3 million in the same period of the prior year.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August 1, 2020 (units in thousands):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1, 2020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August 1,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As of August 1, 2020, there was $6.7 million of total unrecognized compensation cost, net of estimated forfeitures, related to nonvested restricted stock units. That cost is expected to be recognized over a weighted-average period of 2.1 years, subject to meeting performance conditions.</w:t>
      </w:r>
    </w:p>
    <w:p>
      <w:pPr>
        <w:spacing w:after="0" w:line="24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6"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18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 On March 20, 2020, the Company temporarily suspended the share repurchase program to conserve cash as a result of the COVID-19 pandemic.</w:t>
      </w:r>
    </w:p>
    <w:p>
      <w:pPr>
        <w:spacing w:after="0" w:line="58" w:lineRule="exact"/>
        <w:rPr>
          <w:rFonts w:ascii="Times New Roman" w:cs="Times New Roman" w:eastAsia="Times New Roman" w:hAnsi="Times New Roman"/>
          <w:sz w:val="18"/>
          <w:szCs w:val="18"/>
          <w:b w:val="1"/>
          <w:bCs w:val="1"/>
          <w:color w:val="auto"/>
        </w:rPr>
      </w:pPr>
    </w:p>
    <w:p>
      <w:pPr>
        <w:jc w:val="both"/>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381,835 shares at an average price of $7.60 per share, excluding commissions, for an aggregate amount of $2.9 million during the twenty-six weeks ended August 1, 2020, there was $32.9 million remaining available to repurchase shares of the Company's common stock under the 2018 Share Repurchase Program.</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August 1, 2020, the Company held as treasury shares 8,393,207 shares of its common stock at an average price of $12.76 per share, excluding commissions, for an aggregate carrying amount of $107.1 million. The Company’s treasury shares may be issued under the 2010 Equity and Incentive Plan or for other corporate purposes.</w:t>
      </w:r>
    </w:p>
    <w:p>
      <w:pPr>
        <w:spacing w:after="0" w:line="279" w:lineRule="exact"/>
        <w:rPr>
          <w:rFonts w:ascii="Times New Roman" w:cs="Times New Roman" w:eastAsia="Times New Roman" w:hAnsi="Times New Roman"/>
          <w:sz w:val="18"/>
          <w:szCs w:val="18"/>
          <w:b w:val="1"/>
          <w:bCs w:val="1"/>
          <w:color w:val="auto"/>
        </w:rPr>
      </w:pPr>
    </w:p>
    <w:p>
      <w:pPr>
        <w:ind w:left="660" w:right="9300" w:hanging="652"/>
        <w:spacing w:after="0" w:line="383" w:lineRule="auto"/>
        <w:tabs>
          <w:tab w:leader="none" w:pos="645"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w:t>
      </w:r>
      <w:r>
        <w:rPr>
          <w:rFonts w:ascii="Times New Roman" w:cs="Times New Roman" w:eastAsia="Times New Roman" w:hAnsi="Times New Roman"/>
          <w:sz w:val="17"/>
          <w:szCs w:val="17"/>
          <w:i w:val="1"/>
          <w:iCs w:val="1"/>
          <w:color w:val="auto"/>
        </w:rPr>
        <w:t>Cash Equivalents</w:t>
      </w:r>
    </w:p>
    <w:p>
      <w:pPr>
        <w:spacing w:after="0" w:line="1" w:lineRule="exact"/>
        <w:rPr>
          <w:rFonts w:ascii="Times New Roman" w:cs="Times New Roman" w:eastAsia="Times New Roman" w:hAnsi="Times New Roman"/>
          <w:sz w:val="17"/>
          <w:szCs w:val="17"/>
          <w:b w:val="1"/>
          <w:bCs w:val="1"/>
          <w:color w:val="auto"/>
        </w:rPr>
      </w:pPr>
    </w:p>
    <w:p>
      <w:pPr>
        <w:ind w:left="660" w:right="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Investments classified as cash equivalents relate to highly-liquid investments with a maturity of three months or less at the date of purchase. As of August 1, 2020 and February 1, 2020, these investments in the Company's portfolio consisted of a money market fund. The balance as of February 1, 2020 also included commercial paper.</w:t>
      </w:r>
    </w:p>
    <w:p>
      <w:pPr>
        <w:spacing w:after="0" w:line="38"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Short-Term Investments</w:t>
      </w:r>
    </w:p>
    <w:p>
      <w:pPr>
        <w:spacing w:after="0" w:line="105" w:lineRule="exact"/>
        <w:rPr>
          <w:rFonts w:ascii="Times New Roman" w:cs="Times New Roman" w:eastAsia="Times New Roman" w:hAnsi="Times New Roman"/>
          <w:sz w:val="17"/>
          <w:szCs w:val="17"/>
          <w:b w:val="1"/>
          <w:bCs w:val="1"/>
          <w:color w:val="auto"/>
        </w:rPr>
      </w:pPr>
    </w:p>
    <w:p>
      <w:pPr>
        <w:ind w:left="6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August 1, 2020 and February 1, 2020 short-term investments consisted of U.S. and non-U.S. corporate debt securities with a maturity within one year of the balance sheet date. The balance as of February 1, 2020 also included commercial paper, municipal securities, and U.S. asset-backed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61" w:lineRule="exact"/>
        <w:rPr>
          <w:rFonts w:ascii="Times New Roman" w:cs="Times New Roman" w:eastAsia="Times New Roman" w:hAnsi="Times New Roman"/>
          <w:sz w:val="17"/>
          <w:szCs w:val="17"/>
          <w:b w:val="1"/>
          <w:bCs w:val="1"/>
          <w:color w:val="auto"/>
        </w:rPr>
      </w:pPr>
    </w:p>
    <w:p>
      <w:pPr>
        <w:ind w:left="660" w:right="7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held $0.8 million and $9.0 million in short-term investments as of August 1, 2020 and February 1, 2020, respectively. The following table summarizes the Company's short-term investments (in thousands):</w:t>
      </w:r>
    </w:p>
    <w:p>
      <w:pPr>
        <w:spacing w:after="0" w:line="7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7"/>
        </w:trPr>
        <w:tc>
          <w:tcPr>
            <w:tcW w:w="6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3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7"/>
        </w:trPr>
        <w:tc>
          <w:tcPr>
            <w:tcW w:w="6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13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6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36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w:t>
            </w:r>
          </w:p>
        </w:tc>
      </w:tr>
      <w:tr>
        <w:trPr>
          <w:trHeight w:val="21"/>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9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As of August 1, 2020 and February 1, 2020, long-term investments consisted of U.S. and non-U.S. corporate debt securities with a maturity greater than one year from the balance sheet date. The balance as of February 1, 2020 also included U.S. and non-U.S. asset-backed securities and other foreign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62"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The Company held $0.7 million and $14.9 million in long-term investments as of August 1, 2020 and February 1, 2020, respectively. The following table summarizes the Company's long-term investments (in thousands):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13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7"/>
        </w:trPr>
        <w:tc>
          <w:tcPr>
            <w:tcW w:w="6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securities</w:t>
            </w:r>
          </w:p>
        </w:tc>
        <w:tc>
          <w:tcPr>
            <w:tcW w:w="136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7"/>
        </w:trPr>
        <w:tc>
          <w:tcPr>
            <w:tcW w:w="6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13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6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36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w:t>
            </w:r>
          </w:p>
        </w:tc>
      </w:tr>
      <w:tr>
        <w:trPr>
          <w:trHeight w:val="21"/>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gross unrealized gains or losses on available-for-sale debt securities as of August 1, 2020 and February 1, 2020.</w:t>
      </w:r>
    </w:p>
    <w:p>
      <w:pPr>
        <w:spacing w:after="0" w:line="32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Pura Vida</w:t>
      </w:r>
    </w:p>
    <w:p>
      <w:pPr>
        <w:spacing w:after="0" w:line="107" w:lineRule="exact"/>
        <w:rPr>
          <w:rFonts w:ascii="Times New Roman" w:cs="Times New Roman" w:eastAsia="Times New Roman" w:hAnsi="Times New Roman"/>
          <w:sz w:val="18"/>
          <w:szCs w:val="18"/>
          <w:b w:val="1"/>
          <w:bCs w:val="1"/>
          <w:color w:val="auto"/>
        </w:rPr>
      </w:pPr>
    </w:p>
    <w:p>
      <w:pPr>
        <w:ind w:left="66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70" w:lineRule="exact"/>
        <w:rPr>
          <w:rFonts w:ascii="Times New Roman" w:cs="Times New Roman" w:eastAsia="Times New Roman" w:hAnsi="Times New Roman"/>
          <w:sz w:val="18"/>
          <w:szCs w:val="18"/>
          <w:b w:val="1"/>
          <w:bCs w:val="1"/>
          <w:color w:val="auto"/>
        </w:rPr>
      </w:pPr>
    </w:p>
    <w:p>
      <w:pPr>
        <w:ind w:left="66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the thirteen and twenty-six weeks ended August 1, 2020. Pre-tax transaction costs totaled $1.9 million and $2.7 million for the thirteen and twenty-six weeks ended August 3, 2019, respectively. These costs are recorded within selling, general, and administrative expenses in the Condensed Consolidated Statements of Operations and within corporate unallocated expenses.</w:t>
      </w:r>
    </w:p>
    <w:p>
      <w:pPr>
        <w:spacing w:after="0" w:line="53"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in control of the Company, the parties may exercise a portion of their put and call rights prior to the fifth anniversary of the closing date (as defined in the Put/Call Agreement).</w:t>
      </w:r>
    </w:p>
    <w:p>
      <w:pPr>
        <w:spacing w:after="0" w:line="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schedule summarizes the consideration paid for Pura Vida, the fair value of the assets acquired and liabilities assumed, the fair value of the noncontrolling interest, and the fair value of the contingent consideration related to the earn-out provision. The accounting for the acquisition is complete.</w:t>
      </w:r>
    </w:p>
    <w:p>
      <w:pPr>
        <w:sectPr>
          <w:pgSz w:w="11900" w:h="16838" w:orient="portrait"/>
          <w:cols w:equalWidth="0" w:num="1">
            <w:col w:w="10880"/>
          </w:cols>
          <w:pgMar w:left="320" w:top="117" w:right="699" w:bottom="1440" w:gutter="0" w:footer="0" w:header="0"/>
        </w:sectPr>
      </w:pP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35560</wp:posOffset>
            </wp:positionV>
            <wp:extent cx="619760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179705"/>
                    </a:xfrm>
                    <a:prstGeom prst="rect">
                      <a:avLst/>
                    </a:prstGeom>
                    <a:noFill/>
                  </pic:spPr>
                </pic:pic>
              </a:graphicData>
            </a:graphic>
          </wp:anchor>
        </w:drawing>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-18415</wp:posOffset>
            </wp:positionV>
            <wp:extent cx="619760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3"/>
          <w:szCs w:val="23"/>
          <w:color w:val="auto"/>
          <w:vertAlign w:val="superscript"/>
        </w:rPr>
        <w:t>(1)</w:t>
      </w:r>
    </w:p>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19760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Operating right of use asset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61976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(2)</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Intangible asset, brand</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wp:posOffset>
            </wp:positionV>
            <wp:extent cx="619760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ind w:left="680"/>
        <w:spacing w:after="0" w:line="237" w:lineRule="auto"/>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(4)</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19760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97600" cy="137160"/>
                    </a:xfrm>
                    <a:prstGeom prst="rect">
                      <a:avLst/>
                    </a:prstGeom>
                    <a:noFill/>
                  </pic:spPr>
                </pic:pic>
              </a:graphicData>
            </a:graphic>
          </wp:anchor>
        </w:drawing>
      </w:r>
    </w:p>
    <w:p>
      <w:pPr>
        <w:spacing w:after="0" w:line="2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619760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Accrued employment costs</w:t>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Other accrued liabilities</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9760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34290</wp:posOffset>
            </wp:positionV>
            <wp:extent cx="619760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137160"/>
                    </a:xfrm>
                    <a:prstGeom prst="rect">
                      <a:avLst/>
                    </a:prstGeom>
                    <a:noFill/>
                  </pic:spPr>
                </pic:pic>
              </a:graphicData>
            </a:graphic>
          </wp:anchor>
        </w:drawing>
      </w:r>
    </w:p>
    <w:p>
      <w:pPr>
        <w:spacing w:after="0" w:line="2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35560</wp:posOffset>
            </wp:positionV>
            <wp:extent cx="619760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consideration related to earn-out provision</w:t>
      </w:r>
      <w:r>
        <w:rPr>
          <w:rFonts w:ascii="Times New Roman" w:cs="Times New Roman" w:eastAsia="Times New Roman" w:hAnsi="Times New Roman"/>
          <w:sz w:val="23"/>
          <w:szCs w:val="23"/>
          <w:color w:val="auto"/>
          <w:vertAlign w:val="superscript"/>
        </w:rPr>
        <w:t>(6)</w:t>
      </w:r>
    </w:p>
    <w:p>
      <w:pPr>
        <w:ind w:left="680"/>
        <w:spacing w:after="0"/>
        <w:rPr>
          <w:sz w:val="20"/>
          <w:szCs w:val="20"/>
          <w:color w:val="auto"/>
        </w:rPr>
      </w:pPr>
      <w:r>
        <w:rPr>
          <w:rFonts w:ascii="Times New Roman" w:cs="Times New Roman" w:eastAsia="Times New Roman" w:hAnsi="Times New Roman"/>
          <w:sz w:val="18"/>
          <w:szCs w:val="18"/>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21590</wp:posOffset>
            </wp:positionV>
            <wp:extent cx="619760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7600" cy="171450"/>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171450</wp:posOffset>
            </wp:positionV>
            <wp:extent cx="619760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97600" cy="196850"/>
                    </a:xfrm>
                    <a:prstGeom prst="rect">
                      <a:avLst/>
                    </a:prstGeom>
                    <a:noFill/>
                  </pic:spPr>
                </pic:pic>
              </a:graphicData>
            </a:graphic>
          </wp:anchor>
        </w:drawing>
      </w:r>
    </w:p>
    <w:p>
      <w:pPr>
        <w:spacing w:after="0" w:line="3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 xml:space="preserve">Total closing consideration amount, net of cash acquired </w:t>
      </w:r>
      <w:r>
        <w:rPr>
          <w:rFonts w:ascii="Times New Roman" w:cs="Times New Roman" w:eastAsia="Times New Roman" w:hAnsi="Times New Roman"/>
          <w:sz w:val="22"/>
          <w:szCs w:val="22"/>
          <w:color w:val="auto"/>
          <w:vertAlign w:val="superscript"/>
        </w:rPr>
        <w:t>(7)</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 Value at Acquisition</w:t>
      </w:r>
    </w:p>
    <w:p>
      <w:pPr>
        <w:spacing w:after="0" w:line="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43" w:lineRule="exact"/>
        <w:rPr>
          <w:sz w:val="20"/>
          <w:szCs w:val="20"/>
          <w:color w:val="auto"/>
        </w:rPr>
      </w:pPr>
    </w:p>
    <w:p>
      <w:pPr>
        <w:ind w:left="1080" w:hanging="1079"/>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1,495</w:t>
      </w:r>
    </w:p>
    <w:p>
      <w:pPr>
        <w:spacing w:after="0" w:line="63"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7,680</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27,654</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1,537</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1,250</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751</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44,254</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36,668</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24,996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10115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5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146,285</w:t>
      </w:r>
    </w:p>
    <w:p>
      <w:pPr>
        <w:spacing w:after="0" w:line="279"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6,818</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2,351</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6,637</w:t>
      </w:r>
    </w:p>
    <w:p>
      <w:pPr>
        <w:spacing w:after="0" w:line="6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10115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57"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17,443</w:t>
      </w:r>
    </w:p>
    <w:p>
      <w:pPr>
        <w:spacing w:after="0" w:line="200" w:lineRule="exact"/>
        <w:rPr>
          <w:sz w:val="20"/>
          <w:szCs w:val="20"/>
          <w:color w:val="auto"/>
        </w:rPr>
      </w:pPr>
    </w:p>
    <w:p>
      <w:pPr>
        <w:spacing w:after="0" w:line="34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(20,098)</w:t>
      </w:r>
    </w:p>
    <w:p>
      <w:pPr>
        <w:spacing w:after="0" w:line="6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(32,210)</w:t>
      </w:r>
    </w:p>
    <w:p>
      <w:pPr>
        <w:spacing w:after="0" w:line="6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(1,495)</w:t>
      </w:r>
    </w:p>
    <w:p>
      <w:pPr>
        <w:spacing w:after="0" w:line="293" w:lineRule="exact"/>
        <w:rPr>
          <w:sz w:val="20"/>
          <w:szCs w:val="20"/>
          <w:color w:val="auto"/>
        </w:rPr>
      </w:pPr>
    </w:p>
    <w:p>
      <w:pPr>
        <w:ind w:left="1000" w:hanging="99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60325</wp:posOffset>
            </wp:positionV>
            <wp:extent cx="1011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120" w:space="720"/>
            <w:col w:w="2040"/>
          </w:cols>
          <w:pgMar w:left="320" w:top="117" w:right="699" w:bottom="1440" w:gutter="0" w:footer="0" w:header="0"/>
          <w:type w:val="continuous"/>
        </w:sectPr>
      </w:pPr>
    </w:p>
    <w:p>
      <w:pPr>
        <w:ind w:left="680" w:right="1000" w:hanging="6"/>
        <w:spacing w:after="0" w:line="226"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$8.3 million step-up adjustment which was recognized in cost of sales within four months of the acquisition. Inventories were valued using the cost approach. The significant assumptions used for the valuation include inventory balances, projected gross and operating margins, and cost and time to dispose (sell) inventory on hand.</w:t>
      </w:r>
    </w:p>
    <w:p>
      <w:pPr>
        <w:spacing w:after="0" w:line="9"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14 herein for additional information regarding goodwill.</w:t>
      </w:r>
    </w:p>
    <w:p>
      <w:pPr>
        <w:spacing w:after="0" w:line="63" w:lineRule="exact"/>
        <w:rPr>
          <w:rFonts w:ascii="Times New Roman" w:cs="Times New Roman" w:eastAsia="Times New Roman" w:hAnsi="Times New Roman"/>
          <w:sz w:val="18"/>
          <w:szCs w:val="18"/>
          <w:color w:val="auto"/>
        </w:rPr>
      </w:pPr>
    </w:p>
    <w:p>
      <w:pPr>
        <w:ind w:left="680" w:right="800" w:hanging="6"/>
        <w:spacing w:after="0" w:line="266"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brand intangible asset was valued using the relief-from-royalty method. The significant assumptions used for the valuation include the royalty rate, estimated projected revenues, long-term growth rate, and the discount rate. Refer to Note 14 herein for additional information regarding intangible assets.</w:t>
      </w:r>
    </w:p>
    <w:p>
      <w:pPr>
        <w:spacing w:after="0" w:line="13" w:lineRule="exact"/>
        <w:rPr>
          <w:rFonts w:ascii="Times New Roman" w:cs="Times New Roman" w:eastAsia="Times New Roman" w:hAnsi="Times New Roman"/>
          <w:sz w:val="18"/>
          <w:szCs w:val="18"/>
          <w:color w:val="auto"/>
        </w:rPr>
      </w:pPr>
    </w:p>
    <w:p>
      <w:pPr>
        <w:ind w:left="680" w:right="560" w:hanging="6"/>
        <w:spacing w:after="0" w:line="258"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customer attrition rate. The non-competition agreements were valued using the with-or-without method. Significant assumptions used for the valuation include projected cash flows, probability of competition, impact of competition on business, and the discount rate. Refer to Note 14 herein for additional information regarding intangible assets.</w:t>
      </w:r>
    </w:p>
    <w:p>
      <w:pPr>
        <w:spacing w:after="0" w:line="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 million related to an indemnified liability.</w:t>
      </w:r>
    </w:p>
    <w:p>
      <w:pPr>
        <w:spacing w:after="0" w:line="36" w:lineRule="exact"/>
        <w:rPr>
          <w:rFonts w:ascii="Times New Roman" w:cs="Times New Roman" w:eastAsia="Times New Roman" w:hAnsi="Times New Roman"/>
          <w:sz w:val="18"/>
          <w:szCs w:val="18"/>
          <w:color w:val="auto"/>
        </w:rPr>
      </w:pPr>
    </w:p>
    <w:p>
      <w:pPr>
        <w:ind w:left="680" w:right="500" w:hanging="6"/>
        <w:spacing w:after="0" w:line="266" w:lineRule="auto"/>
        <w:tabs>
          <w:tab w:leader="none" w:pos="9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ind w:left="680" w:right="480" w:hanging="6"/>
        <w:spacing w:after="0" w:line="250" w:lineRule="auto"/>
        <w:tabs>
          <w:tab w:leader="none" w:pos="9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$75.0 million closing consideration, $1.0 million was refunded to the Company through a working capital adjustment during the first quarter of fiscal 2021. Cash consideration paid during fiscal 2020 totaled $76.0 million.</w:t>
      </w:r>
    </w:p>
    <w:p>
      <w:pPr>
        <w:sectPr>
          <w:pgSz w:w="11900" w:h="16838" w:orient="portrait"/>
          <w:cols w:equalWidth="0" w:num="1">
            <w:col w:w="10880"/>
          </w:cols>
          <w:pgMar w:left="320" w:top="117"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7" w:right="69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operations of Pura Vida are recorded in the Company's Condensed Consolidated Statements of Operations for the thirteen and twenty-six weeks ending August 1, 2020, and only for the period beginning on July 17, 2019 in the prior year, which represents the first full day following the acquisition. As such, the Company's financial statements are not comparable with the prior-year period presented. Refer to Note 16 herein for segment-level financial information associated with Pura Vida.</w:t>
      </w:r>
    </w:p>
    <w:p>
      <w:pPr>
        <w:spacing w:after="0" w:line="45"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The following pro forma financial information is intended to provide a sense for what the Company's operating results may have been if the Pura Vida acquisition had occurred at the beginning of fiscal 2019. 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spacing w:after="0" w:line="6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Definite-lived intangible amortization that exceeds one year has been reflected as if it occurred at the beginning of fiscal 2019;</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have been excluded; and</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has been estimated at an effective tax rate of 25.0%.</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5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0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0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00" w:type="dxa"/>
            <w:vAlign w:val="bottom"/>
          </w:tcPr>
          <w:p>
            <w:pPr>
              <w:spacing w:after="0"/>
              <w:rPr>
                <w:sz w:val="21"/>
                <w:szCs w:val="21"/>
                <w:color w:val="auto"/>
              </w:rPr>
            </w:pPr>
          </w:p>
        </w:tc>
        <w:tc>
          <w:tcPr>
            <w:tcW w:w="13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131,770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249,091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13,890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(loss) attributable to Vera</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Inc.</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12,403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70"/>
        </w:trPr>
        <w:tc>
          <w:tcPr>
            <w:tcW w:w="3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basic net income (loss) per share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to Vera Bradley, Inc.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diluted net income (loss) per share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to Vera Bradley, Inc.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35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 1 herein for additional information.</w:t>
      </w:r>
    </w:p>
    <w:p>
      <w:pPr>
        <w:spacing w:after="0" w:line="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redeemable noncontrolling interest for the thirteen and twenty-six weeks ended August 1, 2020, were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1, 2020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30,049</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r>
      <w:tr>
        <w:trPr>
          <w:trHeight w:val="27"/>
        </w:trPr>
        <w:tc>
          <w:tcPr>
            <w:tcW w:w="8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2,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38,858</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7"/>
        </w:trPr>
        <w:tc>
          <w:tcPr>
            <w:tcW w:w="8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redemption value</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r>
      <w:tr>
        <w:trPr>
          <w:trHeight w:val="27"/>
        </w:trPr>
        <w:tc>
          <w:tcPr>
            <w:tcW w:w="8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1,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29,654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Changes in redeemable noncontrolling interest for the thirteen and twenty-six weeks ended August 3, 2019, were as follows (in thousands):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 2019 and May 4, 2019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 at acquisition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31,786</w:t>
            </w:r>
          </w:p>
        </w:tc>
      </w:tr>
      <w:tr>
        <w:trPr>
          <w:trHeight w:val="27"/>
        </w:trPr>
        <w:tc>
          <w:tcPr>
            <w:tcW w:w="8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7"/>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31,650</w:t>
            </w:r>
          </w:p>
        </w:tc>
      </w:tr>
      <w:tr>
        <w:trPr>
          <w:trHeight w:val="27"/>
        </w:trPr>
        <w:tc>
          <w:tcPr>
            <w:tcW w:w="8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8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17" w:right="8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107" w:lineRule="exact"/>
        <w:rPr>
          <w:rFonts w:ascii="Times New Roman" w:cs="Times New Roman" w:eastAsia="Times New Roman" w:hAnsi="Times New Roman"/>
          <w:sz w:val="18"/>
          <w:szCs w:val="18"/>
          <w:b w:val="1"/>
          <w:bCs w:val="1"/>
          <w:color w:val="auto"/>
        </w:rPr>
      </w:pPr>
    </w:p>
    <w:p>
      <w:pPr>
        <w:ind w:left="6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w:t>
      </w:r>
    </w:p>
    <w:p>
      <w:pPr>
        <w:spacing w:after="0" w:line="7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4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14,299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14,923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51,591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200" w:lineRule="exact"/>
        <w:rPr>
          <w:sz w:val="20"/>
          <w:szCs w:val="20"/>
          <w:color w:val="auto"/>
        </w:rPr>
      </w:pP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4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19,637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56,305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21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weighted-average amortization period for the definite-lived intangible assets in total is 3.6 years. The weighted-average amortization period is 3.6 years and 5.0 years for customer relationships and non-competition agreements, respectively. The amortization expense for intangible assets is as follows (in thousands):</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 (remaining six months)</w:t>
            </w: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4,295</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4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3,073</w:t>
            </w: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3,073</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40" w:type="dxa"/>
            <w:vAlign w:val="bottom"/>
          </w:tcPr>
          <w:p>
            <w:pPr>
              <w:spacing w:after="0"/>
              <w:rPr>
                <w:sz w:val="21"/>
                <w:szCs w:val="21"/>
                <w:color w:val="auto"/>
              </w:rPr>
            </w:pPr>
          </w:p>
        </w:tc>
        <w:tc>
          <w:tcPr>
            <w:tcW w:w="1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3,073</w:t>
            </w:r>
          </w:p>
        </w:tc>
      </w:tr>
      <w:tr>
        <w:trPr>
          <w:trHeight w:val="27"/>
        </w:trPr>
        <w:tc>
          <w:tcPr>
            <w:tcW w:w="7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1,409</w:t>
            </w:r>
          </w:p>
        </w:tc>
      </w:tr>
      <w:tr>
        <w:trPr>
          <w:trHeight w:val="26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14,923</w:t>
            </w: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The total amount of the goodwill as of August 1, 2020, was $44.3 million recorded within the Pura Vida segment upon acquisition. Goodwill is expected to be deductible for tax purposes, limited to the Company's 75% majority ownership</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interest. Refer to Note 12 herein for addition information regarding goodwill. There were no changes to goodwill for the thirteen and twenty-six weeks ended August 1, 2020 and August 3, 2019.</w:t>
      </w:r>
    </w:p>
    <w:p>
      <w:pPr>
        <w:spacing w:after="0" w:line="135" w:lineRule="exact"/>
        <w:rPr>
          <w:sz w:val="20"/>
          <w:szCs w:val="20"/>
          <w:color w:val="auto"/>
        </w:rPr>
      </w:pPr>
    </w:p>
    <w:p>
      <w:pPr>
        <w:jc w:val="both"/>
        <w:ind w:left="660" w:right="340"/>
        <w:spacing w:after="0" w:line="266" w:lineRule="auto"/>
        <w:rPr>
          <w:sz w:val="20"/>
          <w:szCs w:val="20"/>
          <w:color w:val="auto"/>
        </w:rPr>
      </w:pPr>
      <w:r>
        <w:rPr>
          <w:rFonts w:ascii="Times New Roman" w:cs="Times New Roman" w:eastAsia="Times New Roman" w:hAnsi="Times New Roman"/>
          <w:sz w:val="18"/>
          <w:szCs w:val="18"/>
          <w:color w:val="auto"/>
        </w:rPr>
        <w:t>Future impacts of COVID-19, including but not limited to the duration and magnitude of the pandemic, may have an impact on the triggering event assessment or future fair value estimate of the goodwill, brand intangible asset, and definite-lived intangible assets, which could lead to material impairment charges. Refer to Note 5 herein for additional information regarding the fair value measurement.</w:t>
      </w:r>
    </w:p>
    <w:p>
      <w:pPr>
        <w:spacing w:after="0" w:line="37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were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95"/>
        </w:trPr>
        <w:tc>
          <w:tcPr>
            <w:tcW w:w="5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6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1,056</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122,550</w:t>
            </w:r>
          </w:p>
        </w:tc>
      </w:tr>
      <w:tr>
        <w:trPr>
          <w:trHeight w:val="27"/>
        </w:trPr>
        <w:tc>
          <w:tcPr>
            <w:tcW w:w="5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123,606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ind w:left="920" w:hanging="246"/>
        <w:spacing w:after="0"/>
        <w:tabs>
          <w:tab w:leader="none" w:pos="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solely to Pura Vida operations.</w:t>
      </w:r>
    </w:p>
    <w:p>
      <w:pPr>
        <w:spacing w:after="0" w:line="364" w:lineRule="exact"/>
        <w:rPr>
          <w:rFonts w:ascii="Times New Roman" w:cs="Times New Roman" w:eastAsia="Times New Roman" w:hAnsi="Times New Roman"/>
          <w:sz w:val="18"/>
          <w:szCs w:val="18"/>
          <w:color w:val="auto"/>
        </w:rPr>
      </w:pPr>
    </w:p>
    <w:p>
      <w:pPr>
        <w:ind w:left="700" w:hanging="692"/>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0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Beginning in the second quarter of fiscal 2020, the Company included an additional segment for Pura Vida due to its acquisition. As a result, 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8" w:lineRule="exact"/>
        <w:rPr>
          <w:sz w:val="20"/>
          <w:szCs w:val="20"/>
          <w:color w:val="auto"/>
        </w:rPr>
      </w:pPr>
    </w:p>
    <w:p>
      <w:pPr>
        <w:jc w:val="both"/>
        <w:ind w:left="660" w:right="28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54"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2,100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1"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August 1, 2020 and August 3, 2019, respectively, consisted of the following (in thousands):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Pr>
          <w:p>
            <w:pPr>
              <w:spacing w:after="0"/>
              <w:rPr>
                <w:sz w:val="12"/>
                <w:szCs w:val="12"/>
                <w:color w:val="auto"/>
              </w:rPr>
            </w:pP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300" w:type="dxa"/>
            <w:vAlign w:val="bottom"/>
          </w:tcPr>
          <w:p>
            <w:pPr>
              <w:spacing w:after="0"/>
              <w:rPr>
                <w:sz w:val="12"/>
                <w:szCs w:val="12"/>
                <w:color w:val="auto"/>
              </w:rPr>
            </w:pPr>
          </w:p>
        </w:tc>
        <w:tc>
          <w:tcPr>
            <w:tcW w:w="1260" w:type="dxa"/>
            <w:vAlign w:val="bottom"/>
          </w:tcPr>
          <w:p>
            <w:pPr>
              <w:jc w:val="right"/>
              <w:ind w:right="393"/>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VB Direct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81,233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94,380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VB Indirect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Pura Vida</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32,807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131,770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119,785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VB Direct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VB Indirect</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Pura Vida</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7"/>
        </w:trPr>
        <w:tc>
          <w:tcPr>
            <w:tcW w:w="3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33,744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28,757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2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33,744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28,757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twenty-six weeks ended August 1, 2020 and August 3, 2019. The following discussion should be read in conjunction with our Annual Report on Form 10-K for the fiscal year ended February 1, 2020, and our unaudited condensed consolidated financial statements and the related notes included in Item 1 of this Quarterly Report. The results of operations for the thirteen and twenty-six weeks ended August 1, 2020, are not necessarily indicative of the results to be expected for the full fiscal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COVID-19 pandemic resulted in travel restrictions both domestically and internationally, community and self-quarantines, certain factory closures or reduced operations, as well as mall closures and reduced mall operating hours during the first and second quarters of fiscal 2021. Although the Vera Bradley and Pura Vida e-commerce operations remained open, the aforementioned items had a material adverse impact on overall consumer demand, traffic, and sales. We cannot currently predict the extent that COVID-19 will impact our future liquidity, operating results, and financial condition of the Company, but it could have a significant adverse effect on these metrics. Beginning in mid-March 2020, we began taking several actions to navigate the COVID-19 pandemic, protect our financial position, maximize our liquidity, and to position the Company for a strong reopening and future. These actions included:</w:t>
      </w:r>
    </w:p>
    <w:p>
      <w:pPr>
        <w:spacing w:after="0" w:line="6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closing all Vera Bradley store locations on March 19;</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furloughing approximately 80% of our workforce mid first quarter;</w:t>
      </w:r>
    </w:p>
    <w:p>
      <w:pPr>
        <w:spacing w:after="0" w:line="10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reducing base compensation for remaining salaried associates, with reductions on a graduated scale ranging from 15% to 30%, and 75% for our Chief Executive Officer;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suspending cash compensation to our Board of Directors;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suspending our share repurchase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 $60.0 million of our $75.0 million Credit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eliminating the Company 401(k) and associate charitable contribution matches;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Tightly managing inventory levels through the cancellation of purchase orders, delay of receipts, or seeking price concessions where possible;</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working with landlords on addressing rent abatement, payment terms, accelerating store closures, and delaying or cancelling certain planned new store openings;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non-payroll operating expenses, including but not limited to, marketing and travel;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vendor payment terms.</w:t>
      </w:r>
    </w:p>
    <w:p>
      <w:pPr>
        <w:spacing w:after="0" w:line="34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During the second quarter, we began to open our temporarily closed Vera Bradley retail stores albeit with reduced staffing, hours, and capacity limitations; brought back the majority of associates from furlough; began to reinstate portions of the base compensation reductions; and paid back $30.0 million of our $60.0 million borrowing under our Credit Agreement. We continued to reduce operating expenses, work with landlords on rent abatement and payment terms, and carefully manage our inventory levels and non-payroll operating expenses, which helped in the achievement of expense leverage during the quarter.</w:t>
      </w:r>
    </w:p>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is leveraging elements of the Coronavirus Aid Relief and Economic Security (CARES) Act to enhance the financial well-being of associates and to maximize the financial health of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Reopening Vera Bradley Retail Stores</w:t>
      </w:r>
    </w:p>
    <w:p>
      <w:pPr>
        <w:spacing w:after="0" w:line="10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May 5, 2020, we began to open our Vera Bradley retail stores in a phased approach, with 58 out of 82 full-line stores and 64 out of 65 factory stores open as of the end of June 2020. All factory stores and all but three full line stores were opened as of the end of the second quarter, although with reduced hours, lower staffing levels, and greatly enhanced safety protocols.</w:t>
      </w:r>
    </w:p>
    <w:p>
      <w:pPr>
        <w:spacing w:after="0" w:line="4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While we are making no assumptions of future performance based upon a limited number of days of sales data, the 133 existing stores that have been opened for the entire month of fiscal July, generated revenues, in the aggregate, of approximately 70% of the prior year’s sales. While traffic is generally down, conversion and units per transaction are up. Second quarter Vera Bradley e-commerce revenues increased over the comparable-prior year period. The sales of cotton face masks helped to drive revenues at Vera Bradley.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second quarter of fiscal 2021:</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108"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COVID-19 has significantly impacted our Vision 20/20 goal of robust growth. However, despite the COVID-19 situation, we remain focused on our core Vision 20/20 strategies of enhancing our brands and long-term growth through heightened customer engagement and continued product innovation while navigating through the crisis.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Vera Bradley, we launched our Vera Bradley + Harry Potter collaboration in July with an exclusive Home to Hogwarts pattern and select pieces also available in solid corduroy; expanded manufacturing and distribution of masks, as well as added different styles, sizes, patterns, and solids; and introduced our second Gillette Venus collaboration distributed through Target in July. In early August, we migrated our e-commerce site to the cloud-based Shopify Plus platform. Subsequent to the second quarter, cloud-based Microsoft D365 replaced our existing ERP, POS, Business Intelligence, and Order Management systems, streamlining and simplifying our work and providing for additional capabilities such as mobile POS. We also continued to see success in our data-driven marketing and data science and were able to quickly adjust marketing spending into different product categories due to the changes in consumer demand related to COVID-19.</w:t>
      </w:r>
    </w:p>
    <w:p>
      <w:pPr>
        <w:spacing w:after="0" w:line="63"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At Pura Vida, we had several product introductions during the second quarter including our Pride and Mother's Day bracelets, hair accessories, daisy seed bead jewelry, kitten earring, and alphabet bead bracelets; partnered with Vera Bradley to create a limited-edition face mask; continued to add to our charity charm bracelets that were introduced earlier this year; and continued to expand "above the keyboard" items including necklaces and earrings.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second quarter of fiscal 2020)</w:t>
      </w:r>
    </w:p>
    <w:p>
      <w:pPr>
        <w:spacing w:after="0" w:line="94"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10.0% to $131.8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decreased 13.9% to $81.2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segment (“VB Indirect”) sales decreased 11.4% to $17.7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segment sales were $32.8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$79.6 million, or 60.4% of net revenue.</w:t>
      </w:r>
    </w:p>
    <w:p>
      <w:pPr>
        <w:spacing w:after="0" w:line="10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$17.5 million and net income attributable to Vera Bradley, Inc. was $7.2 million. Operating income included intangible asset amortization related to the Pura Vida acquisition of $2.3 million and $1.3 million of charges related to the Company's technology-related re-platforming.</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$2.0 million.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investments were $77.1 million at August 1, 2020.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and through the distribution of Pura Vida-branded products to wholesale retailers.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Pura Vida e-commerce operations are not currently included within comparable sales, but will be considered comparable sales once reflected in the Company’s operations for 12 full fiscal months.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w:t>
      </w:r>
    </w:p>
    <w:p>
      <w:pPr>
        <w:spacing w:after="0" w:line="63"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8"/>
          <w:szCs w:val="18"/>
          <w:color w:val="auto"/>
        </w:rPr>
        <w:t>However, as a result of the temporary closure of all Vera Bradley stores due to COVID-19, the Company's fiscal 2021 second quarter and year-to-date comparable store sales and comparable sales calculations are not meaningful and therefore are not provided for the current-year second quarter and six months.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to evaluate how our store base and e-commerce operations are performing.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factors affect our comparable sales, including:</w:t>
      </w:r>
    </w:p>
    <w:p>
      <w:pPr>
        <w:spacing w:after="0" w:line="7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includes certain legal settlements, proceeds from the sales of tickets to our annual outlet sale, and sales tax credits received for timely filings. In addition, we support many of our Indirect retailers’ marketing efforts by distributing certain</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(loss) is equal to gross profit less SG&amp;A expenses plus other income. Operating income (loss) excludes interest income, interest expense, and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equal to operating income (loss) plus interest income less interest expense and income taxes.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Redeemable Noncontrolling Interest</w:t>
      </w:r>
    </w:p>
    <w:p>
      <w:pPr>
        <w:spacing w:after="0" w:line="1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redeemable noncontrolling interest represents the operating results of Pura Vida that are not attributable to Vera Bradley,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Vera Bradley,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Vera Bradley, Inc. is equal to net income (loss) less net income (loss) attributable to redeemable noncontrolling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Acquisition</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the thirteen and twenty-six weeks ended August 1, 2020. Pre-tax transaction costs totaled $1.9 million and $2.7 million for the thirteen and twenty-six weeks ended August 3, 2019, respectively. These costs are recorded within selling, general, and administrative expenses in the Condensed Consolidated Statements of Operations and within corporate unallocated expenses.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Pura Vida has been fully consolidated within our financial statements beginning on July 17, 2019, the first full day following the acquisition. Pura Vida was also added as a reportable segment as a result of the acquisition. Refer to Note 12 to the Notes to the Condensed Consolidated Financial Statements herein for additional information regarding the Pura Vida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$3.8 million were recognized during the twenty-six weeks ended August 1, 2020, for property, plant, and equipment and lease right-of-use assets related to underperforming stores and are included in selling, general, and administrative expenses in the Condensed Consolidated Statements of Operations and in impairment charges in the Condensed Consolidated Statements of Cash Flows. The impairment charges are included in the Direct segment. There were no impairment charges recorded during the thirteen weeks ended August 1, 2020 or during the thirteen and twenty-six weeks ended August 1, 2019. The COVID-19 pandemic, including the temporary closure of Vera Bradley retail stores beginning in mid-March,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significantly impacted the Company's operations and cash flows which was the main driver of the impairment charges. We are unable to predict the extent of the impact that the COVID-19 pandemic will have on our operations, the economy, or other factors; therefore, it is possible additional impairments could be identified in future periods, and such amounts could be material.</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and may be material.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180" w:type="dxa"/>
            <w:vAlign w:val="bottom"/>
            <w:tcBorders>
              <w:bottom w:val="single" w:sz="8" w:color="auto"/>
            </w:tcBorders>
          </w:tcPr>
          <w:p>
            <w:pPr>
              <w:spacing w:after="0"/>
              <w:rPr>
                <w:sz w:val="16"/>
                <w:szCs w:val="16"/>
                <w:color w:val="auto"/>
              </w:rPr>
            </w:pPr>
          </w:p>
        </w:tc>
      </w:tr>
      <w:tr>
        <w:trPr>
          <w:trHeight w:val="149"/>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80" w:type="dxa"/>
            <w:vAlign w:val="bottom"/>
          </w:tcPr>
          <w:p>
            <w:pPr>
              <w:spacing w:after="0"/>
              <w:rPr>
                <w:sz w:val="12"/>
                <w:szCs w:val="12"/>
                <w:color w:val="auto"/>
              </w:rPr>
            </w:pPr>
          </w:p>
        </w:tc>
      </w:tr>
      <w:tr>
        <w:trPr>
          <w:trHeight w:val="194"/>
        </w:trPr>
        <w:tc>
          <w:tcPr>
            <w:tcW w:w="4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131,770</w:t>
            </w:r>
          </w:p>
        </w:tc>
        <w:tc>
          <w:tcPr>
            <w:tcW w:w="6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119,785</w:t>
            </w:r>
          </w:p>
        </w:tc>
        <w:tc>
          <w:tcPr>
            <w:tcW w:w="5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201,054</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92,987</w:t>
            </w:r>
          </w:p>
        </w:tc>
        <w:tc>
          <w:tcPr>
            <w:tcW w:w="180" w:type="dxa"/>
            <w:vAlign w:val="bottom"/>
          </w:tcPr>
          <w:p>
            <w:pPr>
              <w:spacing w:after="0"/>
              <w:rPr>
                <w:sz w:val="21"/>
                <w:szCs w:val="2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115,042</w:t>
            </w:r>
          </w:p>
        </w:tc>
        <w:tc>
          <w:tcPr>
            <w:tcW w:w="1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80" w:type="dxa"/>
            <w:vAlign w:val="bottom"/>
            <w:tcBorders>
              <w:top w:val="single" w:sz="8" w:color="auto"/>
            </w:tcBorders>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80" w:type="dxa"/>
            <w:vAlign w:val="bottom"/>
            <w:tcBorders>
              <w:top w:val="single" w:sz="8" w:color="auto"/>
            </w:tcBorders>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80" w:type="dxa"/>
            <w:vAlign w:val="bottom"/>
            <w:tcBorders>
              <w:top w:val="single" w:sz="8" w:color="auto"/>
            </w:tcBorders>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6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7"/>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80" w:type="dxa"/>
            <w:vAlign w:val="bottom"/>
            <w:tcBorders>
              <w:top w:val="single" w:sz="8" w:color="auto"/>
            </w:tcBorders>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1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7"/>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21"/>
                <w:szCs w:val="21"/>
                <w:color w:val="auto"/>
              </w:rPr>
            </w:pPr>
          </w:p>
        </w:tc>
        <w:tc>
          <w:tcPr>
            <w:tcW w:w="16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redeemable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8"/>
        </w:trPr>
        <w:tc>
          <w:tcPr>
            <w:tcW w:w="4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81,233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94,380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118,070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165,516</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17,730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20,017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28,959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39,884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32,807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5,388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54,025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131,770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119,785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201,054</w:t>
            </w:r>
          </w:p>
        </w:tc>
        <w:tc>
          <w:tcPr>
            <w:tcW w:w="10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210,788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22,822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22,137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30,497</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6,477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7,162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14,869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(16,245)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(21,409)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(32,809)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(41,121)</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17,499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7,348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by Segment: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increase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389,144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391,819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389,144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391,819</w:t>
            </w:r>
          </w:p>
        </w:tc>
        <w:tc>
          <w:tcPr>
            <w:tcW w:w="0" w:type="dxa"/>
            <w:vAlign w:val="bottom"/>
          </w:tcPr>
          <w:p>
            <w:pPr>
              <w:spacing w:after="0"/>
              <w:rPr>
                <w:sz w:val="1"/>
                <w:szCs w:val="1"/>
                <w:color w:val="auto"/>
              </w:rPr>
            </w:pPr>
          </w:p>
        </w:tc>
      </w:tr>
      <w:tr>
        <w:trPr>
          <w:trHeight w:val="312"/>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560" w:hanging="552"/>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27" w:lineRule="exact"/>
        <w:rPr>
          <w:rFonts w:ascii="Times New Roman" w:cs="Times New Roman" w:eastAsia="Times New Roman" w:hAnsi="Times New Roman"/>
          <w:sz w:val="18"/>
          <w:szCs w:val="18"/>
          <w:color w:val="auto"/>
        </w:rPr>
      </w:pPr>
    </w:p>
    <w:p>
      <w:pPr>
        <w:ind w:left="580" w:hanging="572"/>
        <w:spacing w:after="0" w:line="250" w:lineRule="auto"/>
        <w:tabs>
          <w:tab w:leader="none" w:pos="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temporary closure of Vera Bradley stores due to COVID-19, the Company's fiscal 2021 second quarter and year-to-date comparable store sales and comparable sales calculations were not meaningful and therefore were not provided. Comparable sales are calculated based upon Vera Bradley stores that have been open for at least 12 full fiscal months and net revenues from our Vera Bradley e-commerce operations. Pura Vida e-commerce operations are not currently included within comparable sales. Increase or decrease is reported as a percentage of the comparable sales for the same period in the prior fiscal year. Remodeled stores are included in comparable sales unless the store was closed for more than one week of the current or comparable prior period, in which case the non-comparable temporary closure periods are not included, or the remodel resulted in a significant change in square footage.</w:t>
      </w:r>
    </w:p>
    <w:p>
      <w:pPr>
        <w:spacing w:after="0" w:line="2" w:lineRule="exact"/>
        <w:rPr>
          <w:rFonts w:ascii="Times New Roman" w:cs="Times New Roman" w:eastAsia="Times New Roman" w:hAnsi="Times New Roman"/>
          <w:sz w:val="18"/>
          <w:szCs w:val="18"/>
          <w:color w:val="auto"/>
        </w:rPr>
      </w:pPr>
    </w:p>
    <w:p>
      <w:pPr>
        <w:ind w:left="580" w:right="20" w:hanging="572"/>
        <w:spacing w:after="0" w:line="260" w:lineRule="auto"/>
        <w:tabs>
          <w:tab w:leader="none" w:pos="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580" w:right="40"/>
        <w:spacing w:after="0" w:line="266" w:lineRule="auto"/>
        <w:rPr>
          <w:sz w:val="20"/>
          <w:szCs w:val="20"/>
          <w:color w:val="auto"/>
        </w:rPr>
      </w:pPr>
      <w:r>
        <w:rPr>
          <w:rFonts w:ascii="Times New Roman" w:cs="Times New Roman" w:eastAsia="Times New Roman" w:hAnsi="Times New Roman"/>
          <w:sz w:val="18"/>
          <w:szCs w:val="18"/>
          <w:color w:val="auto"/>
        </w:rPr>
        <w:t>those stores. Remodeled stores are included in average net revenues per gross square foot unless the store was closed for a portion of the period. As a result of the temporary closure of Vera Bradley stores due to COVID-19, the Company's fiscal 2021 second quarter and year-to-date average net revenues per gross square foot calculations were not meaningful and therefore were not provided.</w:t>
      </w:r>
    </w:p>
    <w:p>
      <w:pPr>
        <w:spacing w:after="0" w:line="212" w:lineRule="exact"/>
        <w:rPr>
          <w:sz w:val="20"/>
          <w:szCs w:val="20"/>
          <w:color w:val="auto"/>
        </w:rPr>
      </w:pPr>
    </w:p>
    <w:p>
      <w:pPr>
        <w:ind w:right="420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Thirteen Weeks Ended August 1, 2020, Compared to Thirteen Weeks Ended August 3, 2019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2020, net revenues increased $12.0 million, or 10.0%, to $131.8 million, from $119.8 million in the comparable prior-year period.</w:t>
      </w:r>
    </w:p>
    <w:p>
      <w:pPr>
        <w:spacing w:after="0" w:line="10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1, 2020, net revenues in the VB Direct segment decreased $13.2 million, or 13.9%, to $81.2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$94.4 million in the comparable prior-year period. The decline primarily resulted from the Company’s stores that were temporarily closed as a result of COVID-19 during the quarter and lower traffic and sales as they reopened with reduced staffing, hours, and capacity. This decline was partially offset by second quarter Vera Bradley e-commerce sales which increased 99.1% over the comparable period in the prior-year.</w:t>
      </w:r>
    </w:p>
    <w:p>
      <w:pPr>
        <w:spacing w:after="0" w:line="12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1, 2020, net revenues in the VB Indirect segment decreased $2.3 million, or 11.4%, to $17.7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$20.0 million in the comparable prior-year period. The decline was primarily due to a reduction in orders from specialty, department stores and other key accounts, largely related to COVID-19, as well as a reduction in the number of specialty and department store accounts.</w:t>
      </w:r>
    </w:p>
    <w:p>
      <w:pPr>
        <w:spacing w:after="0" w:line="12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August 1, 2020, net revenues in the Pura Vida segment were $32.8 million compared to $5.4 million for the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the prior year. Refer to Note 12 to the Notes to the Condensed Consolidated Financial Statements herein for additional information regarding the Pura Vida acquisition.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thirteen weeks ended August 1, 2020, gross profit increased $12.3 million, or 18.2%, to $79.6 million, from $67.3 million in the comparable prior-year period. As a percentage of net revenues, gross profit increased to 60.4% for the thirteen weeks ended August 1, 2020, from 56.2% in the comparable prior-year period. The increase as a percentage of net revenues was primarily due to mask sales, product collaborations, inventory management, and controlled promotional activity.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8"/>
          <w:szCs w:val="18"/>
          <w:color w:val="auto"/>
        </w:rPr>
        <w:t>For the thirteen weeks ended August 1, 2020, SG&amp;A expenses increased $1.5 million, or 2.3%, to $62.2 million, from $60.7 million in the comparable prior-year period. As a percentage of net revenues, SG&amp;A expenses decreased to 47.2% for the thirteen weeks ended August 1, 2020, from 50.7% in the comparable prior-year period. SG&amp;A expenses related to Vera Bradley and corporate unallocated were $46.4 million compared to $57.9 million in the comparable prior-year period. SG&amp;A expenses related to Pura Vida were $15.8 million compared to $2.8 million in the partial period of the prior-year. The increase in consolidated SG&amp;A expenses for the thirteen weeks ended August 1, 2020 was primarily due to incremental Pura Vida operating expenses of $11.1 million, as well as incremental amortization of intangible assets associated with the Pura Vida acquisition of $1.9 million. These charges were partially offset by Vera Bradley initiatives to reduce expenses in light of COVID-19 including temporarily reducing the base compensation for salaried associates; certain expense reductions associated with the CARES Act; the temporary furlough of certain associates during the quarter; and reducing other non-payroll expenses including marketing, professional fees, travel, and retail store rent. There was also $1.9 million related to Pura Vida transaction costs in the prior-year period that did not recur in the current-year period. SG&amp;A expenses as a percentage of net revenues decreased primarily due to expense leverage associated with the aforementioned expense savings.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2020, other income decreased $0.7 million to $33.0 thousand compared to $0.8 million in the comparable prior-year period. The decrease in other income was primarily due to a legal settlement in the prior-year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thirteen weeks ended August 1, 2020, operating income increased $10.2 million to $17.5 million in the current-year period, from $7.3 million in the comparable prior-year period. As a percentage of net revenues, operating income was 13.3% and 6.1% for the thirteen weeks ended August 1, 2020 and August 3, 2019, respectively. Operating income increased due to the factors described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1, 2020, operating income in the VB Direct segment increased $0.7 million, to $22.8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 of $22.1 million in the comparable prior-year period. As a percentage of VB Direct segment net revenues, operating income in the VB Direct segment was 28.1% and 23.5% for the thirteen weeks ended August 1, 2020 and August 3, 2019, respectively. The increase in operating income as a percentage of VB Direct segment net revenues was primarily due to an increase in gross margin as a percentage of net revenues as described above and SG&amp;A expense leverage associated with the aforementioned expense savings.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1, 2020, operating income in the VB Indirect segment decreased $0.7 million, or 9.6%, to $6.5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$7.2 million in the comparable prior-year period. As a percentage of VB Indirect segment net revenues, operating income in the VB Indirect segment was 36.5% and 35.8% for the thirteen weeks ended August 1, 2020 and August 3, 2019, respectively. The increase in operating income as a percentage of VB Indirect segment net revenues was primarily due to an increase in gross margin as a percentage of net revenues, partially offset by an increase in the bad debt provision.</w:t>
      </w:r>
    </w:p>
    <w:p>
      <w:pPr>
        <w:spacing w:after="0" w:line="12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August 1, 2020, operating income in the Pura Vida segment was $4.4 million, or 13.5% of Pura Vida segment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compared to an operating loss of $(0.5) million, or (10.1)% for the partial prior-year period. The current-year operating results included</w:t>
      </w:r>
    </w:p>
    <w:p>
      <w:pPr>
        <w:ind w:right="300"/>
        <w:spacing w:after="0" w:line="255" w:lineRule="auto"/>
        <w:rPr>
          <w:sz w:val="20"/>
          <w:szCs w:val="20"/>
          <w:color w:val="auto"/>
        </w:rPr>
      </w:pPr>
      <w:r>
        <w:rPr>
          <w:rFonts w:ascii="Times New Roman" w:cs="Times New Roman" w:eastAsia="Times New Roman" w:hAnsi="Times New Roman"/>
          <w:sz w:val="18"/>
          <w:szCs w:val="18"/>
          <w:color w:val="auto"/>
        </w:rPr>
        <w:t>$2.3 million of intangible asset amortization expense. The prior-year period included $1.0 million of inventory step-up amortization and $0.4 million of intangible asset amortization. Refer to Note 12 to the Notes to the Condensed Consolidated Financial Statements herein for additional information regarding the Pura Vida acquisition.</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August 1, 2020, unallocated expenses decreased $5.2 million, or 24.1%, to $16.2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$21.4 million in the comparable prior-year period. The decrease in unallocated expenses was primarily due to initiatives to reduce expenses in light of COVID-19 including the temporary furlough of certain associates; temporarily reducing the base compensation for salaried associates; and reducing other non-payroll expenses including marketing, professional fees, and travel. There were also $1.9 million of Pura Vida transaction costs in the prior-year period that did not recur in the current-year period.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1, 2020, was 51.1%, compared to 26.0% for the thirteen weeks ended August 3, 2019. The year-over year effective tax rate increase was primarily due to a change in the projection of the Company's annual income in the current fiscal quarter. This change resulted in the reversal of the impact from the net operating loss (“NOL”) carryback that was estimated in the first quarter as a result of the Coronavirus Aid, Relief, and Economic Security Act (“CARES Act”) that was enacted on March 27, 2020 in response to the COVID-19 pandemic.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2020, net income increased $2.6 million to $8.3 million from $5.7 million in the comparable prior-year period due to the factors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Redeemable Noncontrolling Interest</w:t>
      </w:r>
    </w:p>
    <w:p>
      <w:pPr>
        <w:spacing w:after="0" w:line="1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thirteen weeks ended August 1, 2020, net income attributable to redeemable noncontrolling interest was $1.1 million compared to net loss attributable to redeemable noncontrolling interest of $(0.1) million in the comparable prior-year period. This represents the allocation of the Pura Vida net income (loss) to the noncontrolling interest. The net income (loss) was due to the factors described above in the Pura Vida operating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1, 2020, net income attributable to Vera Bradley, Inc. increased $1.3 million to $7.2 million from $5.9 million in the comparable prior-year period due to the factors described above.</w:t>
      </w:r>
    </w:p>
    <w:p>
      <w:pPr>
        <w:spacing w:after="0" w:line="198" w:lineRule="exact"/>
        <w:rPr>
          <w:sz w:val="20"/>
          <w:szCs w:val="20"/>
          <w:color w:val="auto"/>
        </w:rPr>
      </w:pPr>
    </w:p>
    <w:p>
      <w:pPr>
        <w:ind w:right="380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Twenty-Six Weeks Ended August 1, 2020, Compared to Twenty-Six Weeks Ended August 3, 2019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1, 2020, net revenues decreased $9.7 million, or 4.6%, to $201.1 million, from $210.8 million in the comparable prior-year period.</w:t>
      </w:r>
    </w:p>
    <w:p>
      <w:pPr>
        <w:spacing w:after="0" w:line="10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1, 2020, net revenues in the VB Direct segment decreased $47.4 million, or 28.7%, to $118.1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$165.5 million in the comparable prior-year period. The decline primarily resulted from the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Company’s stores that were temporarily closed as a result of COVID-19 and lower traffic and sales as they reopened with reduced staffing, hours, and capacity, as well as the COVID-19-related cancellation of our annual outlet sale which typically occurs in April. This decline was partially offset by current-year period Vera Bradley e-commerce sales which increased 64.9% over the comparable period in the prior-year.</w:t>
      </w:r>
    </w:p>
    <w:p>
      <w:pPr>
        <w:spacing w:after="0" w:line="121"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1, 2020, net revenues in the VB Indirect segment decreased $10.9 million, or 27.4%, to $29.0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$39.9 million in the comparable prior-year period. The decline was primarily due to a reduction in orders from specialty, department stores and other key accounts, largely related to COVID-19, as well as a reduction in the number of specialty and department store accounts.</w:t>
      </w:r>
    </w:p>
    <w:p>
      <w:pPr>
        <w:spacing w:after="0" w:line="120"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August 1, 2020, net revenues in the Pura Vida segment were $54.0 million compared to $5.4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 period of the prior-year. Refer to Note 12 to the Notes to the Condensed Consolidated Financial Statements herein for additional information regarding the Pura Vida acquisition.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twenty-six weeks ended August 1, 2020, gross profit decreased $4.0 million, or 3.4%, to $113.8 million, from $117.8 million in the comparable prior-year period. As a percentage of net revenues, gross profit increased to 56.6% for the twenty-six weeks ended August 1, 2020, from 55.9% in the comparable prior-year period. Charges for the cancellation of certain purchase orders due to COVID-19 in the current-year totaled $1.3 million and negatively impacted gross margin as a percentage of net revenues by 0.7%. The prior-year period included $1.0 million of inventory step-up amortization related to the Pura Vida acquisition that negatively impacted gross margin as a percentage of net revenues by 0.5%. The remaining increase as a percentage of net revenues was primarily due to mask sales, product collaborations, inventory management, and controlled promotional activity.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For the twenty-six weeks ended August 1, 2020, SG&amp;A expenses increased $6.9 million, or 6.0%, to $121.9 million, from $115.0 million in the comparable prior-year period. As a percentage of net revenues, SG&amp;A expenses increased to 60.6% for the twenty-six weeks ended August 1, 2020, from 54.6% in the comparable prior-year period. SG&amp;A expenses related to Vera Bradley and corporate unallocated were $93.5 million compared to</w:t>
      </w:r>
    </w:p>
    <w:p>
      <w:pPr>
        <w:spacing w:after="0" w:line="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$112.2 million in the comparable prior-year period. SG&amp;A expenses related to Pura Vida were $28.4 million compared to $2.8 million in the partial period of the prior-year. The increase in consolidated SG&amp;A expenses for the twenty-six weeks ended August 1, 2020 was primarily due to incremental Pura Vida operating expenses of $21.3 million; Vera Bradley store impairment charges of $3.8 million; incremental amortization of intangible assets associated with the Pura Vida acquisition of $4.3 million; and an incremental $2.1 million of certain professional fees and accelerated depreciation charges related to the Vera Bradley information technology re-platforming. These charges were partially offset by Vera Bradley initiatives to reduce expenses in light of COVID-19 including the temporary furlough of certain associates; temporarily reducing the base compensation for all other salaried associates; certain expense reductions associated with the CARES Act; and reducing other non-payroll expenses including marketing, professional fees, travel, and rent. In addition, there was a reduction in incentive compensation expense as a result of Company performance driven by COVID-19. SG&amp;A expenses as a percentage of net revenues increased primarily due to the aforementioned items, as well as SG&amp;A expense de-leverage associated with decreased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0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1, 2020, other income decreased $0.9 million to $53.0 thousand compared to $0.9 million in the comparable prior-year period. The decrease in other income was primarily due to outlet sale ticket sales not received in the current-year period due to the cancellation of our 2020 annual outlet sale as a result of COVID-19, as well as a legal settlement received in the prior-year period that did not recur in the current-year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1, 2020, operating loss increased $11.8 million to $(8.1) million in the current-year period, from operating income of $3.7 million in the comparable prior-year period. As a percentage of net revenues, operating (loss) income was (4.0)% and 1.8% for the twenty-six weeks ended August 1, 2020 and August 3, 2019, respectively. Operating loss increased due to the factors described above.</w:t>
      </w:r>
    </w:p>
    <w:p>
      <w:pPr>
        <w:spacing w:after="0" w:line="12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1, 2020, operating income in the VB Direct segment decreased $18.6 million, to $11.9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$30.5 million in the comparable prior-year period. As a percentage of VB Direct segment net revenues, operating income in the VB Direct segment was 10.0% and 18.4% for the twenty-six weeks ended August 1, 2020 and August 3, 2019, respectively. The decrease in operating income as a percentage of VB Direct segment net revenues was primarily due to SG&amp;A expense de-leverage associated with lower sales primarily as a result of temporary store closures due to COVID-19, store impairment charges, an allocation of charges for the cancellation of certain purchase orders related to</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COVID-19, and certain professional fees and accelerated depreciation charges for the Company’s technology re-platforming. These decreases were partially offset by an increase in gross margin as a percentage of net revenues, as described above.</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1, 2020, operating income in the VB Indirect segment decreased $5.7 million, or 37.9%, to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$14.9 million in the comparable prior-year period. As a percentage of VB Indirect segment net revenues, operating income in the VB Indirect segment was 31.9% and 37.3% for the twenty-six weeks ended August 1, 2020 and August 3, 2019, respectively. The decrease in operating income as a percentage of VB Indirect segment net revenues was primarily due to SG&amp;A expense deleverage associated with lower sales and an increase in the bad debt provision, partially offset by an increase in gross margin as a percentage of net revenues as described above.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August 1, 2020, operating income in the Pura Vida segment was $3.6 million, or 6.7% of Pura Vida segment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compared to an operating loss of $(0.5) million in the partial prior-year period. The current-year operating results included $4.7 million of intangible asset amortization expense. The prior-year period included $1.0 million of inventory step-up amortization and $0.4 million of intangible asset amortization. Refer to Note 12 to the Notes to the Condensed Consolidated Financial Statements herein for additional information regarding the Pura Vida acquisition.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August 1, 2020, unallocated expenses decreased $8.3 million, or 20.2%, to $32.8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$41.1 million in the comparable prior-year period. The decrease in unallocated expenses was primarily due to initiatives to reduce expenses in light of COVID-19 including the temporary furlough of certain associates; temporarily reducing the base compensation for all other salaried associates; and reducing other non-payroll expenses including marketing, professional fees, and travel. In addition, there was a decrease in incentive compensation expense compared to the prior-year period as a result of Company performance driven by COVID-19.</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9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1, 2020, was 16.5%, compared to 26.8% for the twenty-six weeks ended August 3, 2019. The year-over year effective tax rate decrease was primarily due to the relative impact of permanent and discrete items in the current-year period compared to the prior-year period, primarily as a result of stock-based compensation.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1, 2020, net loss increased $10.5 million to $(7.2) million from net operating income of $3.3 million in the comparable prior-year period due to the factors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Redeemable Noncontrolling Interest</w:t>
      </w:r>
    </w:p>
    <w:p>
      <w:pPr>
        <w:spacing w:after="0" w:line="10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1, 2020, net income attributable to redeemable noncontrolling interest was $0.9 million compared to net loss of $(0.1) million in the partial prior-year period. This represents the allocation of the Pura Vida net income (loss) to the noncontrolling interest. The net income (loss) was due to the factors described above in the Pura Vida operating segment.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Vera Bradley, Inc.</w:t>
      </w:r>
    </w:p>
    <w:p>
      <w:pPr>
        <w:spacing w:after="0" w:line="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1, 2020, net loss attributable to Vera Bradley, Inc. increased $11.5 million to $(8.1) million from net income attributable to Vera Bradley, Inc. of $3.4 million in the comparable prior-year period due to the factors described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investments, and cash flow from operations. We also have access to additional liquidity, if needed, through incremental borrowings under our $75.0 million asset-based revolving credit agreement (the “Credit Agreement”) which began on September 7, 2018. Net borrowings under the credit agreement totaled $30.0 million during the twenty-six weeks ended August 1, 2020, and there was $30.0 million in debt outstanding as of August 1, 2020.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light of the COVID-19 pandemic, we anticipate that we will have increased needs for cash due to store closures and a general decline in sales related to the pandemic. While we believe that cash on hand and cash equivalents, investments, cash flows from operating activities, and the additional availability of borrowings under our Credit Agreement or other financing arrangements will be sufficient to meet working capital requirements and anticipated capital expenditures, other strategic uses of cash, if any, and debt payments for the foreseeable future, we cannot predict the full cash needs of the Company during the pandemic.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0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Investments classified as cash equivalents relate to highly-liquid investments with a maturity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As of August 1, 2020 and February 1, 2020, these investments in the Company's portfolio consisted of a money market fund. The balance as of February 1, 2020 also included commercial paper.</w:t>
      </w:r>
    </w:p>
    <w:p>
      <w:pPr>
        <w:spacing w:after="0" w:line="5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August 1, 2020 and February 1, 2020 short-term investments consisted of U.S. and non-U.S. corporate debt securities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within one year of the balance sheet date. The balance as of February 1, 2020 also included commercial paper, municipal securities, and U.S. asset-backed securities.</w:t>
      </w:r>
    </w:p>
    <w:p>
      <w:pPr>
        <w:spacing w:after="0" w:line="38"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As of August 1, 2020 and February 1, 2020, long-term investments consisted of U.S. and non-U.S. corporate debt securities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greater than one year from the balance sheet date. The balance as of February 1, 2020 also included U.S. and non-U.S. asset-backed securities and other foreign securities.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“Investments” within Item 1 “Financial Statements” of this Quarterly Report on Form 10-Q for additional detail regarding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2"/>
                <w:szCs w:val="12"/>
                <w:color w:val="auto"/>
              </w:rPr>
            </w:pPr>
          </w:p>
        </w:tc>
        <w:tc>
          <w:tcPr>
            <w:tcW w:w="1200" w:type="dxa"/>
            <w:vAlign w:val="bottom"/>
          </w:tcPr>
          <w:p>
            <w:pPr>
              <w:jc w:val="right"/>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r>
      <w:tr>
        <w:trPr>
          <w:trHeight w:val="195"/>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1,091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7"/>
        </w:trPr>
        <w:tc>
          <w:tcPr>
            <w:tcW w:w="8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twenty-six weeks ended August 1, 2020 was $0.1 million compared to cash provided by operating activities of $1.1 million for the twenty-six weeks ended August 3, 2019. The increase in cash used in operating activities was primarily related to the change in assets and liabilities. The increases that resulted in a use of cash were primarily related to an increase in the income tax receivable due to the increased net loss compared to the prior-year period and payments made for Pura Vida operations not in the prior-year period, as well as certain Vera Bradley technology project expenditures. Increases resulting in a source of cash were primarily related to the deferral of rent payments as a result of COVID-19, as well as timing of other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$18.9 million for the twenty-six weeks ended August 1, 2020 compared to cash used in investing activities of $61.4 million for the twenty-six weeks ended August 3, 2019. The increase in cash provided by investing activities was primarily a result of decreased spending related to property, plant, and equipment and net investments in the current year, as well as the July 2019 acquisition of Pura Vida that occurred in the prior-year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2021 are expected to be approximately $8.0 million to $10.0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$6.8 million for the twenty-six weeks ended August 1, 2020 compared to cash used in financing activities of $6.4 million for the twenty-six weeks ended August 3, 2019. The increase in cash provided by financing activities was primarily due to net borrowings of $30.0 million under our Credit Agreement, partially offset by the $18.7 million payment of the contingent consideration associated with the July 2019 acquisition of Pura Vida.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August 1, 2020.</w:t>
      </w:r>
    </w:p>
    <w:p>
      <w:pPr>
        <w:spacing w:after="0" w:line="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1, 2020 the Company had outstanding borrowings of $30.0 million and availability of $45.0 million under the Credit Agreement, compared to no borrowings outstanding and availability of $75.0 million as of February 1, 2020 under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2020.</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2020. There were no significant changes to any of the critical accounting policies and estimates described in the Annual Report as of August 1, 2020.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August 1, 2020, there was no material change in the market risks described in “Quantitative and Qualitative Disclosures About Market Risks” in the Company’s Annual Report on Form 10-K for the fiscal year ended February 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1, 2020.</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majority interest in Pura Vida. Pura Vida constitutes approximately 25% of total assets and 5% of total liabilities as of August 1, 2020, and approximately 25% and 27% of net revenues for the thirteen and twenty-six weeks ended August 1, 2020, respectively. As of August 1, 2020, the Company integrated the acquired business into its system of internal control over financial reporting and has included it in the above assessment regarding the effectiveness of the Company's disclosure controls and procedures.</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than the inclusion of the Pura Vida business, 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 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7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follows, there have been no material changes to the risk factors previously set forth in the Company’s Annual Report on Form 10-K for the fiscal year ended February 1, 2020.</w:t>
      </w:r>
    </w:p>
    <w:p>
      <w:pPr>
        <w:spacing w:after="0" w:line="23"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outbreak of the novel coronavirus (COVID-19) may continue to cause significant disruptions in our revenue streams, operations, global supply chain and other facets of our business, which may continue to adversely impact our results of operations, financial condition, and share price.</w:t>
      </w:r>
    </w:p>
    <w:p>
      <w:pPr>
        <w:spacing w:after="0" w:line="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operations are currently subject to significant disruptions as a result of the COVID-19 pandemic. The pandemic has resulted in travel restrictions both domestically and internationally, community and self-quarantines, certain factory closures or reduced operations, as well as mall closures and reduced mall operating hours. We temporarily closed our retail stores on March 19, 2020. On May 5, 2020, we began to reopen our retail stores in a phased approach, with all but three full-line stores open and all factory stores open as of the end of July. Despite the reopening of a majority of our retail stores, we have experienced, and may continue to experience, significantly reduced traffic, demand, and sales. Further, as guidance and mandates from governments and public health officials continue to evolve, additional closures to some, or all, of our retail stores, the stores of our Indirect segment partners, and other aspects of our operations may occur.</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Among other impacts, COVID-19 has led to temporary factory closures and production and logistics constraints due to workforce availability in China. Although we continue to reduce our reliance on production from China, we expect our China production to be approximately 20% during fiscal 2021. As a result of the aforementioned restrictions, we may experience delayed shipments and increased shipping costs for some of our fiscal 2021 merchandise. We may also be adversely impacted should the pandemic compromise operations at our corporate headquarters and distribution center located in Roanoke, Indiana.</w:t>
      </w:r>
    </w:p>
    <w:p>
      <w:pPr>
        <w:spacing w:after="0" w:line="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extent of the pandemic’s continued impact on our results of operations, financial condition, and share price will likely depend on future developments including, but not limited to, the duration of the spread of the outbreak, including the potential for spikes in the number of COVID-19 cases in future periods; mitigation activities undertaken by governments and the general public; and the overall economic impacts of quarantines and business closures.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result of the above-mentioned factors, the Company’s liquidity, results of operations, and financial condition have been, and are likely to continue to be, adversely impacted.</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Beginning in mid-March 2020, we began taking several actions to navigate the COVID-19 pandemic, protect our financial position, maximize our liquidity, and to position the Company for a strong reopening and future. In addition to the aforementioned store closures, these actions included: temporarily furloughing approximately 80% of our workforce during the first quarter; temporarily reducing compensation for remaining salaried associates based on a graduated scale; temporarily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suspending cash compensation to our board of directors; temporarily suspending our share repurchase program; drawing $60.0 million of our $75.0 million Credit Agreement; temporarily eliminating the Company 401(k) and associate charitable contribution matches; tightly managing inventory levels through the cancellation of purchase orders, delay of receipts, or seeking price concessions where possible; actively working with landlords on addressing rent abatements, payments terms, accelerating store closures, and delaying or cancelling certain planned new store openings; reducing non-payroll operating expenses; and extending vendor payment terms. During the second quarter, we brought back the majority of associates from furlough; began to reinstate portions of the base compensation reductions; and paid back $30.0 million of our $60.0 million borrowing under our Credit Agreement. As of the end of August, approximately 10% of our associates remain on furlough.</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also leveraging the Coronavirus Aid Relief and Economic Security (CARES) Act to enhance the financial well-being of associates and to maximize the financial health of the Company. Measures to mitigate COVID-19 impacts to our business may result in additional risk exposure or prove ineffectual. For example, we have and may continue to incur additional interest costs associated with increased borrowings under our Credit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to $50.0 million of repurchases of shares of the Company's common stock. The 2018 Share Repurchase Program is scheduled to expire on December 14, 2020. To conserve cash as a result of COVID-19, the Company temporarily suspended the share repurchase program.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activity under the program during the thirteen weeks ended August 1, 2020.</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8"/>
        </w:trPr>
        <w:tc>
          <w:tcPr>
            <w:tcW w:w="348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00" w:type="dxa"/>
            <w:vAlign w:val="bottom"/>
            <w:vMerge w:val="restart"/>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34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the Plans or Program</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2020 - May 30, 2020</w:t>
            </w:r>
          </w:p>
        </w:tc>
        <w:tc>
          <w:tcPr>
            <w:tcW w:w="1940" w:type="dxa"/>
            <w:vAlign w:val="bottom"/>
            <w:tcBorders>
              <w:bottom w:val="single" w:sz="8" w:color="CCEEFF"/>
            </w:tcBorders>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32,939,607</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31, 2020 - July 4, 2020</w:t>
            </w:r>
          </w:p>
        </w:tc>
        <w:tc>
          <w:tcPr>
            <w:tcW w:w="19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32,939,607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5, 2020 - August 1, 2020</w:t>
            </w:r>
          </w:p>
        </w:tc>
        <w:tc>
          <w:tcPr>
            <w:tcW w:w="1940" w:type="dxa"/>
            <w:vAlign w:val="bottom"/>
            <w:tcBorders>
              <w:bottom w:val="single" w:sz="8" w:color="CCEEFF"/>
            </w:tcBorders>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32,939,607</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84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40" w:type="dxa"/>
            <w:vAlign w:val="bottom"/>
            <w:tcBorders>
              <w:top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8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04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31.1</w:t>
              </w:r>
            </w:hyperlink>
          </w:p>
        </w:tc>
        <w:tc>
          <w:tcPr>
            <w:tcW w:w="80" w:type="dxa"/>
            <w:vAlign w:val="bottom"/>
          </w:tcPr>
          <w:p>
            <w:pPr>
              <w:spacing w:after="0"/>
              <w:rPr>
                <w:sz w:val="23"/>
                <w:szCs w:val="23"/>
                <w:color w:val="auto"/>
              </w:rPr>
            </w:pPr>
          </w:p>
        </w:tc>
        <w:tc>
          <w:tcPr>
            <w:tcW w:w="868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CEO Section 302 Certification</w:t>
              </w:r>
            </w:hyperlink>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31.2</w:t>
              </w:r>
            </w:hyperlink>
          </w:p>
        </w:tc>
        <w:tc>
          <w:tcPr>
            <w:tcW w:w="80" w:type="dxa"/>
            <w:vAlign w:val="bottom"/>
          </w:tcPr>
          <w:p>
            <w:pPr>
              <w:spacing w:after="0"/>
              <w:rPr>
                <w:sz w:val="24"/>
                <w:szCs w:val="24"/>
                <w:color w:val="auto"/>
              </w:rPr>
            </w:pPr>
          </w:p>
        </w:tc>
        <w:tc>
          <w:tcPr>
            <w:tcW w:w="8680" w:type="dxa"/>
            <w:vAlign w:val="bottom"/>
          </w:tcPr>
          <w:p>
            <w:pPr>
              <w:ind w:left="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CFO Section 302 Certification</w:t>
              </w:r>
            </w:hyperlink>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32.1</w:t>
              </w:r>
            </w:hyperlink>
          </w:p>
        </w:tc>
        <w:tc>
          <w:tcPr>
            <w:tcW w:w="80" w:type="dxa"/>
            <w:vAlign w:val="bottom"/>
          </w:tcPr>
          <w:p>
            <w:pPr>
              <w:spacing w:after="0"/>
              <w:rPr>
                <w:sz w:val="24"/>
                <w:szCs w:val="24"/>
                <w:color w:val="auto"/>
              </w:rPr>
            </w:pPr>
          </w:p>
        </w:tc>
        <w:tc>
          <w:tcPr>
            <w:tcW w:w="8680" w:type="dxa"/>
            <w:vAlign w:val="bottom"/>
          </w:tcPr>
          <w:p>
            <w:pPr>
              <w:ind w:left="2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Section 906 Certifications*</w:t>
              </w:r>
            </w:hyperlink>
          </w:p>
        </w:tc>
        <w:tc>
          <w:tcPr>
            <w:tcW w:w="0" w:type="dxa"/>
            <w:vAlign w:val="bottom"/>
          </w:tcPr>
          <w:p>
            <w:pPr>
              <w:spacing w:after="0"/>
              <w:rPr>
                <w:sz w:val="1"/>
                <w:szCs w:val="1"/>
                <w:color w:val="auto"/>
              </w:rPr>
            </w:pPr>
          </w:p>
        </w:tc>
      </w:tr>
      <w:tr>
        <w:trPr>
          <w:trHeight w:val="27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20" w:hanging="694"/>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Vera Bradley, Inc.</w:t>
      </w: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531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John Enwright</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00"/>
          </w:cols>
          <w:pgMar w:left="320" w:top="117" w:right="3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40"/>
        <w:spacing w:after="0"/>
        <w:tabs>
          <w:tab w:leader="none" w:pos="566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31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40"/>
        <w:spacing w:after="0"/>
        <w:tabs>
          <w:tab w:leader="none" w:pos="566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31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August 1,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6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31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3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31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87" w:lineRule="exact"/>
        <w:rPr>
          <w:sz w:val="20"/>
          <w:szCs w:val="20"/>
          <w:color w:val="auto"/>
        </w:rPr>
      </w:pPr>
    </w:p>
    <w:p>
      <w:pPr>
        <w:ind w:right="160" w:firstLine="360"/>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quarterly report on Form 10-Q for the fiscal quarter ended August 1,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6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31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3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31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lvl w:ilvl="1">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3"/>
    </w:lvl>
  </w:abstractNum>
  <w:abstractNum w:abstractNumId="12">
    <w:nsid w:val="4353D0CD"/>
    <w:multiLevelType w:val="hybridMultilevel"/>
    <w:lvl w:ilvl="0">
      <w:lvlJc w:val="left"/>
      <w:lvlText w:val="%1."/>
      <w:numFmt w:val="decimal"/>
      <w:start w:val="4"/>
    </w:lvl>
  </w:abstractNum>
  <w:abstractNum w:abstractNumId="13">
    <w:nsid w:val="B03E0C6"/>
    <w:multiLevelType w:val="hybridMultilevel"/>
    <w:lvl w:ilvl="0">
      <w:lvlJc w:val="left"/>
      <w:lvlText w:val="%1."/>
      <w:numFmt w:val="decimal"/>
      <w:start w:val="5"/>
    </w:lvl>
    <w:lvl w:ilvl="1">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6"/>
    </w:lvl>
  </w:abstractNum>
  <w:abstractNum w:abstractNumId="16">
    <w:nsid w:val="71F32454"/>
    <w:multiLevelType w:val="hybridMultilevel"/>
    <w:lvl w:ilvl="0">
      <w:lvlJc w:val="left"/>
      <w:lvlText w:val="(%1)"/>
      <w:numFmt w:val="lowerRoman"/>
      <w:start w:val="5"/>
    </w:lvl>
  </w:abstractNum>
  <w:abstractNum w:abstractNumId="17">
    <w:nsid w:val="2CA88611"/>
    <w:multiLevelType w:val="hybridMultilevel"/>
    <w:lvl w:ilvl="0">
      <w:lvlJc w:val="left"/>
      <w:lvlText w:val="%1."/>
      <w:numFmt w:val="decimal"/>
      <w:start w:val="7"/>
    </w:lvl>
  </w:abstractNum>
  <w:abstractNum w:abstractNumId="18">
    <w:nsid w:val="836C40E"/>
    <w:multiLevelType w:val="hybridMultilevel"/>
    <w:lvl w:ilvl="0">
      <w:lvlJc w:val="left"/>
      <w:lvlText w:val="%1."/>
      <w:numFmt w:val="decimal"/>
      <w:start w:val="9"/>
    </w:lvl>
  </w:abstractNum>
  <w:abstractNum w:abstractNumId="19">
    <w:nsid w:val="2901D82"/>
    <w:multiLevelType w:val="hybridMultilevel"/>
    <w:lvl w:ilvl="0">
      <w:lvlJc w:val="left"/>
      <w:lvlText w:val="%1."/>
      <w:numFmt w:val="decimal"/>
      <w:start w:val="10"/>
    </w:lvl>
  </w:abstractNum>
  <w:abstractNum w:abstractNumId="20">
    <w:nsid w:val="3A95F874"/>
    <w:multiLevelType w:val="hybridMultilevel"/>
    <w:lvl w:ilvl="0">
      <w:lvlJc w:val="left"/>
      <w:lvlText w:val="%1."/>
      <w:numFmt w:val="decimal"/>
      <w:start w:val="12"/>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3"/>
    </w:lvl>
  </w:abstractNum>
  <w:abstractNum w:abstractNumId="26">
    <w:nsid w:val="22221A70"/>
    <w:multiLevelType w:val="hybridMultilevel"/>
    <w:lvl w:ilvl="0">
      <w:lvlJc w:val="left"/>
      <w:lvlText w:val="%1."/>
      <w:numFmt w:val="decimal"/>
      <w:start w:val="14"/>
    </w:lvl>
  </w:abstractNum>
  <w:abstractNum w:abstractNumId="27">
    <w:nsid w:val="4516DDE9"/>
    <w:multiLevelType w:val="hybridMultilevel"/>
    <w:lvl w:ilvl="0">
      <w:lvlJc w:val="left"/>
      <w:lvlText w:val="%1."/>
      <w:numFmt w:val="decimal"/>
      <w:start w:val="15"/>
    </w:lvl>
  </w:abstractNum>
  <w:abstractNum w:abstractNumId="28">
    <w:nsid w:val="3006C83E"/>
    <w:multiLevelType w:val="hybridMultilevel"/>
    <w:lvl w:ilvl="0">
      <w:lvlJc w:val="left"/>
      <w:lvlText w:val="%1"/>
      <w:numFmt w:val="decimal"/>
      <w:start w:val="1"/>
    </w:lvl>
    <w:lvl w:ilvl="1">
      <w:lvlJc w:val="left"/>
      <w:lvlText w:val="(%2)"/>
      <w:numFmt w:val="decimal"/>
      <w:start w:val="1"/>
    </w:lvl>
  </w:abstractNum>
  <w:abstractNum w:abstractNumId="29">
    <w:nsid w:val="614FD4A1"/>
    <w:multiLevelType w:val="hybridMultilevel"/>
    <w:lvl w:ilvl="0">
      <w:lvlJc w:val="left"/>
      <w:lvlText w:val="%1."/>
      <w:numFmt w:val="decimal"/>
      <w:start w:val="16"/>
    </w:lvl>
    <w:lvl w:ilvl="1">
      <w:lvlJc w:val="left"/>
      <w:lvlText w:val="%2"/>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2020-09-09T14:11:15Z</dcterms:created>
  <dcterms:modified xsi:type="dcterms:W3CDTF">2020-09-09T14:11:15Z</dcterms:modified>
</cp:coreProperties>
</file>