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422910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388620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32"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 OF</w:t>
      </w:r>
    </w:p>
    <w:p>
      <w:pPr>
        <w:spacing w:after="0" w:line="3"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1934</w:t>
      </w:r>
    </w:p>
    <w:p>
      <w:pPr>
        <w:spacing w:after="0" w:line="2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July 30, 2022</w:t>
      </w:r>
    </w:p>
    <w:p>
      <w:pPr>
        <w:spacing w:after="0" w:line="1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9"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 EXCHANGE ACT OF</w:t>
      </w:r>
    </w:p>
    <w:p>
      <w:pPr>
        <w:spacing w:after="0" w:line="3"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1934</w:t>
      </w:r>
    </w:p>
    <w:p>
      <w:pPr>
        <w:spacing w:after="0" w:line="241" w:lineRule="exact"/>
        <w:rPr>
          <w:sz w:val="24"/>
          <w:szCs w:val="24"/>
          <w:color w:val="auto"/>
        </w:rPr>
      </w:pPr>
    </w:p>
    <w:p>
      <w:pPr>
        <w:ind w:left="3360"/>
        <w:spacing w:after="0"/>
        <w:tabs>
          <w:tab w:leader="none" w:pos="67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3710305</wp:posOffset>
            </wp:positionH>
            <wp:positionV relativeFrom="paragraph">
              <wp:posOffset>-5080</wp:posOffset>
            </wp:positionV>
            <wp:extent cx="1294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001-34918</w:t>
      </w:r>
    </w:p>
    <w:p>
      <w:pPr>
        <w:spacing w:after="0" w:line="202"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17145</wp:posOffset>
            </wp:positionV>
            <wp:extent cx="1268730" cy="128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730" cy="12858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0"/>
          <w:szCs w:val="40"/>
          <w:b w:val="1"/>
          <w:bCs w:val="1"/>
          <w:color w:val="auto"/>
        </w:rPr>
        <w:t>VERA BRADLEY, INC.</w:t>
      </w:r>
    </w:p>
    <w:p>
      <w:pPr>
        <w:spacing w:after="0" w:line="5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84"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35" w:lineRule="exact"/>
        <w:rPr>
          <w:sz w:val="24"/>
          <w:szCs w:val="24"/>
          <w:color w:val="auto"/>
        </w:rPr>
      </w:pPr>
    </w:p>
    <w:tbl>
      <w:tblPr>
        <w:tblLayout w:type="fixed"/>
        <w:tblInd w:w="1540" w:type="dxa"/>
        <w:tblCellMar>
          <w:top w:w="0" w:type="dxa"/>
          <w:left w:w="0" w:type="dxa"/>
          <w:bottom w:w="0" w:type="dxa"/>
          <w:right w:w="0" w:type="dxa"/>
        </w:tblCellMar>
      </w:tblPr>
      <w:tr>
        <w:trPr>
          <w:trHeight w:val="227"/>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Indiana</w:t>
            </w:r>
          </w:p>
        </w:tc>
        <w:tc>
          <w:tcPr>
            <w:tcW w:w="5100" w:type="dxa"/>
            <w:vAlign w:val="bottom"/>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27-2935063</w:t>
            </w:r>
          </w:p>
        </w:tc>
        <w:tc>
          <w:tcPr>
            <w:tcW w:w="0" w:type="dxa"/>
            <w:vAlign w:val="bottom"/>
          </w:tcPr>
          <w:p>
            <w:pPr>
              <w:spacing w:after="0"/>
              <w:rPr>
                <w:sz w:val="1"/>
                <w:szCs w:val="1"/>
                <w:color w:val="auto"/>
              </w:rPr>
            </w:pPr>
          </w:p>
        </w:tc>
      </w:tr>
      <w:tr>
        <w:trPr>
          <w:trHeight w:val="148"/>
        </w:trPr>
        <w:tc>
          <w:tcPr>
            <w:tcW w:w="2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100" w:type="dxa"/>
            <w:vAlign w:val="bottom"/>
          </w:tcPr>
          <w:p>
            <w:pPr>
              <w:jc w:val="center"/>
              <w:ind w:left="390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100" w:type="dxa"/>
            <w:vAlign w:val="bottom"/>
          </w:tcPr>
          <w:p>
            <w:pPr>
              <w:jc w:val="center"/>
              <w:ind w:left="388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460"/>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12420 Stonebridge Road,</w:t>
            </w:r>
          </w:p>
        </w:tc>
        <w:tc>
          <w:tcPr>
            <w:tcW w:w="5100" w:type="dxa"/>
            <w:vAlign w:val="bottom"/>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46783</w:t>
            </w:r>
          </w:p>
        </w:tc>
        <w:tc>
          <w:tcPr>
            <w:tcW w:w="0" w:type="dxa"/>
            <w:vAlign w:val="bottom"/>
          </w:tcPr>
          <w:p>
            <w:pPr>
              <w:spacing w:after="0"/>
              <w:rPr>
                <w:sz w:val="1"/>
                <w:szCs w:val="1"/>
                <w:color w:val="auto"/>
              </w:rPr>
            </w:pPr>
          </w:p>
        </w:tc>
      </w:tr>
      <w:tr>
        <w:trPr>
          <w:trHeight w:val="227"/>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Roanoke, Indiana</w:t>
            </w:r>
          </w:p>
        </w:tc>
        <w:tc>
          <w:tcPr>
            <w:tcW w:w="5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100" w:type="dxa"/>
            <w:vAlign w:val="bottom"/>
          </w:tcPr>
          <w:p>
            <w:pPr>
              <w:jc w:val="center"/>
              <w:ind w:left="388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471"/>
        </w:trPr>
        <w:tc>
          <w:tcPr>
            <w:tcW w:w="2420" w:type="dxa"/>
            <w:vAlign w:val="bottom"/>
          </w:tcPr>
          <w:p>
            <w:pPr>
              <w:spacing w:after="0"/>
              <w:rPr>
                <w:sz w:val="24"/>
                <w:szCs w:val="24"/>
                <w:color w:val="auto"/>
              </w:rPr>
            </w:pPr>
          </w:p>
        </w:tc>
        <w:tc>
          <w:tcPr>
            <w:tcW w:w="5100" w:type="dxa"/>
            <w:vAlign w:val="bottom"/>
          </w:tcPr>
          <w:p>
            <w:pPr>
              <w:jc w:val="right"/>
              <w:ind w:right="2800"/>
              <w:spacing w:after="0"/>
              <w:rPr>
                <w:sz w:val="20"/>
                <w:szCs w:val="20"/>
                <w:color w:val="auto"/>
              </w:rPr>
            </w:pPr>
            <w:r>
              <w:rPr>
                <w:rFonts w:ascii="Times New Roman" w:cs="Times New Roman" w:eastAsia="Times New Roman" w:hAnsi="Times New Roman"/>
                <w:sz w:val="18"/>
                <w:szCs w:val="18"/>
                <w:b w:val="1"/>
                <w:bCs w:val="1"/>
                <w:color w:val="auto"/>
              </w:rPr>
              <w:t>(877) 708-8372</w:t>
            </w: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5100" w:type="dxa"/>
            <w:vAlign w:val="bottom"/>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0" w:type="dxa"/>
            <w:vAlign w:val="bottom"/>
          </w:tcPr>
          <w:p>
            <w:pPr>
              <w:spacing w:after="0"/>
              <w:rPr>
                <w:sz w:val="1"/>
                <w:szCs w:val="1"/>
                <w:color w:val="auto"/>
              </w:rPr>
            </w:pPr>
          </w:p>
        </w:tc>
      </w:tr>
    </w:tbl>
    <w:p>
      <w:pPr>
        <w:spacing w:after="0" w:line="1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88"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without par value</w:t>
            </w:r>
          </w:p>
        </w:tc>
        <w:tc>
          <w:tcPr>
            <w:tcW w:w="2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VRA</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225" w:lineRule="exact"/>
        <w:rPr>
          <w:sz w:val="24"/>
          <w:szCs w:val="24"/>
          <w:color w:val="auto"/>
        </w:rPr>
      </w:pPr>
    </w:p>
    <w:p>
      <w:pPr>
        <w:ind w:right="320"/>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6" w:lineRule="exact"/>
        <w:rPr>
          <w:sz w:val="24"/>
          <w:szCs w:val="24"/>
          <w:color w:val="auto"/>
        </w:rPr>
      </w:pPr>
    </w:p>
    <w:p>
      <w:pPr>
        <w:ind w:right="100"/>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6"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900" w:orient="portrait"/>
          <w:cols w:equalWidth="0" w:num="1">
            <w:col w:w="11260"/>
          </w:cols>
          <w:pgMar w:left="320" w:top="225" w:right="319" w:bottom="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8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488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3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Accelerated filer</w:t>
            </w:r>
          </w:p>
        </w:tc>
        <w:tc>
          <w:tcPr>
            <w:tcW w:w="720" w:type="dxa"/>
            <w:vAlign w:val="bottom"/>
          </w:tcPr>
          <w:p>
            <w:pPr>
              <w:ind w:left="560"/>
              <w:spacing w:after="0"/>
              <w:rPr>
                <w:sz w:val="20"/>
                <w:szCs w:val="20"/>
                <w:color w:val="auto"/>
              </w:rPr>
            </w:pPr>
            <w:r>
              <w:rPr>
                <w:rFonts w:ascii="Arial" w:cs="Arial" w:eastAsia="Arial" w:hAnsi="Arial"/>
                <w:sz w:val="18"/>
                <w:szCs w:val="18"/>
                <w:color w:val="auto"/>
              </w:rPr>
              <w:t>x</w:t>
            </w:r>
          </w:p>
        </w:tc>
      </w:tr>
      <w:tr>
        <w:trPr>
          <w:trHeight w:val="500"/>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4880" w:type="dxa"/>
            <w:vAlign w:val="bottom"/>
          </w:tcPr>
          <w:p>
            <w:pPr>
              <w:ind w:left="7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99"/>
        </w:trPr>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3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45" w:lineRule="exact"/>
        <w:rPr>
          <w:sz w:val="20"/>
          <w:szCs w:val="20"/>
          <w:color w:val="auto"/>
        </w:rPr>
      </w:pPr>
    </w:p>
    <w:p>
      <w:pPr>
        <w:jc w:val="both"/>
        <w:ind w:left="20"/>
        <w:spacing w:after="0" w:line="22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0" w:lineRule="exact"/>
        <w:rPr>
          <w:sz w:val="20"/>
          <w:szCs w:val="20"/>
          <w:color w:val="auto"/>
        </w:rPr>
      </w:pPr>
    </w:p>
    <w:p>
      <w:pPr>
        <w:ind w:right="1660"/>
        <w:spacing w:after="0" w:line="3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The registrant had 31,098,169 shares of its common stock outstanding as of August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922655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52705</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100"/>
          </w:cols>
          <w:pgMar w:left="320" w:top="322" w:right="4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102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720" w:type="dxa"/>
            <w:vAlign w:val="bottom"/>
            <w:gridSpan w:val="8"/>
          </w:tcPr>
          <w:p>
            <w:pPr>
              <w:ind w:left="13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100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00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July 30, 2022, and January 29, 2022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Thirteen and Twenty-Six Weeks Ended July 30, 2022, and July 31,</w:t>
            </w:r>
          </w:p>
        </w:tc>
        <w:tc>
          <w:tcPr>
            <w:tcW w:w="80" w:type="dxa"/>
            <w:vAlign w:val="bottom"/>
            <w:vMerge w:val="restart"/>
          </w:tcPr>
          <w:p>
            <w:pPr>
              <w:spacing w:after="0"/>
              <w:rPr>
                <w:sz w:val="22"/>
                <w:szCs w:val="2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4"/>
              </w:rPr>
              <w:t>2021</w:t>
            </w:r>
          </w:p>
        </w:tc>
        <w:tc>
          <w:tcPr>
            <w:tcW w:w="6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8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62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210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Thirteen and Twenty-Six Weeks Ended July 30, 2022,</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20" w:type="dxa"/>
            <w:vAlign w:val="bottom"/>
            <w:tcBorders>
              <w:top w:val="single" w:sz="8" w:color="0000FF"/>
            </w:tcBorders>
            <w:gridSpan w:val="16"/>
          </w:tcPr>
          <w:p>
            <w:pPr>
              <w:spacing w:after="0" w:line="169" w:lineRule="exact"/>
              <w:rPr>
                <w:sz w:val="20"/>
                <w:szCs w:val="20"/>
                <w:color w:val="auto"/>
              </w:rPr>
            </w:pPr>
            <w:r>
              <w:rPr>
                <w:rFonts w:ascii="Times New Roman" w:cs="Times New Roman" w:eastAsia="Times New Roman" w:hAnsi="Times New Roman"/>
                <w:sz w:val="18"/>
                <w:szCs w:val="18"/>
                <w:color w:val="0000FF"/>
              </w:rPr>
              <w:t>and July 31, 2021</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Equity for the Thirteen and Twenty-Six Weeks Ended July 30, 2022, and</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120" w:type="dxa"/>
            <w:vAlign w:val="bottom"/>
            <w:tcBorders>
              <w:top w:val="single" w:sz="8" w:color="0000FF"/>
            </w:tcBorders>
            <w:gridSpan w:val="17"/>
          </w:tcPr>
          <w:p>
            <w:pPr>
              <w:spacing w:after="0" w:line="169" w:lineRule="exact"/>
              <w:rPr>
                <w:sz w:val="20"/>
                <w:szCs w:val="20"/>
                <w:color w:val="auto"/>
              </w:rPr>
            </w:pPr>
            <w:r>
              <w:rPr>
                <w:rFonts w:ascii="Times New Roman" w:cs="Times New Roman" w:eastAsia="Times New Roman" w:hAnsi="Times New Roman"/>
                <w:sz w:val="18"/>
                <w:szCs w:val="18"/>
                <w:color w:val="0000FF"/>
              </w:rPr>
              <w:t>July 31, 2021</w:t>
            </w:r>
          </w:p>
        </w:tc>
        <w:tc>
          <w:tcPr>
            <w:tcW w:w="96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5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Twenty-Six Weeks Ended July 30, 2022, and July 31, 2021</w:t>
            </w:r>
          </w:p>
        </w:tc>
        <w:tc>
          <w:tcPr>
            <w:tcW w:w="1540" w:type="dxa"/>
            <w:vAlign w:val="bottom"/>
            <w:gridSpan w:val="3"/>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640" w:type="dxa"/>
            <w:vAlign w:val="bottom"/>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0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644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640" w:type="dxa"/>
            <w:vAlign w:val="bottom"/>
            <w:gridSpan w:val="4"/>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2580" w:type="dxa"/>
            <w:vAlign w:val="bottom"/>
            <w:tcBorders>
              <w:top w:val="single" w:sz="8" w:color="0000FF"/>
            </w:tcBorders>
            <w:gridSpan w:val="5"/>
          </w:tcPr>
          <w:p>
            <w:pPr>
              <w:spacing w:after="0"/>
              <w:rPr>
                <w:sz w:val="22"/>
                <w:szCs w:val="22"/>
                <w:color w:val="auto"/>
              </w:rPr>
            </w:pPr>
          </w:p>
        </w:tc>
        <w:tc>
          <w:tcPr>
            <w:tcW w:w="5740" w:type="dxa"/>
            <w:vAlign w:val="bottom"/>
            <w:gridSpan w:val="6"/>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00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184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8240" w:type="dxa"/>
            <w:vAlign w:val="bottom"/>
            <w:gridSpan w:val="10"/>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60" w:type="dxa"/>
            <w:vAlign w:val="bottom"/>
            <w:tcBorders>
              <w:top w:val="single" w:sz="8" w:color="0000FF"/>
            </w:tcBorders>
            <w:gridSpan w:val="2"/>
          </w:tcPr>
          <w:p>
            <w:pPr>
              <w:spacing w:after="0"/>
              <w:rPr>
                <w:sz w:val="22"/>
                <w:szCs w:val="22"/>
                <w:color w:val="auto"/>
              </w:rPr>
            </w:pPr>
          </w:p>
        </w:tc>
        <w:tc>
          <w:tcPr>
            <w:tcW w:w="8760" w:type="dxa"/>
            <w:vAlign w:val="bottom"/>
            <w:gridSpan w:val="12"/>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740" w:type="dxa"/>
            <w:vAlign w:val="bottom"/>
            <w:gridSpan w:val="6"/>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43</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9480" w:type="dxa"/>
            <w:vAlign w:val="bottom"/>
            <w:gridSpan w:val="15"/>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that are subject to risks and uncertainties. All statements other than statements of historical or current fact included in this report are forward-looking statements. Forward-looking statements include references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73" w:lineRule="exact"/>
        <w:rPr>
          <w:sz w:val="20"/>
          <w:szCs w:val="20"/>
          <w:color w:val="auto"/>
        </w:rPr>
      </w:pPr>
    </w:p>
    <w:p>
      <w:pPr>
        <w:jc w:val="both"/>
        <w:ind w:left="660" w:right="30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adverse changes in general economic conditions and their impact on consumer confidence and consumer spending, including political unrest, social unrest, acts of war and terrorism, inflation, impacts related to variants of the novel coronavirus (COVID-19) outbreak, and other related matters;</w:t>
      </w:r>
    </w:p>
    <w:p>
      <w:pPr>
        <w:spacing w:after="0" w:line="40"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pandemics, including the continued outbreak of COVID-19 and actions to contain the spread of the virus by governmental or other actors;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successfully implement our long-term strategic plans;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declines in our comparable sales;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maintain and enhance our brands;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failure of our multi-channel distribution model;</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predict and respond in a timely manner to changes in consumer demand;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successfully open new stores and/or operate current stores as planned;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loss of key management associates or inability to attract and retain the talent required for our business;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data security or privacy breaches or disruptions in our computer systems or website;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disruptions in our supply chain;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new or increased tariffs on our products that could lead to increased product costs and lower profit margins; and</w:t>
      </w:r>
    </w:p>
    <w:p>
      <w:pPr>
        <w:spacing w:after="0" w:line="103"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successfully implement integration strategies related to the Pura Vida business and possible inability to derive expected benefits from or to successfully integrate any future business acquisition.</w:t>
      </w:r>
    </w:p>
    <w:p>
      <w:pPr>
        <w:spacing w:after="0" w:line="10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12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a discussion of the above described risks and uncertainties and other risks and uncertainties that could cause actual results to differ materially from those contained in our forward-looking statements, please refer to “Risk Factors” in Item 1A of our Annual Report on Form 10-K for the fiscal year ended January 29, 2022, as well as in Item 1A herein.</w:t>
      </w:r>
    </w:p>
    <w:p>
      <w:pPr>
        <w:spacing w:after="0" w:line="12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July 30,</w:t>
            </w:r>
          </w:p>
        </w:tc>
        <w:tc>
          <w:tcPr>
            <w:tcW w:w="220" w:type="dxa"/>
            <w:vAlign w:val="bottom"/>
          </w:tcPr>
          <w:p>
            <w:pPr>
              <w:spacing w:after="0"/>
              <w:rPr>
                <w:sz w:val="13"/>
                <w:szCs w:val="13"/>
                <w:color w:val="auto"/>
              </w:rPr>
            </w:pPr>
          </w:p>
        </w:tc>
        <w:tc>
          <w:tcPr>
            <w:tcW w:w="122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0" w:type="dxa"/>
            <w:vAlign w:val="bottom"/>
          </w:tcPr>
          <w:p>
            <w:pPr>
              <w:spacing w:after="0"/>
              <w:rPr>
                <w:sz w:val="1"/>
                <w:szCs w:val="1"/>
                <w:color w:val="auto"/>
              </w:rPr>
            </w:pPr>
          </w:p>
        </w:tc>
      </w:tr>
      <w:tr>
        <w:trPr>
          <w:trHeight w:val="195"/>
        </w:trPr>
        <w:tc>
          <w:tcPr>
            <w:tcW w:w="8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88,436</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20,681</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179,557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144,881</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taxes receivable</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9,391</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15,928</w:t>
            </w:r>
          </w:p>
        </w:tc>
        <w:tc>
          <w:tcPr>
            <w:tcW w:w="0" w:type="dxa"/>
            <w:vAlign w:val="bottom"/>
          </w:tcPr>
          <w:p>
            <w:pPr>
              <w:spacing w:after="0"/>
              <w:rPr>
                <w:sz w:val="1"/>
                <w:szCs w:val="1"/>
                <w:color w:val="auto"/>
              </w:rPr>
            </w:pPr>
          </w:p>
        </w:tc>
      </w:tr>
      <w:tr>
        <w:trPr>
          <w:trHeight w:val="207"/>
        </w:trPr>
        <w:tc>
          <w:tcPr>
            <w:tcW w:w="8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265,497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279,317</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right-of-use assets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79,873</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59,941</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44,223</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44,254</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3,857</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6,081</w:t>
            </w:r>
          </w:p>
        </w:tc>
        <w:tc>
          <w:tcPr>
            <w:tcW w:w="0" w:type="dxa"/>
            <w:vAlign w:val="bottom"/>
          </w:tcPr>
          <w:p>
            <w:pPr>
              <w:spacing w:after="0"/>
              <w:rPr>
                <w:sz w:val="1"/>
                <w:szCs w:val="1"/>
                <w:color w:val="auto"/>
              </w:rPr>
            </w:pPr>
          </w:p>
        </w:tc>
      </w:tr>
      <w:tr>
        <w:trPr>
          <w:trHeight w:val="234"/>
        </w:trPr>
        <w:tc>
          <w:tcPr>
            <w:tcW w:w="82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483,221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517,546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Redeemable Noncontrolling Interest, and Shareholders’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2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43,722</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30,492</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employment costs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12,463</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Short-term operating lease liabilities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18,699</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16,422</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Income taxes payable</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78,076</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80,861</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207"/>
        </w:trPr>
        <w:tc>
          <w:tcPr>
            <w:tcW w:w="82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185,580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159,132</w:t>
            </w:r>
          </w:p>
        </w:tc>
        <w:tc>
          <w:tcPr>
            <w:tcW w:w="0" w:type="dxa"/>
            <w:vAlign w:val="bottom"/>
          </w:tcPr>
          <w:p>
            <w:pPr>
              <w:spacing w:after="0"/>
              <w:rPr>
                <w:sz w:val="1"/>
                <w:szCs w:val="1"/>
                <w:color w:val="auto"/>
              </w:rPr>
            </w:pPr>
          </w:p>
        </w:tc>
      </w:tr>
      <w:tr>
        <w:trPr>
          <w:trHeight w:val="19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Redeemable noncontrolling interest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30,974</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Preferred stock; 5,000 shares authorized, no shares issued or outstanding</w:t>
            </w:r>
          </w:p>
        </w:tc>
        <w:tc>
          <w:tcPr>
            <w:tcW w:w="3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824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Common stock, without par value; 200,000 shares authorized, 42,834 and 42,429 shares issued and 31,166 and 33,170</w:t>
            </w:r>
          </w:p>
        </w:tc>
        <w:tc>
          <w:tcPr>
            <w:tcW w:w="30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shares outstanding, respectively</w:t>
            </w:r>
          </w:p>
        </w:tc>
        <w:tc>
          <w:tcPr>
            <w:tcW w:w="30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paid-in-capital</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107,907</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297,623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334,364</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Treasury stock</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(131,279)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(114,802)</w:t>
            </w:r>
          </w:p>
        </w:tc>
        <w:tc>
          <w:tcPr>
            <w:tcW w:w="0" w:type="dxa"/>
            <w:vAlign w:val="bottom"/>
          </w:tcPr>
          <w:p>
            <w:pPr>
              <w:spacing w:after="0"/>
              <w:rPr>
                <w:sz w:val="1"/>
                <w:szCs w:val="1"/>
                <w:color w:val="auto"/>
              </w:rPr>
            </w:pPr>
          </w:p>
        </w:tc>
      </w:tr>
      <w:tr>
        <w:trPr>
          <w:trHeight w:val="207"/>
        </w:trPr>
        <w:tc>
          <w:tcPr>
            <w:tcW w:w="82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shareholders’ equity of Vera Bradley, Inc.</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274,150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327,440</w:t>
            </w:r>
          </w:p>
        </w:tc>
        <w:tc>
          <w:tcPr>
            <w:tcW w:w="0" w:type="dxa"/>
            <w:vAlign w:val="bottom"/>
          </w:tcPr>
          <w:p>
            <w:pPr>
              <w:spacing w:after="0"/>
              <w:rPr>
                <w:sz w:val="1"/>
                <w:szCs w:val="1"/>
                <w:color w:val="auto"/>
              </w:rPr>
            </w:pPr>
          </w:p>
        </w:tc>
      </w:tr>
      <w:tr>
        <w:trPr>
          <w:trHeight w:val="235"/>
        </w:trPr>
        <w:tc>
          <w:tcPr>
            <w:tcW w:w="82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liabilities, redeemable noncontrolling interest, and shareholders’ equity</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483,221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517,546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300" w:type="dxa"/>
            <w:vAlign w:val="bottom"/>
          </w:tcPr>
          <w:p>
            <w:pPr>
              <w:spacing w:after="0"/>
              <w:rPr>
                <w:sz w:val="16"/>
                <w:szCs w:val="16"/>
                <w:color w:val="auto"/>
              </w:rPr>
            </w:pPr>
          </w:p>
        </w:tc>
        <w:tc>
          <w:tcPr>
            <w:tcW w:w="268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23"/>
        </w:trPr>
        <w:tc>
          <w:tcPr>
            <w:tcW w:w="5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31"/>
        </w:trPr>
        <w:tc>
          <w:tcPr>
            <w:tcW w:w="52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July 30,</w:t>
            </w:r>
          </w:p>
        </w:tc>
        <w:tc>
          <w:tcPr>
            <w:tcW w:w="3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372"/>
              <w:spacing w:after="0" w:line="131" w:lineRule="exact"/>
              <w:rPr>
                <w:sz w:val="20"/>
                <w:szCs w:val="20"/>
                <w:color w:val="auto"/>
              </w:rPr>
            </w:pPr>
            <w:r>
              <w:rPr>
                <w:rFonts w:ascii="Times New Roman" w:cs="Times New Roman" w:eastAsia="Times New Roman" w:hAnsi="Times New Roman"/>
                <w:sz w:val="14"/>
                <w:szCs w:val="14"/>
                <w:b w:val="1"/>
                <w:bCs w:val="1"/>
                <w:color w:val="auto"/>
              </w:rPr>
              <w:t>July 31,</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July 30,</w:t>
            </w:r>
          </w:p>
        </w:tc>
        <w:tc>
          <w:tcPr>
            <w:tcW w:w="3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392"/>
              <w:spacing w:after="0" w:line="131" w:lineRule="exact"/>
              <w:rPr>
                <w:sz w:val="20"/>
                <w:szCs w:val="20"/>
                <w:color w:val="auto"/>
              </w:rPr>
            </w:pPr>
            <w:r>
              <w:rPr>
                <w:rFonts w:ascii="Times New Roman" w:cs="Times New Roman" w:eastAsia="Times New Roman" w:hAnsi="Times New Roman"/>
                <w:sz w:val="14"/>
                <w:szCs w:val="14"/>
                <w:b w:val="1"/>
                <w:bCs w:val="1"/>
                <w:color w:val="auto"/>
              </w:rPr>
              <w:t>July 31,</w:t>
            </w:r>
          </w:p>
        </w:tc>
      </w:tr>
      <w:tr>
        <w:trPr>
          <w:trHeight w:val="195"/>
        </w:trPr>
        <w:tc>
          <w:tcPr>
            <w:tcW w:w="5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256,142</w:t>
            </w:r>
          </w:p>
        </w:tc>
      </w:tr>
      <w:tr>
        <w:trPr>
          <w:trHeight w:val="230"/>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69,854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66,687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115,799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116,617</w:t>
            </w:r>
          </w:p>
        </w:tc>
      </w:tr>
      <w:tr>
        <w:trPr>
          <w:trHeight w:val="223"/>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139,525</w:t>
            </w: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129,625</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goodwill and intangible assets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w:t>
            </w:r>
          </w:p>
        </w:tc>
      </w:tr>
      <w:tr>
        <w:trPr>
          <w:trHeight w:val="223"/>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(loss) income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10,689</w:t>
            </w:r>
          </w:p>
        </w:tc>
      </w:tr>
      <w:tr>
        <w:trPr>
          <w:trHeight w:val="229"/>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23"/>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10,480</w:t>
            </w:r>
          </w:p>
        </w:tc>
      </w:tr>
      <w:tr>
        <w:trPr>
          <w:trHeight w:val="229"/>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w:t>
            </w:r>
          </w:p>
        </w:tc>
      </w:tr>
      <w:tr>
        <w:trPr>
          <w:trHeight w:val="223"/>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 income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8,339</w:t>
            </w:r>
          </w:p>
        </w:tc>
      </w:tr>
      <w:tr>
        <w:trPr>
          <w:trHeight w:val="184"/>
        </w:trPr>
        <w:tc>
          <w:tcPr>
            <w:tcW w:w="52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Less: Net (loss) income attributable to redeemable noncontrolling</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4"/>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(7,134)</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(6,870)</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w:t>
            </w:r>
          </w:p>
        </w:tc>
      </w:tr>
      <w:tr>
        <w:trPr>
          <w:trHeight w:val="248"/>
        </w:trPr>
        <w:tc>
          <w:tcPr>
            <w:tcW w:w="5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 income attributable to Vera Bradley, Inc.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33,795</w:t>
            </w: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34,502</w:t>
            </w:r>
          </w:p>
        </w:tc>
      </w:tr>
      <w:tr>
        <w:trPr>
          <w:trHeight w:val="270"/>
        </w:trPr>
        <w:tc>
          <w:tcPr>
            <w:tcW w:w="52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184"/>
        </w:trPr>
        <w:tc>
          <w:tcPr>
            <w:tcW w:w="52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Basic net (loss) income per share available to Vera Bradley, Inc.</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4"/>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shareholders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184"/>
        </w:trPr>
        <w:tc>
          <w:tcPr>
            <w:tcW w:w="52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Diluted net (loss) income per share available to Vera Bradley, Inc.</w:t>
            </w: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34"/>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shareholders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300" w:type="dxa"/>
            <w:vAlign w:val="bottom"/>
          </w:tcPr>
          <w:p>
            <w:pPr>
              <w:spacing w:after="0"/>
              <w:rPr>
                <w:sz w:val="16"/>
                <w:szCs w:val="16"/>
                <w:color w:val="auto"/>
              </w:rPr>
            </w:pPr>
          </w:p>
        </w:tc>
        <w:tc>
          <w:tcPr>
            <w:tcW w:w="2660" w:type="dxa"/>
            <w:vAlign w:val="bottom"/>
            <w:gridSpan w:val="4"/>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23"/>
        </w:trPr>
        <w:tc>
          <w:tcPr>
            <w:tcW w:w="5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31"/>
        </w:trPr>
        <w:tc>
          <w:tcPr>
            <w:tcW w:w="52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July 30,</w:t>
            </w:r>
          </w:p>
        </w:tc>
        <w:tc>
          <w:tcPr>
            <w:tcW w:w="2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395"/>
              <w:spacing w:after="0" w:line="131" w:lineRule="exact"/>
              <w:rPr>
                <w:sz w:val="20"/>
                <w:szCs w:val="20"/>
                <w:color w:val="auto"/>
              </w:rPr>
            </w:pPr>
            <w:r>
              <w:rPr>
                <w:rFonts w:ascii="Times New Roman" w:cs="Times New Roman" w:eastAsia="Times New Roman" w:hAnsi="Times New Roman"/>
                <w:sz w:val="14"/>
                <w:szCs w:val="14"/>
                <w:b w:val="1"/>
                <w:bCs w:val="1"/>
                <w:color w:val="auto"/>
              </w:rPr>
              <w:t>July 31,</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July 30,</w:t>
            </w:r>
          </w:p>
        </w:tc>
        <w:tc>
          <w:tcPr>
            <w:tcW w:w="3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375"/>
              <w:spacing w:after="0" w:line="131" w:lineRule="exact"/>
              <w:rPr>
                <w:sz w:val="20"/>
                <w:szCs w:val="20"/>
                <w:color w:val="auto"/>
              </w:rPr>
            </w:pPr>
            <w:r>
              <w:rPr>
                <w:rFonts w:ascii="Times New Roman" w:cs="Times New Roman" w:eastAsia="Times New Roman" w:hAnsi="Times New Roman"/>
                <w:sz w:val="14"/>
                <w:szCs w:val="14"/>
                <w:b w:val="1"/>
                <w:bCs w:val="1"/>
                <w:color w:val="auto"/>
              </w:rPr>
              <w:t>July 31,</w:t>
            </w:r>
          </w:p>
        </w:tc>
      </w:tr>
      <w:tr>
        <w:trPr>
          <w:trHeight w:val="195"/>
        </w:trPr>
        <w:tc>
          <w:tcPr>
            <w:tcW w:w="5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8,339</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available-for-sale debt investments</w:t>
            </w:r>
          </w:p>
        </w:tc>
        <w:tc>
          <w:tcPr>
            <w:tcW w:w="28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Comprehensive (loss) income, net of tax</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(36,976)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8,327</w:t>
            </w:r>
          </w:p>
        </w:tc>
      </w:tr>
      <w:tr>
        <w:trPr>
          <w:trHeight w:val="184"/>
        </w:trPr>
        <w:tc>
          <w:tcPr>
            <w:tcW w:w="52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Less: Comprehensive (loss) income attributable to redeemable</w:t>
            </w: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34"/>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(7,134)</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(6,870)</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r>
      <w:tr>
        <w:trPr>
          <w:trHeight w:val="223"/>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Comprehensive (loss) income attributable to Vera Bradley, Inc.</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(36,847)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6,893</w:t>
            </w:r>
          </w:p>
        </w:tc>
      </w:tr>
      <w:tr>
        <w:trPr>
          <w:trHeight w:val="21"/>
        </w:trPr>
        <w:tc>
          <w:tcPr>
            <w:tcW w:w="5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210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vMerge w:val="restart"/>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17"/>
        </w:trPr>
        <w:tc>
          <w:tcPr>
            <w:tcW w:w="4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94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1"/>
                <w:szCs w:val="11"/>
                <w:color w:val="auto"/>
              </w:rPr>
            </w:pPr>
          </w:p>
        </w:tc>
        <w:tc>
          <w:tcPr>
            <w:tcW w:w="88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1"/>
                <w:szCs w:val="11"/>
                <w:color w:val="auto"/>
              </w:rPr>
            </w:pPr>
          </w:p>
        </w:tc>
        <w:tc>
          <w:tcPr>
            <w:tcW w:w="760" w:type="dxa"/>
            <w:vAlign w:val="bottom"/>
          </w:tcPr>
          <w:p>
            <w:pPr>
              <w:jc w:val="center"/>
              <w:ind w:right="53"/>
              <w:spacing w:after="0" w:line="135" w:lineRule="exact"/>
              <w:rPr>
                <w:sz w:val="20"/>
                <w:szCs w:val="20"/>
                <w:color w:val="auto"/>
              </w:rPr>
            </w:pPr>
            <w:r>
              <w:rPr>
                <w:rFonts w:ascii="Times New Roman" w:cs="Times New Roman" w:eastAsia="Times New Roman" w:hAnsi="Times New Roman"/>
                <w:sz w:val="14"/>
                <w:szCs w:val="14"/>
                <w:b w:val="1"/>
                <w:bCs w:val="1"/>
                <w:color w:val="auto"/>
              </w:rPr>
              <w:t>Equity of</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2"/>
            <w:vMerge w:val="continue"/>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Vera Bradley,</w:t>
            </w:r>
          </w:p>
        </w:tc>
        <w:tc>
          <w:tcPr>
            <w:tcW w:w="0" w:type="dxa"/>
            <w:vAlign w:val="bottom"/>
          </w:tcPr>
          <w:p>
            <w:pPr>
              <w:spacing w:after="0"/>
              <w:rPr>
                <w:sz w:val="1"/>
                <w:szCs w:val="1"/>
                <w:color w:val="auto"/>
              </w:rPr>
            </w:pPr>
          </w:p>
        </w:tc>
      </w:tr>
      <w:tr>
        <w:trPr>
          <w:trHeight w:val="198"/>
        </w:trPr>
        <w:tc>
          <w:tcPr>
            <w:tcW w:w="424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7"/>
                <w:szCs w:val="17"/>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9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76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Inc.</w:t>
            </w:r>
          </w:p>
        </w:tc>
        <w:tc>
          <w:tcPr>
            <w:tcW w:w="0" w:type="dxa"/>
            <w:vAlign w:val="bottom"/>
          </w:tcPr>
          <w:p>
            <w:pPr>
              <w:spacing w:after="0"/>
              <w:rPr>
                <w:sz w:val="1"/>
                <w:szCs w:val="1"/>
                <w:color w:val="auto"/>
              </w:rPr>
            </w:pPr>
          </w:p>
        </w:tc>
      </w:tr>
      <w:tr>
        <w:trPr>
          <w:trHeight w:val="228"/>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29, 2022</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33,170,430</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9,258,741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107,907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334,364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(114,802)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327,440</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Vera Bradley, Inc.</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(6,974)</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shares vested, net of repurchase for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404,469</w:t>
            </w:r>
          </w:p>
        </w:tc>
        <w:tc>
          <w:tcPr>
            <w:tcW w:w="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purchased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(1,423,096)</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1,423,096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(10,454)</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April 30, 2022</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32,151,803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10,681,837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107,040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327,390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5"/>
              </w:rPr>
              <w:t>$</w:t>
            </w:r>
            <w:r>
              <w:rPr>
                <w:rFonts w:ascii="Times New Roman" w:cs="Times New Roman" w:eastAsia="Times New Roman" w:hAnsi="Times New Roman"/>
                <w:sz w:val="18"/>
                <w:szCs w:val="18"/>
                <w:b w:val="1"/>
                <w:bCs w:val="1"/>
                <w:color w:val="auto"/>
                <w:w w:val="95"/>
              </w:rPr>
              <w:t xml:space="preserve"> (125,256)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309,114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loss attributable to Vera Bradley, Inc.</w:t>
            </w:r>
          </w:p>
        </w:tc>
        <w:tc>
          <w:tcPr>
            <w:tcW w:w="104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tcBorders>
              <w:top w:val="single" w:sz="8" w:color="CCEEFF"/>
            </w:tcBorders>
            <w:vMerge w:val="continue"/>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(29,767)</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ind w:left="5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860" w:type="dxa"/>
            <w:vAlign w:val="bottom"/>
            <w:tcBorders>
              <w:top w:val="single" w:sz="8" w:color="auto"/>
            </w:tcBorders>
          </w:tcPr>
          <w:p>
            <w:pPr>
              <w:ind w:left="6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(29,767)</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shares vested, net of repurchase for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purchased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(986,023)</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986,023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(6,023)</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July 30, 2022</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31,165,869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11,667,860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107,941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297,623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5"/>
              </w:rPr>
              <w:t>$</w:t>
            </w:r>
            <w:r>
              <w:rPr>
                <w:rFonts w:ascii="Times New Roman" w:cs="Times New Roman" w:eastAsia="Times New Roman" w:hAnsi="Times New Roman"/>
                <w:sz w:val="18"/>
                <w:szCs w:val="18"/>
                <w:b w:val="1"/>
                <w:bCs w:val="1"/>
                <w:color w:val="auto"/>
                <w:w w:val="95"/>
              </w:rPr>
              <w:t xml:space="preserve"> (131,279)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274,150</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17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210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vMerge w:val="restart"/>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17"/>
        </w:trPr>
        <w:tc>
          <w:tcPr>
            <w:tcW w:w="4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94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1"/>
                <w:szCs w:val="11"/>
                <w:color w:val="auto"/>
              </w:rPr>
            </w:pPr>
          </w:p>
        </w:tc>
        <w:tc>
          <w:tcPr>
            <w:tcW w:w="88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1"/>
                <w:szCs w:val="11"/>
                <w:color w:val="auto"/>
              </w:rPr>
            </w:pPr>
          </w:p>
        </w:tc>
        <w:tc>
          <w:tcPr>
            <w:tcW w:w="760" w:type="dxa"/>
            <w:vAlign w:val="bottom"/>
          </w:tcPr>
          <w:p>
            <w:pPr>
              <w:jc w:val="center"/>
              <w:ind w:right="53"/>
              <w:spacing w:after="0" w:line="135" w:lineRule="exact"/>
              <w:rPr>
                <w:sz w:val="20"/>
                <w:szCs w:val="20"/>
                <w:color w:val="auto"/>
              </w:rPr>
            </w:pPr>
            <w:r>
              <w:rPr>
                <w:rFonts w:ascii="Times New Roman" w:cs="Times New Roman" w:eastAsia="Times New Roman" w:hAnsi="Times New Roman"/>
                <w:sz w:val="14"/>
                <w:szCs w:val="14"/>
                <w:b w:val="1"/>
                <w:bCs w:val="1"/>
                <w:color w:val="auto"/>
              </w:rPr>
              <w:t>Equity of</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2"/>
            <w:vMerge w:val="continue"/>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Vera Bradley,</w:t>
            </w:r>
          </w:p>
        </w:tc>
        <w:tc>
          <w:tcPr>
            <w:tcW w:w="0" w:type="dxa"/>
            <w:vAlign w:val="bottom"/>
          </w:tcPr>
          <w:p>
            <w:pPr>
              <w:spacing w:after="0"/>
              <w:rPr>
                <w:sz w:val="1"/>
                <w:szCs w:val="1"/>
                <w:color w:val="auto"/>
              </w:rPr>
            </w:pPr>
          </w:p>
        </w:tc>
      </w:tr>
      <w:tr>
        <w:trPr>
          <w:trHeight w:val="198"/>
        </w:trPr>
        <w:tc>
          <w:tcPr>
            <w:tcW w:w="424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76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Inc.</w:t>
            </w:r>
          </w:p>
        </w:tc>
        <w:tc>
          <w:tcPr>
            <w:tcW w:w="0" w:type="dxa"/>
            <w:vAlign w:val="bottom"/>
          </w:tcPr>
          <w:p>
            <w:pPr>
              <w:spacing w:after="0"/>
              <w:rPr>
                <w:sz w:val="1"/>
                <w:szCs w:val="1"/>
                <w:color w:val="auto"/>
              </w:rPr>
            </w:pPr>
          </w:p>
        </w:tc>
      </w:tr>
      <w:tr>
        <w:trPr>
          <w:trHeight w:val="228"/>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30, 2021</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33,414,490</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8,393,207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105,433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316,526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 (107,060)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314,907</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Vera Bradley, Inc.</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available-for-sale debt investments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shares vested, net of repurchase for taxes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570,562</w:t>
            </w: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May 1, 2021</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33,985,052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8,393,207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105,076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314,381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 xml:space="preserve"> (107,060)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312,397</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income attributable to Vera Bradley, Inc.</w:t>
            </w:r>
          </w:p>
        </w:tc>
        <w:tc>
          <w:tcPr>
            <w:tcW w:w="104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tcBorders>
              <w:top w:val="single" w:sz="8" w:color="CCEEFF"/>
            </w:tcBorders>
            <w:vMerge w:val="continue"/>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9,050</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860" w:type="dxa"/>
            <w:vAlign w:val="bottom"/>
            <w:tcBorders>
              <w:top w:val="single" w:sz="8" w:color="auto"/>
            </w:tcBorders>
          </w:tcPr>
          <w:p>
            <w:pPr>
              <w:ind w:left="6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9,050</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available-for-sale debt investments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shares vested, net of repurchase for taxes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36,278</w:t>
            </w: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July 31, 2021</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34,021,330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8,393,207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106,455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323,431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 xml:space="preserve"> (107,060)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322,822</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4"/>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23"/>
        </w:trPr>
        <w:tc>
          <w:tcPr>
            <w:tcW w:w="8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31"/>
        </w:trPr>
        <w:tc>
          <w:tcPr>
            <w:tcW w:w="8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July 30,</w:t>
            </w:r>
          </w:p>
        </w:tc>
        <w:tc>
          <w:tcPr>
            <w:tcW w:w="280" w:type="dxa"/>
            <w:vAlign w:val="bottom"/>
          </w:tcPr>
          <w:p>
            <w:pPr>
              <w:spacing w:after="0"/>
              <w:rPr>
                <w:sz w:val="11"/>
                <w:szCs w:val="11"/>
                <w:color w:val="auto"/>
              </w:rPr>
            </w:pPr>
          </w:p>
        </w:tc>
        <w:tc>
          <w:tcPr>
            <w:tcW w:w="1160" w:type="dxa"/>
            <w:vAlign w:val="bottom"/>
          </w:tcPr>
          <w:p>
            <w:pPr>
              <w:jc w:val="right"/>
              <w:ind w:right="408"/>
              <w:spacing w:after="0" w:line="131" w:lineRule="exact"/>
              <w:rPr>
                <w:sz w:val="20"/>
                <w:szCs w:val="20"/>
                <w:color w:val="auto"/>
              </w:rPr>
            </w:pPr>
            <w:r>
              <w:rPr>
                <w:rFonts w:ascii="Times New Roman" w:cs="Times New Roman" w:eastAsia="Times New Roman" w:hAnsi="Times New Roman"/>
                <w:sz w:val="14"/>
                <w:szCs w:val="14"/>
                <w:b w:val="1"/>
                <w:bCs w:val="1"/>
                <w:color w:val="auto"/>
              </w:rPr>
              <w:t>July 31,</w:t>
            </w:r>
          </w:p>
        </w:tc>
      </w:tr>
      <w:tr>
        <w:trPr>
          <w:trHeight w:val="195"/>
        </w:trPr>
        <w:tc>
          <w:tcPr>
            <w:tcW w:w="8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95"/>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(43,611)</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8,339</w:t>
            </w: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income to net cash (used in) provided by operating activities: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195"/>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of property, plant, and equipment</w:t>
            </w: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4,514</w:t>
            </w:r>
          </w:p>
        </w:tc>
      </w:tr>
      <w:tr>
        <w:trPr>
          <w:trHeight w:val="21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of operating right-of-use assets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10,026</w:t>
            </w:r>
          </w:p>
        </w:tc>
      </w:tr>
      <w:tr>
        <w:trPr>
          <w:trHeight w:val="195"/>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Goodwill and intangible asset impairment</w:t>
            </w: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29,338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impairment charges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1,537</w:t>
            </w:r>
          </w:p>
        </w:tc>
      </w:tr>
      <w:tr>
        <w:trPr>
          <w:trHeight w:val="21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Provision for doubtful accounts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95"/>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3,372</w:t>
            </w:r>
          </w:p>
        </w:tc>
      </w:tr>
      <w:tr>
        <w:trPr>
          <w:trHeight w:val="21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income taxes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r>
      <w:tr>
        <w:trPr>
          <w:trHeight w:val="195"/>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non-cash gain, net</w:t>
            </w:r>
          </w:p>
        </w:tc>
        <w:tc>
          <w:tcPr>
            <w:tcW w:w="28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21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195"/>
        </w:trPr>
        <w:tc>
          <w:tcPr>
            <w:tcW w:w="82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Accounts receivable</w:t>
            </w: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(2,380)</w:t>
            </w:r>
          </w:p>
        </w:tc>
      </w:tr>
      <w:tr>
        <w:trPr>
          <w:trHeight w:val="210"/>
        </w:trPr>
        <w:tc>
          <w:tcPr>
            <w:tcW w:w="8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Inventories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(34,676)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(6,632)</w:t>
            </w:r>
          </w:p>
        </w:tc>
      </w:tr>
      <w:tr>
        <w:trPr>
          <w:trHeight w:val="195"/>
        </w:trPr>
        <w:tc>
          <w:tcPr>
            <w:tcW w:w="82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2,153</w:t>
            </w:r>
          </w:p>
        </w:tc>
      </w:tr>
      <w:tr>
        <w:trPr>
          <w:trHeight w:val="210"/>
        </w:trPr>
        <w:tc>
          <w:tcPr>
            <w:tcW w:w="8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Accounts payable</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2,696</w:t>
            </w:r>
          </w:p>
        </w:tc>
      </w:tr>
      <w:tr>
        <w:trPr>
          <w:trHeight w:val="195"/>
        </w:trPr>
        <w:tc>
          <w:tcPr>
            <w:tcW w:w="82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Income taxes</w:t>
            </w: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w:t>
            </w:r>
          </w:p>
        </w:tc>
      </w:tr>
      <w:tr>
        <w:trPr>
          <w:trHeight w:val="210"/>
        </w:trPr>
        <w:tc>
          <w:tcPr>
            <w:tcW w:w="8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Operating lease liabilities, net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(13,202)</w:t>
            </w:r>
          </w:p>
        </w:tc>
      </w:tr>
      <w:tr>
        <w:trPr>
          <w:trHeight w:val="196"/>
        </w:trPr>
        <w:tc>
          <w:tcPr>
            <w:tcW w:w="82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4"/>
                <w:szCs w:val="14"/>
                <w:color w:val="auto"/>
              </w:rPr>
              <w:t>Accrued and other liabilities</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7,989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5,085</w:t>
            </w:r>
          </w:p>
        </w:tc>
      </w:tr>
      <w:tr>
        <w:trPr>
          <w:trHeight w:val="20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(27,118)</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16,487</w:t>
            </w:r>
          </w:p>
        </w:tc>
      </w:tr>
      <w:tr>
        <w:trPr>
          <w:trHeight w:val="17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(2,281)</w:t>
            </w:r>
          </w:p>
        </w:tc>
      </w:tr>
      <w:tr>
        <w:trPr>
          <w:trHeight w:val="195"/>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maturities and sales of investments</w:t>
            </w:r>
          </w:p>
        </w:tc>
        <w:tc>
          <w:tcPr>
            <w:tcW w:w="28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w:t>
            </w:r>
          </w:p>
        </w:tc>
      </w:tr>
      <w:tr>
        <w:trPr>
          <w:trHeight w:val="21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disposal of property, plant, and equipment</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9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8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(4,391)</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(1,671)</w:t>
            </w:r>
          </w:p>
        </w:tc>
      </w:tr>
      <w:tr>
        <w:trPr>
          <w:trHeight w:val="18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95"/>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Tax withholdings for equity compensation</w:t>
            </w: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(2,350)</w:t>
            </w:r>
          </w:p>
        </w:tc>
      </w:tr>
      <w:tr>
        <w:trPr>
          <w:trHeight w:val="21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(16,477)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Distributions to redeemable noncontrolling interest</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(879)</w:t>
            </w:r>
          </w:p>
        </w:tc>
      </w:tr>
      <w:tr>
        <w:trPr>
          <w:trHeight w:val="20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(18,500)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(3,229)</w:t>
            </w:r>
          </w:p>
        </w:tc>
      </w:tr>
      <w:tr>
        <w:trPr>
          <w:trHeight w:val="18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0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(50,115)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11,578</w:t>
            </w:r>
          </w:p>
        </w:tc>
      </w:tr>
      <w:tr>
        <w:trPr>
          <w:trHeight w:val="196"/>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88,436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64,175</w:t>
            </w:r>
          </w:p>
        </w:tc>
      </w:tr>
      <w:tr>
        <w:trPr>
          <w:trHeight w:val="221"/>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38,321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75,753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4"/>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23"/>
        </w:trPr>
        <w:tc>
          <w:tcPr>
            <w:tcW w:w="8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31"/>
        </w:trPr>
        <w:tc>
          <w:tcPr>
            <w:tcW w:w="8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July 30,</w:t>
            </w:r>
          </w:p>
        </w:tc>
        <w:tc>
          <w:tcPr>
            <w:tcW w:w="280" w:type="dxa"/>
            <w:vAlign w:val="bottom"/>
          </w:tcPr>
          <w:p>
            <w:pPr>
              <w:spacing w:after="0"/>
              <w:rPr>
                <w:sz w:val="11"/>
                <w:szCs w:val="11"/>
                <w:color w:val="auto"/>
              </w:rPr>
            </w:pPr>
          </w:p>
        </w:tc>
        <w:tc>
          <w:tcPr>
            <w:tcW w:w="1160" w:type="dxa"/>
            <w:vAlign w:val="bottom"/>
          </w:tcPr>
          <w:p>
            <w:pPr>
              <w:jc w:val="right"/>
              <w:ind w:right="408"/>
              <w:spacing w:after="0" w:line="131" w:lineRule="exact"/>
              <w:rPr>
                <w:sz w:val="20"/>
                <w:szCs w:val="20"/>
                <w:color w:val="auto"/>
              </w:rPr>
            </w:pPr>
            <w:r>
              <w:rPr>
                <w:rFonts w:ascii="Times New Roman" w:cs="Times New Roman" w:eastAsia="Times New Roman" w:hAnsi="Times New Roman"/>
                <w:sz w:val="14"/>
                <w:szCs w:val="14"/>
                <w:b w:val="1"/>
                <w:bCs w:val="1"/>
                <w:color w:val="auto"/>
              </w:rPr>
              <w:t>July 31,</w:t>
            </w:r>
          </w:p>
        </w:tc>
      </w:tr>
      <w:tr>
        <w:trPr>
          <w:trHeight w:val="195"/>
        </w:trPr>
        <w:tc>
          <w:tcPr>
            <w:tcW w:w="8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8"/>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9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(received) paid for income taxes, net</w:t>
            </w: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(6,755)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1,157</w:t>
            </w:r>
          </w:p>
        </w:tc>
      </w:tr>
      <w:tr>
        <w:trPr>
          <w:trHeight w:val="21"/>
        </w:trPr>
        <w:tc>
          <w:tcPr>
            <w:tcW w:w="8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5"/>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activity</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95"/>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operating, investing, and financing activities</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0"/>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196"/>
        </w:trPr>
        <w:tc>
          <w:tcPr>
            <w:tcW w:w="82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Expenditures incurred but not yet paid as of July 30, 2022 and July 31, 2021</w:t>
            </w: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1,353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974</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1"/>
        </w:trPr>
        <w:tc>
          <w:tcPr>
            <w:tcW w:w="82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Expenditures incurred but not yet paid as of January 29, 2022 and January 30, 2021</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343</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Refer to Note 3 herein for supplemental cash flow information regarding the Company’s leases.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Company and Basis of Presentation</w:t>
      </w:r>
    </w:p>
    <w:p>
      <w:pPr>
        <w:spacing w:after="0" w:line="107" w:lineRule="exact"/>
        <w:rPr>
          <w:rFonts w:ascii="Times New Roman" w:cs="Times New Roman" w:eastAsia="Times New Roman" w:hAnsi="Times New Roman"/>
          <w:sz w:val="18"/>
          <w:szCs w:val="18"/>
          <w:b w:val="1"/>
          <w:bCs w:val="1"/>
          <w:color w:val="auto"/>
        </w:rPr>
      </w:pPr>
    </w:p>
    <w:p>
      <w:pPr>
        <w:ind w:left="660" w:right="1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 “Company” refers to Vera Bradley, Inc. and its wholly and majority owned subsidiaries, except where the context requires otherwise or where otherwise indicated.</w:t>
      </w:r>
    </w:p>
    <w:p>
      <w:pPr>
        <w:spacing w:after="0" w:line="26" w:lineRule="exact"/>
        <w:rPr>
          <w:rFonts w:ascii="Times New Roman" w:cs="Times New Roman" w:eastAsia="Times New Roman" w:hAnsi="Times New Roman"/>
          <w:sz w:val="18"/>
          <w:szCs w:val="18"/>
          <w:b w:val="1"/>
          <w:bCs w:val="1"/>
          <w:color w:val="auto"/>
        </w:rPr>
      </w:pPr>
    </w:p>
    <w:p>
      <w:pPr>
        <w:ind w:left="660"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Vera Bradley, Inc. operates two unique lifestyle brands – Vera Bradley and Pura Vida. We believe Vera Bradley and Pura Vida are complementary businesses, both with devoted, emotionally-connected, and multi-generational female customer bases; alignment as causal, comfortable, affordable, and fun brands; positioning as “gifting” and socially-connected brands; strong, entrepreneurial cultures; a keen focus on community, charity, and social consciousness; multi-channel distribution strategies; and talented leadership teams aligned and committed to the long-term success of their brands.</w:t>
      </w:r>
    </w:p>
    <w:p>
      <w:pPr>
        <w:spacing w:after="0" w:line="61" w:lineRule="exact"/>
        <w:rPr>
          <w:rFonts w:ascii="Times New Roman" w:cs="Times New Roman" w:eastAsia="Times New Roman" w:hAnsi="Times New Roman"/>
          <w:sz w:val="18"/>
          <w:szCs w:val="18"/>
          <w:b w:val="1"/>
          <w:bCs w:val="1"/>
          <w:color w:val="auto"/>
        </w:rPr>
      </w:pPr>
    </w:p>
    <w:p>
      <w:pPr>
        <w:ind w:left="660"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Vera Bradley is a leading designer of women’s handbags, luggage and travel items, fashion and home accessories, and unique gifts. Founded in 1982 by friends Barbara Bradley Baekgaard and Patricia R. Miller, the brand’s innovative designs, iconic patterns, and brilliant colors continue to inspire and connect women.</w:t>
      </w:r>
    </w:p>
    <w:p>
      <w:pPr>
        <w:spacing w:after="0" w:line="54" w:lineRule="exact"/>
        <w:rPr>
          <w:rFonts w:ascii="Times New Roman" w:cs="Times New Roman" w:eastAsia="Times New Roman" w:hAnsi="Times New Roman"/>
          <w:sz w:val="18"/>
          <w:szCs w:val="18"/>
          <w:b w:val="1"/>
          <w:bCs w:val="1"/>
          <w:color w:val="auto"/>
        </w:rPr>
      </w:pPr>
    </w:p>
    <w:p>
      <w:pPr>
        <w:ind w:left="660"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July 2019, Vera Bradley, Inc. acquired a 75% interest in Creative Genius, Inc., which also operates under the name Pura Vida Bracelets (“Pura Vida”). Pura Vida, based in La Jolla, California, is a digitally native lifestyle brand that we believe deeply resonates with its loyal consumer following. The Pura Vida brand has a differentiated and expanding offering of bracelets, jewelry, and other lifestyle accessories.</w:t>
      </w:r>
    </w:p>
    <w:p>
      <w:pPr>
        <w:spacing w:after="0" w:line="40"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three reportable segments: Vera Bradley Direct (“VB Direct”), Vera Bradley Indirect (“VB Indirect”), and Pura Vida.</w:t>
      </w:r>
    </w:p>
    <w:p>
      <w:pPr>
        <w:spacing w:after="0" w:line="103" w:lineRule="exact"/>
        <w:rPr>
          <w:rFonts w:ascii="Times New Roman" w:cs="Times New Roman" w:eastAsia="Times New Roman" w:hAnsi="Times New Roman"/>
          <w:sz w:val="18"/>
          <w:szCs w:val="18"/>
          <w:b w:val="1"/>
          <w:bCs w:val="1"/>
          <w:color w:val="auto"/>
        </w:rPr>
      </w:pPr>
    </w:p>
    <w:p>
      <w:pPr>
        <w:ind w:left="980" w:right="460" w:hanging="324"/>
        <w:spacing w:after="0" w:line="261" w:lineRule="auto"/>
        <w:tabs>
          <w:tab w:leader="none" w:pos="97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VB Direct business consists of sales of Vera Bradley products through Vera Bradley full-line and factory outlet stores in the United States; verabradley.com and verabradley.ca; the Vera Bradley online outlet site; and typically the Vera Bradley annual outlet sale in Fort Wayne, Indiana. As of July 30, 2022, the Company operated 64 full-line stores and 79 factory outlet stores. In light of the COVID-19 pandemic, the Company cancelled its calendar year 2022 and 2021 annual outlet sales.</w:t>
      </w:r>
    </w:p>
    <w:p>
      <w:pPr>
        <w:spacing w:after="0" w:line="58" w:lineRule="exact"/>
        <w:rPr>
          <w:rFonts w:ascii="Times New Roman" w:cs="Times New Roman" w:eastAsia="Times New Roman" w:hAnsi="Times New Roman"/>
          <w:sz w:val="18"/>
          <w:szCs w:val="18"/>
          <w:color w:val="auto"/>
        </w:rPr>
      </w:pPr>
    </w:p>
    <w:p>
      <w:pPr>
        <w:ind w:left="980" w:right="300" w:hanging="324"/>
        <w:spacing w:after="0" w:line="266" w:lineRule="auto"/>
        <w:tabs>
          <w:tab w:leader="none" w:pos="97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VB Indirect business consists of sales of Vera Bradley products to approximately 1,700 specialty retail locations, substantially all of which are located in the United States, as well as department stores, national accounts, third-party e-commerce sites, third-party inventory liquidators, and royalties recognized through licensing agreements related to the Vera Bradley brand.</w:t>
      </w:r>
    </w:p>
    <w:p>
      <w:pPr>
        <w:spacing w:after="0" w:line="40"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97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Pura Vida segment represents revenues generated through the Pura Vida websites, www.puravidabracelets.com, www.puravidabracelets.eu, and www.puravidabracelets.ca, the distribution of Pura Vida-branded products to wholesale retailers, substantially all of which are located in the United States, as well as through its two retail stores which opened in August 2021 and July 2022.</w:t>
      </w:r>
    </w:p>
    <w:p>
      <w:pPr>
        <w:spacing w:after="0" w:line="54"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the rules and regulations of the Securities and Exchange Commission (“SEC”). Accordingly, certain information and footnote disclosures normally included in financial statements prepared in accordance with accounting principles generally accepted in the United States (“GAAP”) have been condensed or omitted as permitted by such rules and regulations. These interim condensed consolidated financial statements should be read in conjunction with the audited consolidated financial statements and notes included in the Company’s Annual Report on Form 10-K for the fiscal year ended January 29, 2022, filed with the SEC.</w:t>
      </w:r>
    </w:p>
    <w:p>
      <w:pPr>
        <w:spacing w:after="0" w:line="66" w:lineRule="exact"/>
        <w:rPr>
          <w:sz w:val="20"/>
          <w:szCs w:val="20"/>
          <w:color w:val="auto"/>
        </w:rPr>
      </w:pPr>
    </w:p>
    <w:p>
      <w:pPr>
        <w:ind w:left="660" w:right="160"/>
        <w:spacing w:after="0" w:line="261" w:lineRule="auto"/>
        <w:rPr>
          <w:sz w:val="20"/>
          <w:szCs w:val="20"/>
          <w:color w:val="auto"/>
        </w:rPr>
      </w:pPr>
      <w:r>
        <w:rPr>
          <w:rFonts w:ascii="Times New Roman" w:cs="Times New Roman" w:eastAsia="Times New Roman" w:hAnsi="Times New Roman"/>
          <w:sz w:val="18"/>
          <w:szCs w:val="18"/>
          <w:color w:val="auto"/>
        </w:rPr>
        <w:t>The interim financial statements reflect all adjustments that are, in the opinion of management, necessary to present fairly the results for the interim periods presented. All such adjustments are of a normal, recurring nature. The results of operations for the thirteen and twenty-six weeks ended July 30, 2022, are not necessarily indicative of the results to be expected for the full fiscal year due to, in part, the uncertainty of macroeconomic factors on future periods, including inflation and supply chain challenges, among other related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94" w:lineRule="exact"/>
        <w:rPr>
          <w:sz w:val="20"/>
          <w:szCs w:val="20"/>
          <w:color w:val="auto"/>
        </w:rPr>
      </w:pPr>
    </w:p>
    <w:p>
      <w:pPr>
        <w:ind w:left="660" w:right="40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its wholly owned subsidiaries, and its majority owned subsidiary, Pura Vida. The Company has eliminated intercompany balances and transactions in consolidation.</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Fiscal Periods</w:t>
      </w:r>
    </w:p>
    <w:p>
      <w:pPr>
        <w:spacing w:after="0" w:line="108" w:lineRule="exact"/>
        <w:rPr>
          <w:sz w:val="20"/>
          <w:szCs w:val="20"/>
          <w:color w:val="auto"/>
        </w:rPr>
      </w:pPr>
    </w:p>
    <w:p>
      <w:pPr>
        <w:ind w:left="660" w:right="340"/>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the Saturday closest to January 31. References to the fiscal quarters ended July 30, 2022 and July 31, 2021 refer to the thirteen week periods ended on those dates.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08" w:lineRule="exact"/>
        <w:rPr>
          <w:sz w:val="20"/>
          <w:szCs w:val="20"/>
          <w:color w:val="auto"/>
        </w:rPr>
      </w:pPr>
    </w:p>
    <w:p>
      <w:pPr>
        <w:ind w:left="660" w:right="180"/>
        <w:spacing w:after="0" w:line="282" w:lineRule="auto"/>
        <w:rPr>
          <w:sz w:val="20"/>
          <w:szCs w:val="20"/>
          <w:color w:val="auto"/>
        </w:rPr>
      </w:pPr>
      <w:r>
        <w:rPr>
          <w:rFonts w:ascii="Times New Roman" w:cs="Times New Roman" w:eastAsia="Times New Roman" w:hAnsi="Times New Roman"/>
          <w:sz w:val="18"/>
          <w:szCs w:val="18"/>
          <w:color w:val="auto"/>
        </w:rPr>
        <w:t>There were no new accounting pronouncements issued or which became effective during the thirteen and twenty-six weeks ended July 30, 2022, which had, or are expected to have, a significant impact on the Company's Consolidated Financial Statements.</w:t>
      </w:r>
    </w:p>
    <w:p>
      <w:pPr>
        <w:spacing w:after="0" w:line="185"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252"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Disaggregation of Revenue</w:t>
      </w:r>
    </w:p>
    <w:p>
      <w:pPr>
        <w:spacing w:after="0" w:line="107"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presents the Company's net revenues disaggregated by product category for the thirteen and twenty-six weeks ended July 30, 2022 and July 31, 2021 (in thousands):</w:t>
      </w:r>
    </w:p>
    <w:p>
      <w:pPr>
        <w:spacing w:after="0" w:line="6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July 30, 2022</w:t>
            </w: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64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Direct Segment</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right"/>
              <w:ind w:right="197"/>
              <w:spacing w:after="0" w:line="137" w:lineRule="exact"/>
              <w:rPr>
                <w:sz w:val="20"/>
                <w:szCs w:val="20"/>
                <w:color w:val="auto"/>
              </w:rPr>
            </w:pPr>
            <w:r>
              <w:rPr>
                <w:rFonts w:ascii="Times New Roman" w:cs="Times New Roman" w:eastAsia="Times New Roman" w:hAnsi="Times New Roman"/>
                <w:sz w:val="14"/>
                <w:szCs w:val="14"/>
                <w:b w:val="1"/>
                <w:bCs w:val="1"/>
                <w:color w:val="auto"/>
              </w:rPr>
              <w:t>VB Indirect</w:t>
            </w:r>
          </w:p>
        </w:tc>
        <w:tc>
          <w:tcPr>
            <w:tcW w:w="320" w:type="dxa"/>
            <w:vAlign w:val="bottom"/>
          </w:tcPr>
          <w:p>
            <w:pPr>
              <w:spacing w:after="0"/>
              <w:rPr>
                <w:sz w:val="11"/>
                <w:szCs w:val="11"/>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Pura Vida Segment</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64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4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38,373</w:t>
            </w:r>
          </w:p>
        </w:tc>
        <w:tc>
          <w:tcPr>
            <w:tcW w:w="3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9,603</w:t>
            </w:r>
          </w:p>
        </w:tc>
        <w:tc>
          <w:tcPr>
            <w:tcW w:w="320" w:type="dxa"/>
            <w:vAlign w:val="bottom"/>
          </w:tcPr>
          <w:p>
            <w:pPr>
              <w:spacing w:after="0"/>
              <w:rPr>
                <w:sz w:val="19"/>
                <w:szCs w:val="19"/>
                <w:color w:val="auto"/>
              </w:rPr>
            </w:pPr>
          </w:p>
        </w:tc>
        <w:tc>
          <w:tcPr>
            <w:tcW w:w="640" w:type="dxa"/>
            <w:vAlign w:val="bottom"/>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3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48,755</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20,071</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23,104</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15,757</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23,269</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41,662</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8,726</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9,458</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Apparel/Footwear</w:t>
            </w:r>
            <w:r>
              <w:rPr>
                <w:rFonts w:ascii="Times New Roman" w:cs="Times New Roman" w:eastAsia="Times New Roman" w:hAnsi="Times New Roman"/>
                <w:sz w:val="23"/>
                <w:szCs w:val="23"/>
                <w:color w:val="auto"/>
                <w:vertAlign w:val="superscript"/>
              </w:rPr>
              <w:t>(6)</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(1)</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87,013</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(4)</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17,325</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26,033</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130,371</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920" w:hanging="246"/>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stationery, freight, and gift card breakage.</w:t>
      </w:r>
    </w:p>
    <w:p>
      <w:pPr>
        <w:spacing w:after="0" w:line="27"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and freight.</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freight.</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22" w:lineRule="exact"/>
        <w:rPr>
          <w:rFonts w:ascii="Times New Roman" w:cs="Times New Roman" w:eastAsia="Times New Roman" w:hAnsi="Times New Roman"/>
          <w:sz w:val="18"/>
          <w:szCs w:val="18"/>
          <w:color w:val="auto"/>
        </w:rPr>
      </w:pPr>
    </w:p>
    <w:p>
      <w:pPr>
        <w:ind w:left="680" w:right="840" w:hanging="6"/>
        <w:spacing w:after="0" w:line="242" w:lineRule="auto"/>
        <w:tabs>
          <w:tab w:leader="none" w:pos="9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$16.6 million of net revenues related to product sales recognized at a point in time and $0.7 million of net revenues related to sales-based royalties recognized over time.</w:t>
      </w:r>
    </w:p>
    <w:p>
      <w:pPr>
        <w:spacing w:after="0" w:line="1"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mask sales.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5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July 31, 2021</w:t>
            </w: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64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Direct Segment</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right"/>
              <w:ind w:right="197"/>
              <w:spacing w:after="0" w:line="135" w:lineRule="exact"/>
              <w:rPr>
                <w:sz w:val="20"/>
                <w:szCs w:val="20"/>
                <w:color w:val="auto"/>
              </w:rPr>
            </w:pPr>
            <w:r>
              <w:rPr>
                <w:rFonts w:ascii="Times New Roman" w:cs="Times New Roman" w:eastAsia="Times New Roman" w:hAnsi="Times New Roman"/>
                <w:sz w:val="14"/>
                <w:szCs w:val="14"/>
                <w:b w:val="1"/>
                <w:bCs w:val="1"/>
                <w:color w:val="auto"/>
              </w:rPr>
              <w:t>VB Indirect</w:t>
            </w:r>
          </w:p>
        </w:tc>
        <w:tc>
          <w:tcPr>
            <w:tcW w:w="320" w:type="dxa"/>
            <w:vAlign w:val="bottom"/>
          </w:tcPr>
          <w:p>
            <w:pPr>
              <w:spacing w:after="0"/>
              <w:rPr>
                <w:sz w:val="11"/>
                <w:szCs w:val="11"/>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Pura Vida Segment</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64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gridSpan w:val="2"/>
            <w:vMerge w:val="continue"/>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2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gridSpan w:val="2"/>
            <w:vMerge w:val="continue"/>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4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41,250</w:t>
            </w:r>
          </w:p>
        </w:tc>
        <w:tc>
          <w:tcPr>
            <w:tcW w:w="3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8,883</w:t>
            </w:r>
          </w:p>
        </w:tc>
        <w:tc>
          <w:tcPr>
            <w:tcW w:w="320" w:type="dxa"/>
            <w:vAlign w:val="bottom"/>
          </w:tcPr>
          <w:p>
            <w:pPr>
              <w:spacing w:after="0"/>
              <w:rPr>
                <w:sz w:val="19"/>
                <w:szCs w:val="19"/>
                <w:color w:val="auto"/>
              </w:rPr>
            </w:pPr>
          </w:p>
        </w:tc>
        <w:tc>
          <w:tcPr>
            <w:tcW w:w="640" w:type="dxa"/>
            <w:vAlign w:val="bottom"/>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3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50,707</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23,837</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27,162</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18,298</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30,448</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51,343</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9,348</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10,066</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Apparel/Footwear</w:t>
            </w:r>
            <w:r>
              <w:rPr>
                <w:rFonts w:ascii="Times New Roman" w:cs="Times New Roman" w:eastAsia="Times New Roman" w:hAnsi="Times New Roman"/>
                <w:sz w:val="23"/>
                <w:szCs w:val="23"/>
                <w:color w:val="auto"/>
                <w:vertAlign w:val="superscript"/>
              </w:rPr>
              <w:t>(6)</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(1)</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97,138</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(4)</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16,832</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33,078</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147,048</w:t>
            </w: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920" w:hanging="246"/>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stationery, freight, and gift card breakage.</w:t>
      </w:r>
    </w:p>
    <w:p>
      <w:pPr>
        <w:spacing w:after="0" w:line="27"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and freight.</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freight.</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22" w:lineRule="exact"/>
        <w:rPr>
          <w:rFonts w:ascii="Times New Roman" w:cs="Times New Roman" w:eastAsia="Times New Roman" w:hAnsi="Times New Roman"/>
          <w:sz w:val="18"/>
          <w:szCs w:val="18"/>
          <w:color w:val="auto"/>
        </w:rPr>
      </w:pPr>
    </w:p>
    <w:p>
      <w:pPr>
        <w:ind w:left="680" w:right="120" w:hanging="6"/>
        <w:spacing w:after="0" w:line="234" w:lineRule="auto"/>
        <w:tabs>
          <w:tab w:leader="none" w:pos="9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$15.9 million of net revenues related to product sales recognized at a point in time and $0.9 million of net revenues related to sales-based royalties recognized over time.</w:t>
      </w:r>
    </w:p>
    <w:p>
      <w:pPr>
        <w:spacing w:after="0" w:line="10"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mask sales.</w:t>
      </w:r>
    </w:p>
    <w:p>
      <w:pPr>
        <w:spacing w:after="0" w:line="219"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July 30, 2022</w:t>
            </w:r>
          </w:p>
        </w:tc>
        <w:tc>
          <w:tcPr>
            <w:tcW w:w="6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64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Direct Segment</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right"/>
              <w:ind w:right="197"/>
              <w:spacing w:after="0" w:line="137" w:lineRule="exact"/>
              <w:rPr>
                <w:sz w:val="20"/>
                <w:szCs w:val="20"/>
                <w:color w:val="auto"/>
              </w:rPr>
            </w:pPr>
            <w:r>
              <w:rPr>
                <w:rFonts w:ascii="Times New Roman" w:cs="Times New Roman" w:eastAsia="Times New Roman" w:hAnsi="Times New Roman"/>
                <w:sz w:val="14"/>
                <w:szCs w:val="14"/>
                <w:b w:val="1"/>
                <w:bCs w:val="1"/>
                <w:color w:val="auto"/>
              </w:rPr>
              <w:t>VB Indirect</w:t>
            </w:r>
          </w:p>
        </w:tc>
        <w:tc>
          <w:tcPr>
            <w:tcW w:w="320" w:type="dxa"/>
            <w:vAlign w:val="bottom"/>
          </w:tcPr>
          <w:p>
            <w:pPr>
              <w:spacing w:after="0"/>
              <w:rPr>
                <w:sz w:val="11"/>
                <w:szCs w:val="11"/>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Pura Vida Segment</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64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40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64,505</w:t>
            </w:r>
          </w:p>
        </w:tc>
        <w:tc>
          <w:tcPr>
            <w:tcW w:w="3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19,054</w:t>
            </w:r>
          </w:p>
        </w:tc>
        <w:tc>
          <w:tcPr>
            <w:tcW w:w="320" w:type="dxa"/>
            <w:vAlign w:val="bottom"/>
          </w:tcPr>
          <w:p>
            <w:pPr>
              <w:spacing w:after="0"/>
              <w:rPr>
                <w:sz w:val="19"/>
                <w:szCs w:val="19"/>
                <w:color w:val="auto"/>
              </w:rPr>
            </w:pPr>
          </w:p>
        </w:tc>
        <w:tc>
          <w:tcPr>
            <w:tcW w:w="680" w:type="dxa"/>
            <w:vAlign w:val="bottom"/>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3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84,401</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35,159</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41,265</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27,256</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4,404</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42,129</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73,789</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14,448</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16,306</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Apparel/Footwear</w:t>
            </w:r>
            <w:r>
              <w:rPr>
                <w:rFonts w:ascii="Times New Roman" w:cs="Times New Roman" w:eastAsia="Times New Roman" w:hAnsi="Times New Roman"/>
                <w:sz w:val="23"/>
                <w:szCs w:val="23"/>
                <w:color w:val="auto"/>
                <w:vertAlign w:val="superscript"/>
              </w:rPr>
              <w:t>(6)</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6,719</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(1)</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6,350</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148,649</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(4)</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34,302</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45,879</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228,830</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920" w:hanging="246"/>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stationery, freight, and gift card breakage.</w:t>
      </w:r>
    </w:p>
    <w:p>
      <w:pPr>
        <w:spacing w:after="0" w:line="27"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and freight.</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freight.</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22" w:lineRule="exact"/>
        <w:rPr>
          <w:rFonts w:ascii="Times New Roman" w:cs="Times New Roman" w:eastAsia="Times New Roman" w:hAnsi="Times New Roman"/>
          <w:sz w:val="18"/>
          <w:szCs w:val="18"/>
          <w:color w:val="auto"/>
        </w:rPr>
      </w:pPr>
    </w:p>
    <w:p>
      <w:pPr>
        <w:ind w:left="680" w:right="120" w:hanging="6"/>
        <w:spacing w:after="0" w:line="234" w:lineRule="auto"/>
        <w:tabs>
          <w:tab w:leader="none" w:pos="9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$32.8 million of net revenues related to product sales recognized at a point in time and $1.5 million of net revenues related to sales-based royalties recognized over time.</w:t>
      </w:r>
    </w:p>
    <w:p>
      <w:pPr>
        <w:spacing w:after="0" w:line="10"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mask sales.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117" w:right="10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5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July 31, 2021</w:t>
            </w:r>
          </w:p>
        </w:tc>
        <w:tc>
          <w:tcPr>
            <w:tcW w:w="6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64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Direct Segment</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right"/>
              <w:ind w:right="197"/>
              <w:spacing w:after="0" w:line="135" w:lineRule="exact"/>
              <w:rPr>
                <w:sz w:val="20"/>
                <w:szCs w:val="20"/>
                <w:color w:val="auto"/>
              </w:rPr>
            </w:pPr>
            <w:r>
              <w:rPr>
                <w:rFonts w:ascii="Times New Roman" w:cs="Times New Roman" w:eastAsia="Times New Roman" w:hAnsi="Times New Roman"/>
                <w:sz w:val="14"/>
                <w:szCs w:val="14"/>
                <w:b w:val="1"/>
                <w:bCs w:val="1"/>
                <w:color w:val="auto"/>
              </w:rPr>
              <w:t>VB Indirect</w:t>
            </w:r>
          </w:p>
        </w:tc>
        <w:tc>
          <w:tcPr>
            <w:tcW w:w="320" w:type="dxa"/>
            <w:vAlign w:val="bottom"/>
          </w:tcPr>
          <w:p>
            <w:pPr>
              <w:spacing w:after="0"/>
              <w:rPr>
                <w:sz w:val="11"/>
                <w:szCs w:val="11"/>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Pura Vida Segment</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64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gridSpan w:val="2"/>
            <w:vMerge w:val="continue"/>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2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gridSpan w:val="2"/>
            <w:vMerge w:val="continue"/>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40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67,688</w:t>
            </w:r>
          </w:p>
        </w:tc>
        <w:tc>
          <w:tcPr>
            <w:tcW w:w="3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16,933</w:t>
            </w:r>
          </w:p>
        </w:tc>
        <w:tc>
          <w:tcPr>
            <w:tcW w:w="320" w:type="dxa"/>
            <w:vAlign w:val="bottom"/>
          </w:tcPr>
          <w:p>
            <w:pPr>
              <w:spacing w:after="0"/>
              <w:rPr>
                <w:sz w:val="19"/>
                <w:szCs w:val="19"/>
                <w:color w:val="auto"/>
              </w:rPr>
            </w:pPr>
          </w:p>
        </w:tc>
        <w:tc>
          <w:tcPr>
            <w:tcW w:w="680" w:type="dxa"/>
            <w:vAlign w:val="bottom"/>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3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85,195</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39,016</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5,892</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44,908</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30,159</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4,824</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55,959</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90,942</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15,886</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17,341</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Apparel/Footwear</w:t>
            </w:r>
            <w:r>
              <w:rPr>
                <w:rFonts w:ascii="Times New Roman" w:cs="Times New Roman" w:eastAsia="Times New Roman" w:hAnsi="Times New Roman"/>
                <w:sz w:val="23"/>
                <w:szCs w:val="23"/>
                <w:color w:val="auto"/>
                <w:vertAlign w:val="superscript"/>
              </w:rPr>
              <w:t>(6)</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7,855</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10,490</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(1)</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7,266</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163,870</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(4)</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32,096</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60,176</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256,142</w:t>
            </w: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920" w:hanging="246"/>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stationery, freight, and gift card breakage.</w:t>
      </w:r>
    </w:p>
    <w:p>
      <w:pPr>
        <w:spacing w:after="0" w:line="27"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and freight.</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freight.</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22" w:lineRule="exact"/>
        <w:rPr>
          <w:rFonts w:ascii="Times New Roman" w:cs="Times New Roman" w:eastAsia="Times New Roman" w:hAnsi="Times New Roman"/>
          <w:sz w:val="18"/>
          <w:szCs w:val="18"/>
          <w:color w:val="auto"/>
        </w:rPr>
      </w:pPr>
    </w:p>
    <w:p>
      <w:pPr>
        <w:ind w:left="680" w:right="840" w:hanging="6"/>
        <w:spacing w:after="0" w:line="234" w:lineRule="auto"/>
        <w:tabs>
          <w:tab w:leader="none" w:pos="9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$30.4 million of net revenues related to product sales recognized at a point in time and $1.7 million of net revenues related to sales-based royalties recognized over time.</w:t>
      </w:r>
    </w:p>
    <w:p>
      <w:pPr>
        <w:spacing w:after="0" w:line="10"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mask sales.</w:t>
      </w:r>
    </w:p>
    <w:p>
      <w:pPr>
        <w:spacing w:after="0" w:line="200" w:lineRule="exact"/>
        <w:rPr>
          <w:sz w:val="20"/>
          <w:szCs w:val="20"/>
          <w:color w:val="auto"/>
        </w:rPr>
      </w:pP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08" w:lineRule="exact"/>
        <w:rPr>
          <w:sz w:val="20"/>
          <w:szCs w:val="20"/>
          <w:color w:val="auto"/>
        </w:rPr>
      </w:pPr>
    </w:p>
    <w:p>
      <w:pPr>
        <w:ind w:left="660" w:right="40"/>
        <w:spacing w:after="0" w:line="256" w:lineRule="auto"/>
        <w:rPr>
          <w:sz w:val="20"/>
          <w:szCs w:val="20"/>
          <w:color w:val="auto"/>
        </w:rPr>
      </w:pPr>
      <w:r>
        <w:rPr>
          <w:rFonts w:ascii="Times New Roman" w:cs="Times New Roman" w:eastAsia="Times New Roman" w:hAnsi="Times New Roman"/>
          <w:sz w:val="18"/>
          <w:szCs w:val="18"/>
          <w:color w:val="auto"/>
        </w:rPr>
        <w:t>Contract liabilities as of July 30, 2022 and January 29, 2022, were $2.9 million and $3.9 million, respectively. The balance as of July 30, 2022 and January 29, 2022 consisted of unredeemed gift cards, unearned revenue related to the monthly bracelet and jewelry clubs of the Pura Vida segment, Pura Vida loyalty club points, Pura Vida customer deposits and payments collected before shipment, and an immaterial amount of unearned revenue for pre-payments of royalties in certain of the Company’s licensing arrangements. These contract liabilities are recognized within other accrued liabilities on the Company’s Condensed Consolidated Balance Sheets. Substantially all contract liabilities are recognized within one year. The Company did not have contract assets as of July 30, 2022 and January 29, 2022.</w:t>
      </w:r>
    </w:p>
    <w:p>
      <w:pPr>
        <w:spacing w:after="0" w:line="52" w:lineRule="exact"/>
        <w:rPr>
          <w:sz w:val="20"/>
          <w:szCs w:val="20"/>
          <w:color w:val="auto"/>
        </w:rPr>
      </w:pPr>
    </w:p>
    <w:p>
      <w:pPr>
        <w:ind w:left="660" w:right="140"/>
        <w:spacing w:after="0" w:line="261" w:lineRule="auto"/>
        <w:rPr>
          <w:sz w:val="20"/>
          <w:szCs w:val="20"/>
          <w:color w:val="auto"/>
        </w:rPr>
      </w:pPr>
      <w:r>
        <w:rPr>
          <w:rFonts w:ascii="Times New Roman" w:cs="Times New Roman" w:eastAsia="Times New Roman" w:hAnsi="Times New Roman"/>
          <w:sz w:val="18"/>
          <w:szCs w:val="18"/>
          <w:color w:val="auto"/>
        </w:rPr>
        <w:t>The balance for accounts receivable from contracts with customers, net of allowances, as of July 30, 2022 and January 29, 2022, was $24.3 million and $18.1 million, respectively, which is recognized within accounts receivable, net, on the Company’s Condensed Consolidated Balance Sheets. The provision for doubtful accounts was $1.1 million and $1.2 million as of July 30, 2022 and January 29, 2022, respectively. The provision for doubtful accounts is based upon the likelihood of default expected during the life of the receivable.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Performance Obligations</w:t>
      </w:r>
    </w:p>
    <w:p>
      <w:pPr>
        <w:spacing w:after="0" w:line="108"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performance obligations for the VB Direct, VB Indirect, and Pura Vida segments include the promise to transfer distinct goods (or a bundle of distinct goods). The VB Indirect segment also includes the right to access intellectual property (“IP”) related to the Vera Bradley brand.</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94"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 does not have remaining performance obligations in excess of one year or contracts that it does not have the right to invoice as of July 30, 2022.</w:t>
      </w:r>
    </w:p>
    <w:p>
      <w:pPr>
        <w:spacing w:after="0" w:line="185" w:lineRule="exact"/>
        <w:rPr>
          <w:sz w:val="20"/>
          <w:szCs w:val="20"/>
          <w:color w:val="auto"/>
        </w:rPr>
      </w:pPr>
    </w:p>
    <w:p>
      <w:pPr>
        <w:ind w:left="660" w:right="9560" w:hanging="652"/>
        <w:spacing w:after="0" w:line="383" w:lineRule="auto"/>
        <w:tabs>
          <w:tab w:leader="none" w:pos="66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Leases </w:t>
      </w:r>
      <w:r>
        <w:rPr>
          <w:rFonts w:ascii="Times New Roman" w:cs="Times New Roman" w:eastAsia="Times New Roman" w:hAnsi="Times New Roman"/>
          <w:sz w:val="17"/>
          <w:szCs w:val="17"/>
          <w:i w:val="1"/>
          <w:iCs w:val="1"/>
          <w:color w:val="auto"/>
        </w:rPr>
        <w:t>Discount Rate</w:t>
      </w:r>
    </w:p>
    <w:p>
      <w:pPr>
        <w:spacing w:after="0" w:line="1" w:lineRule="exact"/>
        <w:rPr>
          <w:rFonts w:ascii="Times New Roman" w:cs="Times New Roman" w:eastAsia="Times New Roman" w:hAnsi="Times New Roman"/>
          <w:sz w:val="17"/>
          <w:szCs w:val="17"/>
          <w:b w:val="1"/>
          <w:bCs w:val="1"/>
          <w:color w:val="auto"/>
        </w:rPr>
      </w:pPr>
    </w:p>
    <w:p>
      <w:pPr>
        <w:ind w:left="660" w:right="50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weighted-average discount rate as of July 30, 2022, and July 31, 2021 was 4.6% and 4.7%, respectively. The discount rate is not readily determinable in the lease; therefore, the Company estimated the incremental borrowing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660" w:right="260"/>
        <w:spacing w:after="0" w:line="282" w:lineRule="auto"/>
        <w:rPr>
          <w:sz w:val="20"/>
          <w:szCs w:val="20"/>
          <w:color w:val="auto"/>
        </w:rPr>
      </w:pPr>
      <w:r>
        <w:rPr>
          <w:rFonts w:ascii="Times New Roman" w:cs="Times New Roman" w:eastAsia="Times New Roman" w:hAnsi="Times New Roman"/>
          <w:sz w:val="18"/>
          <w:szCs w:val="18"/>
          <w:color w:val="auto"/>
        </w:rPr>
        <w:t>rate, at the commencement date of each lease, which is the rate of interest it would have to borrow on a collateralized basis over a similar term with similar payments.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Leases Not Yet Commenced</w:t>
      </w:r>
    </w:p>
    <w:p>
      <w:pPr>
        <w:spacing w:after="0" w:line="94"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As of July 30, 2022, the Company had a total of three Vera Bradley retail store leases which were executed, but it did not have control of the underlying assets; therefore, the lease liability and right-of-use asset are not recorded on the Condensed Consolidated Balance Sheet. These leases contain undiscounted lease payments, which will be included in the determination of the lease liability, totaling approximately $6.4 million and have terms of up to 10 years commencing in fiscal year 2023.</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Amounts Recognized in the Condensed Consolidated Financial Statements</w:t>
      </w:r>
    </w:p>
    <w:p>
      <w:pPr>
        <w:spacing w:after="0" w:line="108" w:lineRule="exact"/>
        <w:rPr>
          <w:sz w:val="20"/>
          <w:szCs w:val="20"/>
          <w:color w:val="auto"/>
        </w:rPr>
      </w:pPr>
    </w:p>
    <w:p>
      <w:pPr>
        <w:jc w:val="both"/>
        <w:ind w:left="660" w:right="40"/>
        <w:spacing w:after="0" w:line="266" w:lineRule="auto"/>
        <w:rPr>
          <w:sz w:val="20"/>
          <w:szCs w:val="20"/>
          <w:color w:val="auto"/>
        </w:rPr>
      </w:pPr>
      <w:r>
        <w:rPr>
          <w:rFonts w:ascii="Times New Roman" w:cs="Times New Roman" w:eastAsia="Times New Roman" w:hAnsi="Times New Roman"/>
          <w:sz w:val="18"/>
          <w:szCs w:val="18"/>
          <w:color w:val="auto"/>
        </w:rPr>
        <w:t>The following lease expense is recorded within cost of sales for the Asia sourcing office and certain equipment leases and within selling, general, and administrative expenses for all other leases, including retail store leases, in the Company's Condensed Consolidated Statement of Operations for the thirteen and twenty-six weeks ended July 30, 2022 and July 31, 2021 (in thousands):</w:t>
      </w:r>
    </w:p>
    <w:p>
      <w:pPr>
        <w:spacing w:after="0" w:line="88"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3200" w:type="dxa"/>
            <w:vAlign w:val="bottom"/>
            <w:gridSpan w:val="4"/>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0" w:type="dxa"/>
            <w:vAlign w:val="bottom"/>
            <w:gridSpan w:val="4"/>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23"/>
        </w:trPr>
        <w:tc>
          <w:tcPr>
            <w:tcW w:w="24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0"/>
        </w:trPr>
        <w:tc>
          <w:tcPr>
            <w:tcW w:w="24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July 30, 2022</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July 31, 2021</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July 30, 2022</w:t>
            </w:r>
          </w:p>
        </w:tc>
        <w:tc>
          <w:tcPr>
            <w:tcW w:w="300" w:type="dxa"/>
            <w:vAlign w:val="bottom"/>
          </w:tcPr>
          <w:p>
            <w:pPr>
              <w:spacing w:after="0"/>
              <w:rPr>
                <w:sz w:val="16"/>
                <w:szCs w:val="16"/>
                <w:color w:val="auto"/>
              </w:rPr>
            </w:pPr>
          </w:p>
        </w:tc>
        <w:tc>
          <w:tcPr>
            <w:tcW w:w="15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July 31, 2021</w:t>
            </w:r>
          </w:p>
        </w:tc>
      </w:tr>
      <w:tr>
        <w:trPr>
          <w:trHeight w:val="229"/>
        </w:trPr>
        <w:tc>
          <w:tcPr>
            <w:tcW w:w="2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300" w:type="dxa"/>
            <w:vAlign w:val="bottom"/>
            <w:tcBorders>
              <w:top w:val="single" w:sz="8" w:color="auto"/>
            </w:tcBorders>
            <w:shd w:val="clear" w:color="auto" w:fill="CCEEFF"/>
          </w:tcPr>
          <w:p>
            <w:pPr>
              <w:jc w:val="right"/>
              <w:ind w:right="11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6,114</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111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6,303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12,173</w:t>
            </w:r>
          </w:p>
        </w:tc>
      </w:tr>
      <w:tr>
        <w:trPr>
          <w:trHeight w:val="23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1,564</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2,052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w:t>
            </w:r>
          </w:p>
        </w:tc>
      </w:tr>
      <w:tr>
        <w:trPr>
          <w:trHeight w:val="22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3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30"/>
        </w:trPr>
        <w:tc>
          <w:tcPr>
            <w:tcW w:w="24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Sublease income </w:t>
            </w:r>
            <w:r>
              <w:rPr>
                <w:rFonts w:ascii="Times New Roman" w:cs="Times New Roman" w:eastAsia="Times New Roman" w:hAnsi="Times New Roman"/>
                <w:sz w:val="23"/>
                <w:szCs w:val="23"/>
                <w:color w:val="auto"/>
                <w:vertAlign w:val="superscript"/>
              </w:rPr>
              <w:t>(1)</w:t>
            </w:r>
          </w:p>
        </w:tc>
        <w:tc>
          <w:tcPr>
            <w:tcW w:w="1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lease cost</w:t>
            </w:r>
          </w:p>
        </w:tc>
        <w:tc>
          <w:tcPr>
            <w:tcW w:w="1300" w:type="dxa"/>
            <w:vAlign w:val="bottom"/>
            <w:tcBorders>
              <w:top w:val="single" w:sz="8" w:color="auto"/>
              <w:bottom w:val="single" w:sz="8" w:color="auto"/>
            </w:tcBorders>
            <w:shd w:val="clear" w:color="auto" w:fill="CCEEFF"/>
          </w:tcPr>
          <w:p>
            <w:pPr>
              <w:jc w:val="right"/>
              <w:ind w:right="11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7,756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ind w:right="111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8,404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15,949</w:t>
            </w:r>
          </w:p>
        </w:tc>
      </w:tr>
    </w:tbl>
    <w:p>
      <w:pPr>
        <w:ind w:left="680"/>
        <w:spacing w:after="0"/>
        <w:rPr>
          <w:sz w:val="20"/>
          <w:szCs w:val="20"/>
          <w:color w:val="auto"/>
        </w:rPr>
      </w:pPr>
      <w:r>
        <w:rPr>
          <w:rFonts w:ascii="Times New Roman" w:cs="Times New Roman" w:eastAsia="Times New Roman" w:hAnsi="Times New Roman"/>
          <w:sz w:val="18"/>
          <w:szCs w:val="18"/>
          <w:color w:val="auto"/>
        </w:rPr>
        <w:t>(1) Related to the sublease of a former Company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-121920</wp:posOffset>
            </wp:positionV>
            <wp:extent cx="47491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749165" cy="8890"/>
                    </a:xfrm>
                    <a:prstGeom prst="rect">
                      <a:avLst/>
                    </a:prstGeom>
                    <a:noFill/>
                  </pic:spPr>
                </pic:pic>
              </a:graphicData>
            </a:graphic>
          </wp:anchor>
        </w:drawing>
      </w:r>
    </w:p>
    <w:p>
      <w:pPr>
        <w:spacing w:after="0" w:line="3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weighted-average remaining lease term as of July 30, 2022 and July 31, 2021 was 5.4 years.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operating cash flow information was as follows (in thousands):</w:t>
      </w:r>
    </w:p>
    <w:p>
      <w:pPr>
        <w:spacing w:after="0" w:line="43"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40" w:type="dxa"/>
            <w:vAlign w:val="bottom"/>
            <w:gridSpan w:val="4"/>
          </w:tcPr>
          <w:p>
            <w:pPr>
              <w:jc w:val="right"/>
              <w:ind w:right="1016"/>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23"/>
        </w:trPr>
        <w:tc>
          <w:tcPr>
            <w:tcW w:w="6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6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July 30, 2022</w:t>
            </w:r>
          </w:p>
        </w:tc>
        <w:tc>
          <w:tcPr>
            <w:tcW w:w="320" w:type="dxa"/>
            <w:vAlign w:val="bottom"/>
          </w:tcPr>
          <w:p>
            <w:pPr>
              <w:spacing w:after="0"/>
              <w:rPr>
                <w:sz w:val="16"/>
                <w:szCs w:val="16"/>
                <w:color w:val="auto"/>
              </w:rPr>
            </w:pPr>
          </w:p>
        </w:tc>
        <w:tc>
          <w:tcPr>
            <w:tcW w:w="152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July 31, 2021</w:t>
            </w:r>
          </w:p>
        </w:tc>
      </w:tr>
      <w:tr>
        <w:trPr>
          <w:trHeight w:val="229"/>
        </w:trPr>
        <w:tc>
          <w:tcPr>
            <w:tcW w:w="6120" w:type="dxa"/>
            <w:vAlign w:val="bottom"/>
            <w:tcBorders>
              <w:top w:val="single" w:sz="8" w:color="CCEEFF"/>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Cash paid for amounts included in the measurement of operating lease liabilities </w:t>
            </w:r>
            <w:r>
              <w:rPr>
                <w:rFonts w:ascii="Times New Roman" w:cs="Times New Roman" w:eastAsia="Times New Roman" w:hAnsi="Times New Roman"/>
                <w:sz w:val="23"/>
                <w:szCs w:val="23"/>
                <w:color w:val="auto"/>
                <w:vertAlign w:val="superscript"/>
              </w:rPr>
              <w:t>(1)</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14,910</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18,327</w:t>
            </w:r>
          </w:p>
        </w:tc>
      </w:tr>
      <w:tr>
        <w:trPr>
          <w:trHeight w:val="184"/>
        </w:trPr>
        <w:tc>
          <w:tcPr>
            <w:tcW w:w="6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Right-of-use assets increase as a result of new and modified operating lease</w:t>
            </w:r>
          </w:p>
        </w:tc>
        <w:tc>
          <w:tcPr>
            <w:tcW w:w="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34"/>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net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17,225</w:t>
            </w:r>
          </w:p>
        </w:tc>
        <w:tc>
          <w:tcPr>
            <w:tcW w:w="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7,961</w:t>
            </w:r>
          </w:p>
        </w:tc>
      </w:tr>
    </w:tbl>
    <w:p>
      <w:pPr>
        <w:ind w:left="680" w:right="720" w:hanging="6"/>
        <w:spacing w:after="0" w:line="245" w:lineRule="auto"/>
        <w:tabs>
          <w:tab w:leader="none" w:pos="9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of lease liabilities were recorded within accounts payable on the Company's Consolidated Balance Sheets as of January 30, 2021, and were paid in the first quarter of fiscal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07" w:lineRule="exact"/>
        <w:rPr>
          <w:rFonts w:ascii="Times New Roman" w:cs="Times New Roman" w:eastAsia="Times New Roman" w:hAnsi="Times New Roman"/>
          <w:sz w:val="18"/>
          <w:szCs w:val="18"/>
          <w:b w:val="1"/>
          <w:bCs w:val="1"/>
          <w:color w:val="auto"/>
        </w:rPr>
      </w:pPr>
    </w:p>
    <w:p>
      <w:pPr>
        <w:ind w:left="660" w:right="14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Basic earnings per share is computed based on the weighted-average number of common shares outstanding during the period. Diluted earnings per share is computed based on the weighted-average number of common shares outstanding, plus the effect of dilutive potential common shares outstanding during the period using the treasury stock method. Dilutive potential common shares represent outstanding restricted stock units.</w:t>
      </w:r>
    </w:p>
    <w:p>
      <w:pPr>
        <w:spacing w:after="0" w:line="22" w:lineRule="exact"/>
        <w:rPr>
          <w:rFonts w:ascii="Times New Roman" w:cs="Times New Roman" w:eastAsia="Times New Roman" w:hAnsi="Times New Roman"/>
          <w:sz w:val="18"/>
          <w:szCs w:val="18"/>
          <w:b w:val="1"/>
          <w:bCs w:val="1"/>
          <w:color w:val="auto"/>
        </w:rPr>
      </w:pPr>
    </w:p>
    <w:p>
      <w:pPr>
        <w:ind w:left="660" w:right="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16, 2019, as contemplated by the Interest Purchase Agreement, the Company and certain of its subsidiaries and the owners of the remaining twenty-five percent (25%) ownership interest in Pura Vida (the “Sellers”) which was not acquired by the Company (the “Remaining Pura Vida Interest”) entered into a Put/Call Agreement (the “Put/Call Agreement”). Pursuant to the Put/Call Agreement, and subject to the terms and conditions thereof, the Sellers have the right to sell all of the Remaining Pura Vida Interest to the Company, and the Company has the right to purchase all of the Remaining Pura Vida Interests from Sellers, in each case generally at any time following the fifth anniversary of the closing date of the transaction until the tenth anniversary thereof. The purchase price for any Remaining Pura Vida Interest put to, or called by, the Company will be determined based on the arithmetic average of a multiple of adjusted EBITDA of Pura Vida and a multiple of adjusted EBITDA of the Company, as defined in the Put/Call Agreement, over the twelve-month period ending on the last day of the month immediately preceding the month in which an exercise notice is delivered by a relevant party.</w:t>
      </w:r>
    </w:p>
    <w:p>
      <w:pPr>
        <w:spacing w:after="0" w:line="66" w:lineRule="exact"/>
        <w:rPr>
          <w:rFonts w:ascii="Times New Roman" w:cs="Times New Roman" w:eastAsia="Times New Roman" w:hAnsi="Times New Roman"/>
          <w:sz w:val="18"/>
          <w:szCs w:val="18"/>
          <w:b w:val="1"/>
          <w:bCs w:val="1"/>
          <w:color w:val="auto"/>
        </w:rPr>
      </w:pPr>
    </w:p>
    <w:p>
      <w:pPr>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 result of this redemption feature, the Company recorded the noncontrolling interest as redeemable and classified it in temporary equity within its Condensed Consolidated Balance Sheets initially at its acquisition-date fair value. The noncontrolling interest is adjusted each reporting period for income (or loss) attributable to the noncontrolling interest. A measurement period adjustment, if any, is then made to adjust the noncontrolling interest to the higher of the redemption value or carrying value each reporting period. These adjustments are recognized through retained earnings and are not reflected in net income or net income attributable to Vera Bradley, Inc. When calculating earnings per share attributable to Vera Bradley, Inc., the Company adjusts the net income attributable to Vera Bradley, Inc. for the measurement period adjustment to the extent the redemption value exceeds the fair value of the noncontrolling interest on a cumulative basis.</w:t>
      </w:r>
    </w:p>
    <w:p>
      <w:pPr>
        <w:spacing w:after="0" w:line="6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basic and diluted earnings per share were as follows (in thousands, except per share data):</w:t>
      </w:r>
    </w:p>
    <w:p>
      <w:pPr>
        <w:spacing w:after="0" w:line="124" w:lineRule="exact"/>
        <w:rPr>
          <w:sz w:val="20"/>
          <w:szCs w:val="20"/>
          <w:color w:val="auto"/>
        </w:rPr>
      </w:pPr>
    </w:p>
    <w:tbl>
      <w:tblPr>
        <w:tblLayout w:type="fixed"/>
        <w:tblInd w:w="70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20" w:type="dxa"/>
            <w:vAlign w:val="bottom"/>
          </w:tcPr>
          <w:p>
            <w:pPr>
              <w:spacing w:after="0"/>
              <w:rPr>
                <w:sz w:val="16"/>
                <w:szCs w:val="16"/>
                <w:color w:val="auto"/>
              </w:rPr>
            </w:pPr>
          </w:p>
        </w:tc>
        <w:tc>
          <w:tcPr>
            <w:tcW w:w="2220" w:type="dxa"/>
            <w:vAlign w:val="bottom"/>
            <w:gridSpan w:val="4"/>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23"/>
        </w:trPr>
        <w:tc>
          <w:tcPr>
            <w:tcW w:w="5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31"/>
        </w:trPr>
        <w:tc>
          <w:tcPr>
            <w:tcW w:w="55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July 30,</w:t>
            </w:r>
          </w:p>
        </w:tc>
        <w:tc>
          <w:tcPr>
            <w:tcW w:w="2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214"/>
              <w:spacing w:after="0" w:line="131" w:lineRule="exact"/>
              <w:rPr>
                <w:sz w:val="20"/>
                <w:szCs w:val="20"/>
                <w:color w:val="auto"/>
              </w:rPr>
            </w:pPr>
            <w:r>
              <w:rPr>
                <w:rFonts w:ascii="Times New Roman" w:cs="Times New Roman" w:eastAsia="Times New Roman" w:hAnsi="Times New Roman"/>
                <w:sz w:val="14"/>
                <w:szCs w:val="14"/>
                <w:b w:val="1"/>
                <w:bCs w:val="1"/>
                <w:color w:val="auto"/>
              </w:rPr>
              <w:t>July 31,</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July 30,</w:t>
            </w: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274"/>
              <w:spacing w:after="0" w:line="131" w:lineRule="exact"/>
              <w:rPr>
                <w:sz w:val="20"/>
                <w:szCs w:val="20"/>
                <w:color w:val="auto"/>
              </w:rPr>
            </w:pPr>
            <w:r>
              <w:rPr>
                <w:rFonts w:ascii="Times New Roman" w:cs="Times New Roman" w:eastAsia="Times New Roman" w:hAnsi="Times New Roman"/>
                <w:sz w:val="14"/>
                <w:szCs w:val="14"/>
                <w:b w:val="1"/>
                <w:bCs w:val="1"/>
                <w:color w:val="auto"/>
              </w:rPr>
              <w:t>July 31,</w:t>
            </w:r>
          </w:p>
        </w:tc>
      </w:tr>
      <w:tr>
        <w:trPr>
          <w:trHeight w:val="195"/>
        </w:trPr>
        <w:tc>
          <w:tcPr>
            <w:tcW w:w="55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(43,611)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8,339</w:t>
            </w: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(loss) income attributable to redeemable noncontrolling interest</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r>
      <w:tr>
        <w:trPr>
          <w:trHeight w:val="196"/>
        </w:trPr>
        <w:tc>
          <w:tcPr>
            <w:tcW w:w="55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Net (loss) income attributable to Vera Bradley, Inc.</w:t>
            </w: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(29,767)</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9,050</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(36,741)</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6,905</w:t>
            </w: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5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(basic)</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33,795</w:t>
            </w: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stock-based awards</w:t>
            </w: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r>
      <w:tr>
        <w:trPr>
          <w:trHeight w:val="248"/>
        </w:trPr>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(diluted)</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34,502</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82"/>
        </w:trPr>
        <w:tc>
          <w:tcPr>
            <w:tcW w:w="558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Net (loss) income per share available to Vera Bradley, Inc. common</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3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shareholders:</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bl>
    <w:p>
      <w:pPr>
        <w:spacing w:after="0" w:line="63" w:lineRule="exact"/>
        <w:rPr>
          <w:sz w:val="20"/>
          <w:szCs w:val="20"/>
          <w:color w:val="auto"/>
        </w:rPr>
      </w:pPr>
    </w:p>
    <w:p>
      <w:pPr>
        <w:ind w:left="660" w:right="80"/>
        <w:spacing w:after="0" w:line="266" w:lineRule="auto"/>
        <w:rPr>
          <w:sz w:val="20"/>
          <w:szCs w:val="20"/>
          <w:color w:val="auto"/>
        </w:rPr>
      </w:pPr>
      <w:r>
        <w:rPr>
          <w:rFonts w:ascii="Times New Roman" w:cs="Times New Roman" w:eastAsia="Times New Roman" w:hAnsi="Times New Roman"/>
          <w:sz w:val="18"/>
          <w:szCs w:val="18"/>
          <w:color w:val="auto"/>
        </w:rPr>
        <w:t>For the thirteen and twenty-six weeks ended July 30, 2022, all potential common shares were excluded from the diluted share calculation because they were anti-dilutive due to the net loss in the period.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9" w:lineRule="exact"/>
        <w:rPr>
          <w:sz w:val="20"/>
          <w:szCs w:val="20"/>
          <w:color w:val="auto"/>
        </w:rPr>
      </w:pPr>
    </w:p>
    <w:p>
      <w:pPr>
        <w:ind w:left="660" w:right="360"/>
        <w:spacing w:after="0" w:line="250" w:lineRule="auto"/>
        <w:rPr>
          <w:sz w:val="20"/>
          <w:szCs w:val="20"/>
          <w:color w:val="auto"/>
        </w:rPr>
      </w:pPr>
      <w:r>
        <w:rPr>
          <w:rFonts w:ascii="Times New Roman" w:cs="Times New Roman" w:eastAsia="Times New Roman" w:hAnsi="Times New Roman"/>
          <w:sz w:val="18"/>
          <w:szCs w:val="18"/>
          <w:color w:val="auto"/>
        </w:rPr>
        <w:t>For the thirteen and twenty-six weeks ended July 31, 2021, there were an immaterial number of additional shares issuable upon the vesting of restricted stock units that were excluded from the diluted share calculations because they were anti-dilutive.</w:t>
      </w:r>
    </w:p>
    <w:p>
      <w:pPr>
        <w:spacing w:after="0" w:line="213"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94" w:lineRule="exact"/>
        <w:rPr>
          <w:rFonts w:ascii="Times New Roman" w:cs="Times New Roman" w:eastAsia="Times New Roman" w:hAnsi="Times New Roman"/>
          <w:sz w:val="18"/>
          <w:szCs w:val="18"/>
          <w:b w:val="1"/>
          <w:bCs w:val="1"/>
          <w:color w:val="auto"/>
        </w:rPr>
      </w:pPr>
    </w:p>
    <w:p>
      <w:pPr>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54"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the quoted prices in active markets, that are observable either directly or indirectly;</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based on the Company’s own assumptions.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classification of fair value measurements within the hierarchy is based upon the lowest level of input that is significant to the measurement.</w:t>
      </w:r>
    </w:p>
    <w:p>
      <w:pPr>
        <w:spacing w:after="0" w:line="90"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The carrying amounts reflected on the Condensed Consolidated Balance Sheets for cash and cash equivalents, accounts receivable, other current assets, and accounts payable as of July 30, 2022 and January 29, 2022, approximated their fair values.</w:t>
      </w:r>
    </w:p>
    <w:p>
      <w:pPr>
        <w:spacing w:after="0" w:line="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details the fair value measurements of the Company's investments as of July 30, 2022 and January 29, 2022 (in thousands):</w:t>
      </w:r>
    </w:p>
    <w:p>
      <w:pPr>
        <w:spacing w:after="0" w:line="43"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20" w:type="dxa"/>
            <w:vAlign w:val="bottom"/>
          </w:tcPr>
          <w:p>
            <w:pPr>
              <w:spacing w:after="0"/>
              <w:rPr>
                <w:sz w:val="16"/>
                <w:szCs w:val="16"/>
                <w:color w:val="auto"/>
              </w:rPr>
            </w:pPr>
          </w:p>
        </w:tc>
        <w:tc>
          <w:tcPr>
            <w:tcW w:w="178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rPr>
                <w:sz w:val="16"/>
                <w:szCs w:val="16"/>
                <w:color w:val="auto"/>
              </w:rPr>
            </w:pPr>
          </w:p>
        </w:tc>
        <w:tc>
          <w:tcPr>
            <w:tcW w:w="168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3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300" w:type="dxa"/>
            <w:vAlign w:val="bottom"/>
          </w:tcPr>
          <w:p>
            <w:pPr>
              <w:spacing w:after="0"/>
              <w:rPr>
                <w:sz w:val="11"/>
                <w:szCs w:val="11"/>
                <w:color w:val="auto"/>
              </w:rPr>
            </w:pPr>
          </w:p>
        </w:tc>
        <w:tc>
          <w:tcPr>
            <w:tcW w:w="1100" w:type="dxa"/>
            <w:vAlign w:val="bottom"/>
            <w:tcBorders>
              <w:top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July 30, 2022</w:t>
            </w: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42"/>
              <w:spacing w:after="0" w:line="131"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100" w:type="dxa"/>
            <w:vAlign w:val="bottom"/>
          </w:tcPr>
          <w:p>
            <w:pPr>
              <w:spacing w:after="0"/>
              <w:rPr>
                <w:sz w:val="11"/>
                <w:szCs w:val="11"/>
                <w:color w:val="auto"/>
              </w:rPr>
            </w:pPr>
          </w:p>
        </w:tc>
        <w:tc>
          <w:tcPr>
            <w:tcW w:w="1220" w:type="dxa"/>
            <w:vAlign w:val="bottom"/>
            <w:tcBorders>
              <w:top w:val="single" w:sz="8" w:color="auto"/>
            </w:tcBorders>
            <w:gridSpan w:val="4"/>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July 30, 2022</w:t>
            </w:r>
          </w:p>
        </w:tc>
        <w:tc>
          <w:tcPr>
            <w:tcW w:w="880" w:type="dxa"/>
            <w:vAlign w:val="bottom"/>
            <w:tcBorders>
              <w:top w:val="single" w:sz="8" w:color="auto"/>
            </w:tcBorders>
          </w:tcPr>
          <w:p>
            <w:pPr>
              <w:jc w:val="center"/>
              <w:ind w:right="42"/>
              <w:spacing w:after="0" w:line="131"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100" w:type="dxa"/>
            <w:vAlign w:val="bottom"/>
          </w:tcPr>
          <w:p>
            <w:pPr>
              <w:spacing w:after="0"/>
              <w:rPr>
                <w:sz w:val="11"/>
                <w:szCs w:val="11"/>
                <w:color w:val="auto"/>
              </w:rPr>
            </w:pPr>
          </w:p>
        </w:tc>
        <w:tc>
          <w:tcPr>
            <w:tcW w:w="1220" w:type="dxa"/>
            <w:vAlign w:val="bottom"/>
            <w:tcBorders>
              <w:top w:val="single" w:sz="8" w:color="auto"/>
            </w:tcBorders>
            <w:gridSpan w:val="4"/>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July 30, 2022</w:t>
            </w:r>
          </w:p>
        </w:tc>
        <w:tc>
          <w:tcPr>
            <w:tcW w:w="880" w:type="dxa"/>
            <w:vAlign w:val="bottom"/>
            <w:tcBorders>
              <w:top w:val="single" w:sz="8" w:color="auto"/>
            </w:tcBorders>
          </w:tcPr>
          <w:p>
            <w:pPr>
              <w:jc w:val="center"/>
              <w:ind w:right="42"/>
              <w:spacing w:after="0" w:line="131"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0" w:type="dxa"/>
            <w:vAlign w:val="bottom"/>
          </w:tcPr>
          <w:p>
            <w:pPr>
              <w:spacing w:after="0"/>
              <w:rPr>
                <w:sz w:val="1"/>
                <w:szCs w:val="1"/>
                <w:color w:val="auto"/>
              </w:rPr>
            </w:pPr>
          </w:p>
        </w:tc>
      </w:tr>
      <w:tr>
        <w:trPr>
          <w:trHeight w:val="195"/>
        </w:trPr>
        <w:tc>
          <w:tcPr>
            <w:tcW w:w="330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220" w:type="dxa"/>
            <w:vAlign w:val="bottom"/>
            <w:gridSpan w:val="4"/>
            <w:vMerge w:val="continue"/>
          </w:tcPr>
          <w:p>
            <w:pPr>
              <w:spacing w:after="0"/>
              <w:rPr>
                <w:sz w:val="16"/>
                <w:szCs w:val="16"/>
                <w:color w:val="auto"/>
              </w:rPr>
            </w:pPr>
          </w:p>
        </w:tc>
        <w:tc>
          <w:tcPr>
            <w:tcW w:w="88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220" w:type="dxa"/>
            <w:vAlign w:val="bottom"/>
            <w:gridSpan w:val="4"/>
            <w:vMerge w:val="continue"/>
          </w:tcPr>
          <w:p>
            <w:pPr>
              <w:spacing w:after="0"/>
              <w:rPr>
                <w:sz w:val="16"/>
                <w:szCs w:val="16"/>
                <w:color w:val="auto"/>
              </w:rPr>
            </w:pPr>
          </w:p>
        </w:tc>
        <w:tc>
          <w:tcPr>
            <w:tcW w:w="88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8"/>
        </w:trPr>
        <w:tc>
          <w:tcPr>
            <w:tcW w:w="3300" w:type="dxa"/>
            <w:vAlign w:val="bottom"/>
            <w:tcBorders>
              <w:top w:val="single" w:sz="8" w:color="CCEEFF"/>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Cash equivalents</w:t>
            </w:r>
            <w:r>
              <w:rPr>
                <w:rFonts w:ascii="Times New Roman" w:cs="Times New Roman" w:eastAsia="Times New Roman" w:hAnsi="Times New Roman"/>
                <w:sz w:val="23"/>
                <w:szCs w:val="23"/>
                <w:color w:val="auto"/>
                <w:vertAlign w:val="superscript"/>
              </w:rPr>
              <w:t>(1)</w:t>
            </w: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2,856</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80" w:right="800" w:hanging="6"/>
        <w:spacing w:after="0" w:line="237" w:lineRule="auto"/>
        <w:tabs>
          <w:tab w:leader="none" w:pos="9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equivalents represent a money market fund that has a maturity of three months or less at the date of purchase. Due to the short maturity, the Company believes the carrying value approximates fair value.</w:t>
      </w:r>
    </w:p>
    <w:p>
      <w:pPr>
        <w:spacing w:after="0" w:line="172" w:lineRule="exact"/>
        <w:rPr>
          <w:sz w:val="20"/>
          <w:szCs w:val="20"/>
          <w:color w:val="auto"/>
        </w:rPr>
      </w:pPr>
    </w:p>
    <w:p>
      <w:pPr>
        <w:ind w:left="660" w:right="40"/>
        <w:spacing w:after="0" w:line="256" w:lineRule="auto"/>
        <w:rPr>
          <w:sz w:val="20"/>
          <w:szCs w:val="20"/>
          <w:color w:val="auto"/>
        </w:rPr>
      </w:pPr>
      <w:r>
        <w:rPr>
          <w:rFonts w:ascii="Times New Roman" w:cs="Times New Roman" w:eastAsia="Times New Roman" w:hAnsi="Times New Roman"/>
          <w:sz w:val="18"/>
          <w:szCs w:val="18"/>
          <w:color w:val="auto"/>
        </w:rPr>
        <w:t>The Company assesses potential impairments to its long-lived assets, which includes property, plant, and equipment and lease right-of-use assets, on a quarterly basis or whenever events or circumstances indicate that the carrying amount of an asset may not be recoverable. Store-level assets and right-of-use assets are grouped at the individual store-level for the purpose of the impairment assessment. Recoverability of an asset group is measured by a comparison of the carrying amount of an asset group to its estimated undiscounted future cash flows expected to be generated by the asset group. If the carrying amount of the asset group exceeds its estimated undiscounted future cash flows, an impairment charge is recognized as the amount by which the carrying amount of the asset group exceeds the fair value of the asset group. The fair value of the store assets is determined using the discounted future cash flow method of anticipated cash flows through the store’s lease-end date using fair value measurement inputs classified as Level 3. The fair value of right-of-use assets is estimated using market comparative information for similar properties. Level 3 inputs are derived from valuation techniques in which one or more significant inputs or significant value drivers are unobservable. The Company recorded $0.8 million and $1.4 million for store property, plant, and equipment impairment charges and a corporate lease right-of-use asset impairment charge for the thirteen and twenty-six weeks ended July 30, 2022, respectively. There were no long-lived asset impairment charges for the thirteen and twenty-six weeks ended July 31, 2021.</w:t>
      </w:r>
    </w:p>
    <w:p>
      <w:pPr>
        <w:spacing w:after="0" w:line="64" w:lineRule="exact"/>
        <w:rPr>
          <w:sz w:val="20"/>
          <w:szCs w:val="20"/>
          <w:color w:val="auto"/>
        </w:rPr>
      </w:pPr>
    </w:p>
    <w:p>
      <w:pPr>
        <w:ind w:left="660" w:right="20"/>
        <w:spacing w:after="0" w:line="258" w:lineRule="auto"/>
        <w:rPr>
          <w:sz w:val="20"/>
          <w:szCs w:val="20"/>
          <w:color w:val="auto"/>
        </w:rPr>
      </w:pPr>
      <w:r>
        <w:rPr>
          <w:rFonts w:ascii="Times New Roman" w:cs="Times New Roman" w:eastAsia="Times New Roman" w:hAnsi="Times New Roman"/>
          <w:sz w:val="18"/>
          <w:szCs w:val="18"/>
          <w:color w:val="auto"/>
        </w:rPr>
        <w:t>On a nonrecurring basis, assets recognized or disclosed at fair value on the consolidated financial statements include items such as property, plant, and equipment, including leasehold improvements, and operating lease assets, as well as assets related to the Pura Vida acquisition including goodwill and intangible assets. These assets are measured at fair value if determined to be impaired. During the thirteen and twenty-six weeks ended July 30, 2022, the Company recorded a $29.3 million impairment charge related to goodwill and the indefinite-lived Pura Vida brand asset in conjunction with its second quarter annual quantitative test. Refer to Note 13 herein for additional information.</w:t>
      </w:r>
    </w:p>
    <w:p>
      <w:pPr>
        <w:spacing w:after="0" w:line="48" w:lineRule="exact"/>
        <w:rPr>
          <w:sz w:val="20"/>
          <w:szCs w:val="20"/>
          <w:color w:val="auto"/>
        </w:rPr>
      </w:pPr>
    </w:p>
    <w:p>
      <w:pPr>
        <w:ind w:left="660" w:right="40"/>
        <w:spacing w:after="0" w:line="266" w:lineRule="auto"/>
        <w:rPr>
          <w:sz w:val="20"/>
          <w:szCs w:val="20"/>
          <w:color w:val="auto"/>
        </w:rPr>
      </w:pPr>
      <w:r>
        <w:rPr>
          <w:rFonts w:ascii="Times New Roman" w:cs="Times New Roman" w:eastAsia="Times New Roman" w:hAnsi="Times New Roman"/>
          <w:sz w:val="18"/>
          <w:szCs w:val="18"/>
          <w:color w:val="auto"/>
        </w:rPr>
        <w:t>The discounted cash flow models used to estimate the applicable fair values involve numerous estimates and assumptions that are highly subjective. Changes to these estimates and assumptions could materially impact the fair value estimates. The estimates and assumptions critical to the overall fair value estimates include: (1) estimated future</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cash flow generated at the store level; (2) discount rates used to derive the present value factors used in determining the fair values; and (3) market rentals at the retail store. These and other estimates and assumptions are impacted by economic conditions and our expectations and may change in the future based on period-specific facts and circumstances. If economic conditions were to deteriorate, future impairment charges may be required which may be material.</w:t>
      </w:r>
    </w:p>
    <w:p>
      <w:pPr>
        <w:spacing w:after="0" w:line="284"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07" w:lineRule="exact"/>
        <w:rPr>
          <w:rFonts w:ascii="Times New Roman" w:cs="Times New Roman" w:eastAsia="Times New Roman" w:hAnsi="Times New Roman"/>
          <w:sz w:val="18"/>
          <w:szCs w:val="18"/>
          <w:b w:val="1"/>
          <w:bCs w:val="1"/>
          <w:color w:val="auto"/>
        </w:rPr>
      </w:pPr>
    </w:p>
    <w:p>
      <w:pPr>
        <w:ind w:left="660" w:right="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7, 2018, Vera Bradley Designs, Inc. (“VBD”), a wholly-owned subsidiary of the Company, entered into an asset-based revolving Credit Agreement (the “Credit Agreement”) among VBD, JPMorgan Chase Bank, N.A., as administrative agent, and the lenders from time to time party thereto. The Credit Agreement provides for certain credit facilities to VBD in an aggregate principal amount not to initially exceed the lesser of $75.0 million or the amount of borrowing availability determined in accordance with a borrowing base of certain assets. Any proceeds of the credit facilities will be used to finance general corporate purposes of VBD and its subsidiaries, including but not limited to Vera Bradley International, LLC and Vera Bradley Sales, LLC (collectively, the “Named Subsidiaries”). The Credit Agreement also contains an option for VBD to arrange with lenders to increase the aggregate principal amount by up to $25.0 million.</w:t>
      </w:r>
    </w:p>
    <w:p>
      <w:pPr>
        <w:spacing w:after="0" w:line="67" w:lineRule="exact"/>
        <w:rPr>
          <w:rFonts w:ascii="Times New Roman" w:cs="Times New Roman" w:eastAsia="Times New Roman" w:hAnsi="Times New Roman"/>
          <w:sz w:val="18"/>
          <w:szCs w:val="18"/>
          <w:b w:val="1"/>
          <w:bCs w:val="1"/>
          <w:color w:val="auto"/>
        </w:rPr>
      </w:pPr>
    </w:p>
    <w:p>
      <w:pPr>
        <w:ind w:left="660" w:right="1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Amounts outstanding under the Credit Agreement bear interest at a per annum rate equal to either (i) for CBFR borrowings (including swingline loans), the CB Floating Rate, where the CB Floating Rate is the prime rate which shall never be less than the adjusted one month LIBOR rate on such day, plus the Applicable Rate, where the Applicable Rate is a percentage spread ranging from -1.00% to -1.50% or (ii) for each eurodollar borrowing, the Adjusted LIBO Rate, where the Adjusted LIBO Rate is the LIBO rate for such interest period multiplied by the statutory reserve rate, for the interest period in effect for such borrowing, plus the Applicable Rate, where the Applicable Rate is a percentage ranging from 1.00% to 1.30%. The applicable CB Floating Rate, Adjusted LIBO Rate, or LIBO Rate shall be determined by the administrative agent. The Credit Agreement also requires VBD to pay a commitment fee for the unused portion of the revolving facility of up to 0.20% per annum.</w:t>
      </w:r>
    </w:p>
    <w:p>
      <w:pPr>
        <w:spacing w:after="0" w:line="53" w:lineRule="exact"/>
        <w:rPr>
          <w:rFonts w:ascii="Times New Roman" w:cs="Times New Roman" w:eastAsia="Times New Roman" w:hAnsi="Times New Roman"/>
          <w:sz w:val="18"/>
          <w:szCs w:val="18"/>
          <w:b w:val="1"/>
          <w:bCs w:val="1"/>
          <w:color w:val="auto"/>
        </w:rPr>
      </w:pPr>
    </w:p>
    <w:p>
      <w:pPr>
        <w:ind w:left="660" w:right="2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VBD’s obligations under the Credit Agreement are guaranteed by the Company and the Named Subsidiaries. The obligations of VBD under the Credit Agreement are secured by substantially all of the respective assets of VBD, the Company, and the Named Subsidiaries and are further secured by the equity interests in VBD and the Named Subsidiaries.</w:t>
      </w:r>
    </w:p>
    <w:p>
      <w:pPr>
        <w:spacing w:after="0" w:line="54" w:lineRule="exact"/>
        <w:rPr>
          <w:rFonts w:ascii="Times New Roman" w:cs="Times New Roman" w:eastAsia="Times New Roman" w:hAnsi="Times New Roman"/>
          <w:sz w:val="18"/>
          <w:szCs w:val="18"/>
          <w:b w:val="1"/>
          <w:bCs w:val="1"/>
          <w:color w:val="auto"/>
        </w:rPr>
      </w:pPr>
    </w:p>
    <w:p>
      <w:pPr>
        <w:ind w:left="660" w:right="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Credit Agreement contains various affirmative and negative covenants, including restrictions on the Company's ability to incur debt or liens; engage in mergers or consolidations; make certain investments, acquisitions, loans, and advances; sell assets; enter into certain swap agreements; pay dividends or make distributions or make other restricted payments; engage in certain transactions with affiliates; and amend, modify, or waive any of its rights related to subordinated indebtedness and certain charter and other organizational, governing, and material agreements. The Company may avoid certain of such restrictions by meeting payment conditions defined in the Credit Agreement.</w:t>
      </w:r>
    </w:p>
    <w:p>
      <w:pPr>
        <w:spacing w:after="0" w:line="61" w:lineRule="exact"/>
        <w:rPr>
          <w:rFonts w:ascii="Times New Roman" w:cs="Times New Roman" w:eastAsia="Times New Roman" w:hAnsi="Times New Roman"/>
          <w:sz w:val="18"/>
          <w:szCs w:val="18"/>
          <w:b w:val="1"/>
          <w:bCs w:val="1"/>
          <w:color w:val="auto"/>
        </w:rPr>
      </w:pPr>
    </w:p>
    <w:p>
      <w:pPr>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Credit Agreement also requires the Loan Parties to maintain a minimum fixed charge coverage ratio of 1.00 during periods when borrowing availability is less than the greater of (A) $7.5 million, and (B) 10% of the lesser of (i) the aggregate revolving commitment, and (ii) the borrowing base. The fixed charge coverage ratio, availability, aggregate revolving commitment, and the borrowing base are further defined in the Credit Agreement.</w:t>
      </w:r>
    </w:p>
    <w:p>
      <w:pPr>
        <w:spacing w:after="0" w:line="44" w:lineRule="exact"/>
        <w:rPr>
          <w:rFonts w:ascii="Times New Roman" w:cs="Times New Roman" w:eastAsia="Times New Roman" w:hAnsi="Times New Roman"/>
          <w:sz w:val="18"/>
          <w:szCs w:val="18"/>
          <w:b w:val="1"/>
          <w:bCs w:val="1"/>
          <w:color w:val="auto"/>
        </w:rPr>
      </w:pPr>
    </w:p>
    <w:p>
      <w:pPr>
        <w:ind w:left="660" w:right="100"/>
        <w:spacing w:after="0" w:line="27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Credit Agreement contains customary events of default, including, among other things: (i) the failure to pay any principal, interest, or other fees under the Credit Agreement; (ii) the making of any materially incorrect representation or warranty; (iii) the failure to observe or perform any covenant, condition, or agreement in the Credit Agreement or related agreements; (iv) a cross default with respect to other material indebtedness;</w:t>
      </w:r>
    </w:p>
    <w:p>
      <w:pPr>
        <w:spacing w:after="0" w:line="1" w:lineRule="exact"/>
        <w:rPr>
          <w:rFonts w:ascii="Times New Roman" w:cs="Times New Roman" w:eastAsia="Times New Roman" w:hAnsi="Times New Roman"/>
          <w:sz w:val="18"/>
          <w:szCs w:val="18"/>
          <w:b w:val="1"/>
          <w:bCs w:val="1"/>
          <w:color w:val="auto"/>
        </w:rPr>
      </w:pPr>
    </w:p>
    <w:p>
      <w:pPr>
        <w:ind w:left="660" w:right="4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 bankruptcy and insolvency events; (vi) unsatisfied material final judgments; (vii) Employee Retirement Income Security Act of 1974 (“ERISA”) events that could reasonably be expected to have a material adverse effect; and (viii) a change in control (as defined in the Credit Agreement).</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commitments made under the Credit Agreement mature on September 7, 2023.</w:t>
      </w:r>
    </w:p>
    <w:p>
      <w:pPr>
        <w:spacing w:after="0" w:line="104" w:lineRule="exact"/>
        <w:rPr>
          <w:sz w:val="20"/>
          <w:szCs w:val="20"/>
          <w:color w:val="auto"/>
        </w:rPr>
      </w:pPr>
    </w:p>
    <w:p>
      <w:pPr>
        <w:ind w:left="660" w:right="640"/>
        <w:spacing w:after="0" w:line="282" w:lineRule="auto"/>
        <w:rPr>
          <w:sz w:val="20"/>
          <w:szCs w:val="20"/>
          <w:color w:val="auto"/>
        </w:rPr>
      </w:pPr>
      <w:r>
        <w:rPr>
          <w:rFonts w:ascii="Times New Roman" w:cs="Times New Roman" w:eastAsia="Times New Roman" w:hAnsi="Times New Roman"/>
          <w:sz w:val="18"/>
          <w:szCs w:val="18"/>
          <w:color w:val="auto"/>
        </w:rPr>
        <w:t>As of July 30, 2022 and January 29, 2022, the Company had no borrowings outstanding and availability of $75.0 million under the Credit Agreement.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07" w:lineRule="exact"/>
        <w:rPr>
          <w:rFonts w:ascii="Times New Roman" w:cs="Times New Roman" w:eastAsia="Times New Roman" w:hAnsi="Times New Roman"/>
          <w:sz w:val="18"/>
          <w:szCs w:val="18"/>
          <w:b w:val="1"/>
          <w:bCs w:val="1"/>
          <w:color w:val="auto"/>
        </w:rPr>
      </w:pPr>
    </w:p>
    <w:p>
      <w:pPr>
        <w:ind w:left="660"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 for income taxes for interim periods is based on an estimate of the annual effective tax rate adjusted to reflect the impact of discrete items. Management judgment is required in projecting ordinary income to estimate the Company’s annual effective tax rate.</w:t>
      </w:r>
    </w:p>
    <w:p>
      <w:pPr>
        <w:spacing w:after="0" w:line="26" w:lineRule="exact"/>
        <w:rPr>
          <w:rFonts w:ascii="Times New Roman" w:cs="Times New Roman" w:eastAsia="Times New Roman" w:hAnsi="Times New Roman"/>
          <w:sz w:val="18"/>
          <w:szCs w:val="18"/>
          <w:b w:val="1"/>
          <w:bCs w:val="1"/>
          <w:color w:val="auto"/>
        </w:rPr>
      </w:pPr>
    </w:p>
    <w:p>
      <w:pPr>
        <w:ind w:left="660"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effective tax rate for the thirteen weeks ended July 30, 2022, was 13.9%, compared to 21.3% for the thirteen weeks ended July 31, 2021. The year-over-year effective tax rate decrease was primarily due to the relative impact of permanent and discrete items in the current-year period compared to the prior-year period, primarily as a result of non-deductible executive compensation.</w:t>
      </w:r>
    </w:p>
    <w:p>
      <w:pPr>
        <w:spacing w:after="0" w:line="54" w:lineRule="exact"/>
        <w:rPr>
          <w:rFonts w:ascii="Times New Roman" w:cs="Times New Roman" w:eastAsia="Times New Roman" w:hAnsi="Times New Roman"/>
          <w:sz w:val="18"/>
          <w:szCs w:val="18"/>
          <w:b w:val="1"/>
          <w:bCs w:val="1"/>
          <w:color w:val="auto"/>
        </w:rPr>
      </w:pPr>
    </w:p>
    <w:p>
      <w:pPr>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effective tax rate for the twenty-six weeks ended July 30, 2022, was 14.7%, compared to 20.4% for the twenty-six weeks ended July 31, 2021. The year-over-year effective tax rate decrease was primarily due to the relative impact of permanent and discrete items in the current-year period compared to the prior-year period, primarily as a result of non-deductible executive compensation and stock-based compensation.</w:t>
      </w:r>
    </w:p>
    <w:p>
      <w:pPr>
        <w:spacing w:after="0" w:line="293"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94"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recognizes stock-based compensation expense, for its awards of restricted stock units, in an amount equal to the fair market value of the underlying stock on the grant date of the respective award.</w:t>
      </w:r>
    </w:p>
    <w:p>
      <w:pPr>
        <w:spacing w:after="0" w:line="40" w:lineRule="exact"/>
        <w:rPr>
          <w:rFonts w:ascii="Times New Roman" w:cs="Times New Roman" w:eastAsia="Times New Roman" w:hAnsi="Times New Roman"/>
          <w:sz w:val="18"/>
          <w:szCs w:val="18"/>
          <w:b w:val="1"/>
          <w:bCs w:val="1"/>
          <w:color w:val="auto"/>
        </w:rPr>
      </w:pPr>
    </w:p>
    <w:p>
      <w:pPr>
        <w:jc w:val="both"/>
        <w:ind w:left="660" w:right="3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reserved 3,000,000 shares of common stock for issuance or transfer under the 2020 Equity and Incentive Plan, which allows for grants of restricted stock units, as well as other equity awards. The Company maintains the 2010 Equity and Incentive Plan for awards granted prior to the effectiveness of the 2020 Equity and Incentive Plan.</w:t>
      </w:r>
    </w:p>
    <w:p>
      <w:pPr>
        <w:spacing w:after="0" w:line="21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Awards of Restricted Stock Units</w:t>
      </w:r>
    </w:p>
    <w:p>
      <w:pPr>
        <w:spacing w:after="0" w:line="254" w:lineRule="exact"/>
        <w:rPr>
          <w:rFonts w:ascii="Times New Roman" w:cs="Times New Roman" w:eastAsia="Times New Roman" w:hAnsi="Times New Roman"/>
          <w:sz w:val="18"/>
          <w:szCs w:val="18"/>
          <w:b w:val="1"/>
          <w:bCs w:val="1"/>
          <w:color w:val="auto"/>
        </w:rPr>
      </w:pPr>
    </w:p>
    <w:p>
      <w:pPr>
        <w:ind w:left="660" w:right="2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did not grant restricted stock units during the thirteen weeks ended July 30, 2022. During the thirteen weeks ended July 31, 2021, the Company granted 908 time-based and performance-based restricted stock units with an aggregate fair value of $10.0 thousand to certain employees under the 2020 Equity and Incentive Plan.</w:t>
      </w:r>
    </w:p>
    <w:p>
      <w:pPr>
        <w:spacing w:after="0" w:line="216" w:lineRule="exact"/>
        <w:rPr>
          <w:rFonts w:ascii="Times New Roman" w:cs="Times New Roman" w:eastAsia="Times New Roman" w:hAnsi="Times New Roman"/>
          <w:sz w:val="18"/>
          <w:szCs w:val="18"/>
          <w:b w:val="1"/>
          <w:bCs w:val="1"/>
          <w:color w:val="auto"/>
        </w:rPr>
      </w:pPr>
    </w:p>
    <w:p>
      <w:pPr>
        <w:ind w:left="660"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twenty-six weeks ended July 30, 2022, the Company granted 841,369 time-based and performance-based restricted stock units with an aggregate fair value of $6.3 million to certain employees and non-employee directors under the 2020 Equity and Incentive Plan compared to 640,915 time-based and performance-based restricted stock units with an aggregate fair value of $6.6 million in the same period of the prior year.</w:t>
      </w:r>
    </w:p>
    <w:p>
      <w:pPr>
        <w:spacing w:after="0" w:line="121" w:lineRule="exact"/>
        <w:rPr>
          <w:rFonts w:ascii="Times New Roman" w:cs="Times New Roman" w:eastAsia="Times New Roman" w:hAnsi="Times New Roman"/>
          <w:sz w:val="18"/>
          <w:szCs w:val="18"/>
          <w:b w:val="1"/>
          <w:bCs w:val="1"/>
          <w:color w:val="auto"/>
        </w:rPr>
      </w:pPr>
    </w:p>
    <w:p>
      <w:pPr>
        <w:ind w:left="660" w:right="1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majority of the time-based restricted stock units vest and settle in shares of the Company’s common stock, on a one-for-one basis, in equal installments on each of the first three anniversaries of the grant date. Restricted stock units issued to non-employee directors vest after a one-year period from the grant date. The Company recognizes the expense relating to these units, net of estimated forfeitures, on a straight-line basis over the vesting period.</w:t>
      </w:r>
    </w:p>
    <w:p>
      <w:pPr>
        <w:spacing w:after="0" w:line="125" w:lineRule="exact"/>
        <w:rPr>
          <w:rFonts w:ascii="Times New Roman" w:cs="Times New Roman" w:eastAsia="Times New Roman" w:hAnsi="Times New Roman"/>
          <w:sz w:val="18"/>
          <w:szCs w:val="18"/>
          <w:b w:val="1"/>
          <w:bCs w:val="1"/>
          <w:color w:val="auto"/>
        </w:rPr>
      </w:pPr>
    </w:p>
    <w:p>
      <w:pPr>
        <w:ind w:left="660" w:right="1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Performance-based restricted stock units vest upon the completion of a three-year period of time (cliff vesting), subject to the employee’s continuing employment throughout and the Company’s achievement of annual earnings per share targets, or other Company performance targets, during the three-year performance period. The Company recognizes the expense relating to these units, net of estimated forfeitures, based on the probable outcome of achievement of the financial targets, on a straight-line basis over three years.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a summary of restricted stock unit activity for the twenty-six weeks ended July 30, 2022 (units in thousands):</w:t>
      </w:r>
    </w:p>
    <w:p>
      <w:pPr>
        <w:spacing w:after="0" w:line="28"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720" w:type="dxa"/>
            <w:vAlign w:val="bottom"/>
            <w:gridSpan w:val="3"/>
          </w:tcPr>
          <w:p>
            <w:pPr>
              <w:jc w:val="center"/>
              <w:ind w:left="918"/>
              <w:spacing w:after="0"/>
              <w:rPr>
                <w:sz w:val="20"/>
                <w:szCs w:val="20"/>
                <w:color w:val="auto"/>
              </w:rPr>
            </w:pPr>
            <w:r>
              <w:rPr>
                <w:rFonts w:ascii="Times New Roman" w:cs="Times New Roman" w:eastAsia="Times New Roman" w:hAnsi="Times New Roman"/>
                <w:sz w:val="14"/>
                <w:szCs w:val="14"/>
                <w:b w:val="1"/>
                <w:bCs w:val="1"/>
                <w:color w:val="auto"/>
              </w:rPr>
              <w:t>Time-based</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4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Performance-based</w:t>
            </w: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282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274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0" w:type="dxa"/>
            <w:vAlign w:val="bottom"/>
          </w:tcPr>
          <w:p>
            <w:pPr>
              <w:spacing w:after="0"/>
              <w:rPr>
                <w:sz w:val="1"/>
                <w:szCs w:val="1"/>
                <w:color w:val="auto"/>
              </w:rPr>
            </w:pPr>
          </w:p>
        </w:tc>
      </w:tr>
      <w:tr>
        <w:trPr>
          <w:trHeight w:val="135"/>
        </w:trPr>
        <w:tc>
          <w:tcPr>
            <w:tcW w:w="438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160"/>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7"/>
        </w:trPr>
        <w:tc>
          <w:tcPr>
            <w:tcW w:w="43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jc w:val="center"/>
              <w:ind w:right="44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46"/>
        </w:trPr>
        <w:tc>
          <w:tcPr>
            <w:tcW w:w="4380" w:type="dxa"/>
            <w:vAlign w:val="bottom"/>
          </w:tcPr>
          <w:p>
            <w:pPr>
              <w:spacing w:after="0"/>
              <w:rPr>
                <w:sz w:val="12"/>
                <w:szCs w:val="12"/>
                <w:color w:val="auto"/>
              </w:rPr>
            </w:pPr>
          </w:p>
        </w:tc>
        <w:tc>
          <w:tcPr>
            <w:tcW w:w="1260" w:type="dxa"/>
            <w:vAlign w:val="bottom"/>
            <w:vMerge w:val="restart"/>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2"/>
          </w:tcPr>
          <w:p>
            <w:pPr>
              <w:jc w:val="center"/>
              <w:ind w:right="460"/>
              <w:spacing w:after="0" w:line="146"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1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126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229"/>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units outstanding at January 29, 2022</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center"/>
              <w:ind w:left="778"/>
              <w:spacing w:after="0"/>
              <w:rPr>
                <w:sz w:val="20"/>
                <w:szCs w:val="20"/>
                <w:color w:val="auto"/>
              </w:rPr>
            </w:pPr>
            <w:r>
              <w:rPr>
                <w:rFonts w:ascii="Times New Roman" w:cs="Times New Roman" w:eastAsia="Times New Roman" w:hAnsi="Times New Roman"/>
                <w:sz w:val="18"/>
                <w:szCs w:val="18"/>
                <w:color w:val="auto"/>
                <w:w w:val="96"/>
              </w:rPr>
              <w:t>708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19"/>
                <w:szCs w:val="19"/>
                <w:color w:val="auto"/>
              </w:rPr>
            </w:pPr>
          </w:p>
        </w:tc>
        <w:tc>
          <w:tcPr>
            <w:tcW w:w="1280" w:type="dxa"/>
            <w:vAlign w:val="bottom"/>
          </w:tcPr>
          <w:p>
            <w:pPr>
              <w:jc w:val="center"/>
              <w:ind w:left="778"/>
              <w:spacing w:after="0"/>
              <w:rPr>
                <w:sz w:val="20"/>
                <w:szCs w:val="20"/>
                <w:color w:val="auto"/>
              </w:rPr>
            </w:pPr>
            <w:r>
              <w:rPr>
                <w:rFonts w:ascii="Times New Roman" w:cs="Times New Roman" w:eastAsia="Times New Roman" w:hAnsi="Times New Roman"/>
                <w:sz w:val="18"/>
                <w:szCs w:val="18"/>
                <w:color w:val="auto"/>
                <w:w w:val="96"/>
              </w:rPr>
              <w:t>369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738"/>
              <w:spacing w:after="0"/>
              <w:rPr>
                <w:sz w:val="20"/>
                <w:szCs w:val="20"/>
                <w:color w:val="auto"/>
              </w:rPr>
            </w:pPr>
            <w:r>
              <w:rPr>
                <w:rFonts w:ascii="Times New Roman" w:cs="Times New Roman" w:eastAsia="Times New Roman" w:hAnsi="Times New Roman"/>
                <w:sz w:val="18"/>
                <w:szCs w:val="18"/>
                <w:color w:val="auto"/>
                <w:w w:val="97"/>
              </w:rPr>
              <w:t>(174)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0" w:type="dxa"/>
            <w:vAlign w:val="bottom"/>
          </w:tcPr>
          <w:p>
            <w:pPr>
              <w:spacing w:after="0"/>
              <w:rPr>
                <w:sz w:val="1"/>
                <w:szCs w:val="1"/>
                <w:color w:val="auto"/>
              </w:rPr>
            </w:pPr>
          </w:p>
        </w:tc>
      </w:tr>
      <w:tr>
        <w:trPr>
          <w:trHeight w:val="229"/>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center"/>
              <w:ind w:left="738"/>
              <w:spacing w:after="0"/>
              <w:rPr>
                <w:sz w:val="20"/>
                <w:szCs w:val="20"/>
                <w:color w:val="auto"/>
              </w:rPr>
            </w:pPr>
            <w:r>
              <w:rPr>
                <w:rFonts w:ascii="Times New Roman" w:cs="Times New Roman" w:eastAsia="Times New Roman" w:hAnsi="Times New Roman"/>
                <w:sz w:val="18"/>
                <w:szCs w:val="18"/>
                <w:color w:val="auto"/>
                <w:w w:val="97"/>
              </w:rPr>
              <w:t>(103)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units outstanding at July 30, 2022</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center"/>
              <w:ind w:left="778"/>
              <w:spacing w:after="0"/>
              <w:rPr>
                <w:sz w:val="20"/>
                <w:szCs w:val="20"/>
                <w:color w:val="auto"/>
              </w:rPr>
            </w:pPr>
            <w:r>
              <w:rPr>
                <w:rFonts w:ascii="Times New Roman" w:cs="Times New Roman" w:eastAsia="Times New Roman" w:hAnsi="Times New Roman"/>
                <w:sz w:val="18"/>
                <w:szCs w:val="18"/>
                <w:color w:val="auto"/>
                <w:w w:val="96"/>
              </w:rPr>
              <w:t>800</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60" w:right="240"/>
        <w:spacing w:after="0" w:line="312" w:lineRule="auto"/>
        <w:rPr>
          <w:sz w:val="20"/>
          <w:szCs w:val="20"/>
          <w:color w:val="auto"/>
        </w:rPr>
      </w:pPr>
      <w:r>
        <w:rPr>
          <w:rFonts w:ascii="Times New Roman" w:cs="Times New Roman" w:eastAsia="Times New Roman" w:hAnsi="Times New Roman"/>
          <w:sz w:val="17"/>
          <w:szCs w:val="17"/>
          <w:color w:val="auto"/>
        </w:rPr>
        <w:t>As of July 30, 2022, there was $6.2 million of total unrecognized compensation cost, net of estimated forfeitures, related to nonvested restricted stock units. That cost is expected to be recognized over a weighted-average period of 1.6 years, subject to meeting performance conditions.</w:t>
      </w:r>
    </w:p>
    <w:p>
      <w:pPr>
        <w:spacing w:after="0" w:line="244"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07" w:lineRule="exact"/>
        <w:rPr>
          <w:rFonts w:ascii="Times New Roman" w:cs="Times New Roman" w:eastAsia="Times New Roman" w:hAnsi="Times New Roman"/>
          <w:sz w:val="18"/>
          <w:szCs w:val="18"/>
          <w:b w:val="1"/>
          <w:bCs w:val="1"/>
          <w:color w:val="auto"/>
        </w:rPr>
      </w:pPr>
    </w:p>
    <w:p>
      <w:pPr>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subject to various claims and contingencies arising in the normal course of business, including those relating to product liability, legal claims, employee benefits, environmental issues, and other matters. Management believes that at this time it is not probable that any of these claims will have a material adverse effect on the Company’s financial condition, results of operations, or cash flows. However, the outcomes of legal proceedings and claims brought against the Company are subject to uncertainty, and future developments could cause these actions or claims, individually or in aggregate, to have a material adverse effect on the Company’s financial condition, results of operations, or cash flows of a particular reporting period.</w:t>
      </w:r>
    </w:p>
    <w:p>
      <w:pPr>
        <w:spacing w:after="0" w:line="65" w:lineRule="exact"/>
        <w:rPr>
          <w:rFonts w:ascii="Times New Roman" w:cs="Times New Roman" w:eastAsia="Times New Roman" w:hAnsi="Times New Roman"/>
          <w:sz w:val="18"/>
          <w:szCs w:val="18"/>
          <w:b w:val="1"/>
          <w:bCs w:val="1"/>
          <w:color w:val="auto"/>
        </w:rPr>
      </w:pPr>
    </w:p>
    <w:p>
      <w:pPr>
        <w:ind w:left="660" w:right="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August of 2019, Vesi Incorporated (“Vesi”) filed suit against the Company in the U.S. District Court for the Southern District of Ohio related to the Company’s licensing business and alleging breach of fiduciary duty, unfair competition, defamation, and tortious interference with prospective business relationships. The complaint seeks damages in an amount not less than $10.0 million for punitive damages, attorney fees, prejudgment interest, and any other additional relief. The Company has denied any liability and intends to vigorously defend itself in the case. In November 2019, the Company filed a counterclaim against the principals of Vesi as personal guarantors for monies owed to the Company by Vesi. The Company has filed a motion for summary judgement asking the Court to dismiss all claims with prejudice and grant judgement on its counterclaim. The motion is fully briefed and the Company is awaiting a decision from the Court. At this time, we are not able to estimate a possible loss or range of loss that may result from this matter or to determine whether such loss, if any, would have a material adverse effect on our financial condition or results of operations due to the fact that the Company is vigorously defending itself and management believes that the Company has a number of meritorious legal defenses.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107" w:lineRule="exact"/>
        <w:rPr>
          <w:rFonts w:ascii="Times New Roman" w:cs="Times New Roman" w:eastAsia="Times New Roman" w:hAnsi="Times New Roman"/>
          <w:sz w:val="18"/>
          <w:szCs w:val="18"/>
          <w:b w:val="1"/>
          <w:bCs w:val="1"/>
          <w:color w:val="auto"/>
        </w:rPr>
      </w:pPr>
    </w:p>
    <w:p>
      <w:pPr>
        <w:ind w:left="660" w:right="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29, 2018, the Company's board of directors approved a share repurchase plan (the “2018 Share Repurchase Program”) authorizing up to $50.0 million of repurchases of shares of the Company's common stock. On December 3, 2020, the 2018 Share Repurchase Program was extended through December 11, 2021. On March 20, 2020, the Company temporarily suspended the share repurchase program to conserve cash as a result of the COVID-19 pandemic. The board of directors authorized the resumption of the share repurchase program beginning on March 11, 2021.</w:t>
      </w:r>
    </w:p>
    <w:p>
      <w:pPr>
        <w:spacing w:after="0" w:line="48" w:lineRule="exact"/>
        <w:rPr>
          <w:rFonts w:ascii="Times New Roman" w:cs="Times New Roman" w:eastAsia="Times New Roman" w:hAnsi="Times New Roman"/>
          <w:sz w:val="18"/>
          <w:szCs w:val="18"/>
          <w:b w:val="1"/>
          <w:bCs w:val="1"/>
          <w:color w:val="auto"/>
        </w:rPr>
      </w:pPr>
    </w:p>
    <w:p>
      <w:pPr>
        <w:ind w:left="660"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2021, the Company's board of directors approved a new share repurchase plan (the “2021 Share Repurchase Program”) which authorized Company management to utilize up to $50.0 million of available cash for repurchases of shares of the Company's common stock. The 2021 Share Repurchase Program went into effect beginning December 13, 2021 and expires in December 2024.</w:t>
      </w:r>
    </w:p>
    <w:p>
      <w:pPr>
        <w:spacing w:after="0" w:line="5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purchased 2,409,119 shares at an average price of $6.84 per share, excluding commissions, for an aggregate amount of</w:t>
      </w:r>
    </w:p>
    <w:p>
      <w:pPr>
        <w:spacing w:after="0" w:line="27" w:lineRule="exact"/>
        <w:rPr>
          <w:rFonts w:ascii="Times New Roman" w:cs="Times New Roman" w:eastAsia="Times New Roman" w:hAnsi="Times New Roman"/>
          <w:sz w:val="18"/>
          <w:szCs w:val="18"/>
          <w:b w:val="1"/>
          <w:bCs w:val="1"/>
          <w:color w:val="auto"/>
        </w:rPr>
      </w:pPr>
    </w:p>
    <w:p>
      <w:pPr>
        <w:ind w:left="660" w:right="26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$16.5 million during the twenty-six weeks ended July 30, 2022 under the 2021 Share Repurchase Program. There was $29.3 million remaining available to repurchase shares of the Company's common stock under the 2021 Share Repurchase Program as of July 30, 2022.</w:t>
      </w:r>
    </w:p>
    <w:p>
      <w:pPr>
        <w:spacing w:after="0" w:line="59" w:lineRule="exact"/>
        <w:rPr>
          <w:rFonts w:ascii="Times New Roman" w:cs="Times New Roman" w:eastAsia="Times New Roman" w:hAnsi="Times New Roman"/>
          <w:sz w:val="18"/>
          <w:szCs w:val="18"/>
          <w:b w:val="1"/>
          <w:bCs w:val="1"/>
          <w:color w:val="auto"/>
        </w:rPr>
      </w:pPr>
    </w:p>
    <w:p>
      <w:pPr>
        <w:ind w:left="66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As of July 30, 2022, the Company held as treasury shares 11,667,860 shares of its common stock at an average price of $11.25 per share, excluding commissions, for an aggregate carrying amount of $131.3 million. The Company’s treasury shares may be issued under the 2010 Equity and Incentive Plan (with respect to outstanding awards under that plan), under the 2020 Equity and Incentive Plan, or for other corporate purposes.</w:t>
      </w:r>
    </w:p>
    <w:p>
      <w:pPr>
        <w:spacing w:after="0" w:line="261" w:lineRule="exact"/>
        <w:rPr>
          <w:rFonts w:ascii="Times New Roman" w:cs="Times New Roman" w:eastAsia="Times New Roman" w:hAnsi="Times New Roman"/>
          <w:sz w:val="18"/>
          <w:szCs w:val="18"/>
          <w:b w:val="1"/>
          <w:bCs w:val="1"/>
          <w:color w:val="auto"/>
        </w:rPr>
      </w:pPr>
    </w:p>
    <w:p>
      <w:pPr>
        <w:ind w:left="640" w:hanging="632"/>
        <w:spacing w:after="0"/>
        <w:tabs>
          <w:tab w:leader="none" w:pos="6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Cloud Computing Arrangements</w:t>
      </w:r>
    </w:p>
    <w:p>
      <w:pPr>
        <w:spacing w:after="0" w:line="107" w:lineRule="exact"/>
        <w:rPr>
          <w:rFonts w:ascii="Times New Roman" w:cs="Times New Roman" w:eastAsia="Times New Roman" w:hAnsi="Times New Roman"/>
          <w:sz w:val="18"/>
          <w:szCs w:val="18"/>
          <w:b w:val="1"/>
          <w:bCs w:val="1"/>
          <w:color w:val="auto"/>
        </w:rPr>
      </w:pPr>
    </w:p>
    <w:p>
      <w:pPr>
        <w:ind w:left="660" w:right="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capitalizes implementation costs associated with its Cloud Computing Arrangements (“CCA”) consistent with costs capitalized for internal-use software. The CCA costs are amortized over the term of the related hosting agreement, taking into consideration renewal options, if any. The renewal period is included in the amortization period if determined that the option is reasonably certain to be exercised. The amortization expense is recorded within selling, general, and administrative expenses in the Company's Condensed Consolidated Statements of Operations, which is within the same line item as the related hosting fees. The balance of the unamortized CCA implementation costs totaled $7.2 million and $8.0 million as of July 30, 2022 and January 29, 2022, respectively. Of this total, $3.1 million and $2.8 million was recorded within prepaid expenses and other current assets and $4.1 million and $5.2 million was recorded within other assets on the Company's Condensed Consolidated Balance Sheets as of July 30, 2022 and January 29, 2022, respectively. The CCA implementation costs are recorded within operating activities in the Company's 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Noncontrolling Interest</w:t>
      </w:r>
    </w:p>
    <w:p>
      <w:pPr>
        <w:spacing w:after="0" w:line="107"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Redeemable noncontrolling interest represents the remaining twenty-five percent (25%) interest in Pura Vida not acquired by the Company. Refer to Notes 1 and 4 herein for additional information.</w:t>
      </w:r>
    </w:p>
    <w:p>
      <w:pPr>
        <w:spacing w:after="0" w:line="2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redeemable noncontrolling interest for the thirteen and twenty-six weeks ended July 30, 2022, were as follows (in thousands):</w:t>
      </w:r>
    </w:p>
    <w:p>
      <w:pPr>
        <w:spacing w:after="0" w:line="149"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29, 2022</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30,974</w:t>
            </w:r>
          </w:p>
        </w:tc>
      </w:tr>
      <w:tr>
        <w:trPr>
          <w:trHeight w:val="23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redeemable noncontrolling interest</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2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to redeemable noncontrolling interest</w:t>
            </w: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3"/>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April 30, 2022</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31,092</w:t>
            </w: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3"/>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(7,134)</w:t>
            </w:r>
          </w:p>
        </w:tc>
      </w:tr>
      <w:tr>
        <w:trPr>
          <w:trHeight w:val="229"/>
        </w:trPr>
        <w:tc>
          <w:tcPr>
            <w:tcW w:w="8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Distributions to redeemable noncontrolling interest</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48"/>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July 30, 2022</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23,491</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Changes in redeemable noncontrolling interest for the thirteen and twenty-six weeks ended July 31, 2021, were as follows (in thousands):</w:t>
      </w:r>
    </w:p>
    <w:p>
      <w:pPr>
        <w:spacing w:after="0" w:line="149"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30, 2021</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29,809</w:t>
            </w:r>
          </w:p>
        </w:tc>
      </w:tr>
      <w:tr>
        <w:trPr>
          <w:trHeight w:val="23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redeemable noncontrolling interest</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r>
      <w:tr>
        <w:trPr>
          <w:trHeight w:val="22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to redeemable noncontrolling interest</w:t>
            </w: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3"/>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May 1, 2021</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30,307</w:t>
            </w: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3"/>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redeemable noncontrolling interest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r>
      <w:tr>
        <w:trPr>
          <w:trHeight w:val="229"/>
        </w:trPr>
        <w:tc>
          <w:tcPr>
            <w:tcW w:w="8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Distributions to redeemable noncontrolling interest</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48"/>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July 31, 2021</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30,364</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and Goodwill</w:t>
      </w:r>
    </w:p>
    <w:p>
      <w:pPr>
        <w:spacing w:after="0" w:line="107" w:lineRule="exact"/>
        <w:rPr>
          <w:rFonts w:ascii="Times New Roman" w:cs="Times New Roman" w:eastAsia="Times New Roman" w:hAnsi="Times New Roman"/>
          <w:sz w:val="18"/>
          <w:szCs w:val="18"/>
          <w:b w:val="1"/>
          <w:bCs w:val="1"/>
          <w:color w:val="auto"/>
        </w:rPr>
      </w:pPr>
    </w:p>
    <w:p>
      <w:pPr>
        <w:ind w:left="660" w:right="440"/>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detail the carrying value of the Company's intangible assets other than goodwill related to the acquisition of a majority interest in Pura Vida.</w:t>
      </w:r>
    </w:p>
    <w:tbl>
      <w:tblPr>
        <w:tblLayout w:type="fixed"/>
        <w:tblInd w:w="66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July 30, 2022</w:t>
            </w: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Pr>
          <w:p>
            <w:pPr>
              <w:spacing w:after="0"/>
              <w:rPr>
                <w:sz w:val="11"/>
                <w:szCs w:val="11"/>
                <w:color w:val="auto"/>
              </w:rPr>
            </w:pPr>
          </w:p>
        </w:tc>
        <w:tc>
          <w:tcPr>
            <w:tcW w:w="14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Gross Basis</w:t>
            </w:r>
          </w:p>
        </w:tc>
        <w:tc>
          <w:tcPr>
            <w:tcW w:w="220" w:type="dxa"/>
            <w:vAlign w:val="bottom"/>
          </w:tcPr>
          <w:p>
            <w:pPr>
              <w:spacing w:after="0"/>
              <w:rPr>
                <w:sz w:val="11"/>
                <w:szCs w:val="11"/>
                <w:color w:val="auto"/>
              </w:rPr>
            </w:pPr>
          </w:p>
        </w:tc>
        <w:tc>
          <w:tcPr>
            <w:tcW w:w="146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140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0" w:type="dxa"/>
            <w:vAlign w:val="bottom"/>
          </w:tcPr>
          <w:p>
            <w:pPr>
              <w:spacing w:after="0"/>
              <w:rPr>
                <w:sz w:val="1"/>
                <w:szCs w:val="1"/>
                <w:color w:val="auto"/>
              </w:rPr>
            </w:pPr>
          </w:p>
        </w:tc>
      </w:tr>
      <w:tr>
        <w:trPr>
          <w:trHeight w:val="203"/>
        </w:trPr>
        <w:tc>
          <w:tcPr>
            <w:tcW w:w="49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Amortization</w:t>
            </w:r>
            <w:r>
              <w:rPr>
                <w:rFonts w:ascii="Times New Roman" w:cs="Times New Roman" w:eastAsia="Times New Roman" w:hAnsi="Times New Roman"/>
                <w:sz w:val="9"/>
                <w:szCs w:val="9"/>
                <w:b w:val="1"/>
                <w:bCs w:val="1"/>
                <w:color w:val="auto"/>
              </w:rPr>
              <w:t>(1)</w:t>
            </w:r>
          </w:p>
        </w:tc>
        <w:tc>
          <w:tcPr>
            <w:tcW w:w="16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Definite-lived intangible assets</w:t>
            </w: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5,709</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definite-lived intangible assets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(18,978)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6,018</w:t>
            </w:r>
          </w:p>
        </w:tc>
        <w:tc>
          <w:tcPr>
            <w:tcW w:w="0" w:type="dxa"/>
            <w:vAlign w:val="bottom"/>
          </w:tcPr>
          <w:p>
            <w:pPr>
              <w:spacing w:after="0"/>
              <w:rPr>
                <w:sz w:val="1"/>
                <w:szCs w:val="1"/>
                <w:color w:val="auto"/>
              </w:rPr>
            </w:pPr>
          </w:p>
        </w:tc>
      </w:tr>
      <w:tr>
        <w:trPr>
          <w:trHeight w:val="250"/>
        </w:trPr>
        <w:tc>
          <w:tcPr>
            <w:tcW w:w="49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Indefinite-lived intangible asset</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Pura Vida Brand </w:t>
            </w:r>
            <w:r>
              <w:rPr>
                <w:rFonts w:ascii="Times New Roman" w:cs="Times New Roman" w:eastAsia="Times New Roman" w:hAnsi="Times New Roman"/>
                <w:sz w:val="23"/>
                <w:szCs w:val="23"/>
                <w:color w:val="auto"/>
                <w:vertAlign w:val="superscript"/>
              </w:rPr>
              <w:t>(2)</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26,751</w:t>
            </w: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excluding goodwill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32,769</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920" w:hanging="246"/>
        <w:spacing w:after="0"/>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expense is recorded within the Pura Vida segment.</w:t>
      </w:r>
    </w:p>
    <w:p>
      <w:pPr>
        <w:spacing w:after="0" w:line="27" w:lineRule="exact"/>
        <w:rPr>
          <w:rFonts w:ascii="Times New Roman" w:cs="Times New Roman" w:eastAsia="Times New Roman" w:hAnsi="Times New Roman"/>
          <w:sz w:val="18"/>
          <w:szCs w:val="18"/>
          <w:color w:val="auto"/>
        </w:rPr>
      </w:pPr>
    </w:p>
    <w:p>
      <w:pPr>
        <w:ind w:left="680" w:right="920" w:hanging="6"/>
        <w:spacing w:after="0" w:line="234" w:lineRule="auto"/>
        <w:tabs>
          <w:tab w:leader="none" w:pos="9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impairment charge was recorded within the Pura Vida segment during the thirteen and twenty-six weeks ended July 30, 2022, totaling $9.9 million in conjunction with the Company's annual impairment test.</w:t>
      </w:r>
    </w:p>
    <w:p>
      <w:pPr>
        <w:spacing w:after="0" w:line="206"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January 29, 2022</w:t>
            </w: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Pr>
          <w:p>
            <w:pPr>
              <w:spacing w:after="0"/>
              <w:rPr>
                <w:sz w:val="11"/>
                <w:szCs w:val="11"/>
                <w:color w:val="auto"/>
              </w:rPr>
            </w:pPr>
          </w:p>
        </w:tc>
        <w:tc>
          <w:tcPr>
            <w:tcW w:w="14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Gross Basis</w:t>
            </w:r>
          </w:p>
        </w:tc>
        <w:tc>
          <w:tcPr>
            <w:tcW w:w="180" w:type="dxa"/>
            <w:vAlign w:val="bottom"/>
          </w:tcPr>
          <w:p>
            <w:pPr>
              <w:spacing w:after="0"/>
              <w:rPr>
                <w:sz w:val="11"/>
                <w:szCs w:val="11"/>
                <w:color w:val="auto"/>
              </w:rPr>
            </w:pPr>
          </w:p>
        </w:tc>
        <w:tc>
          <w:tcPr>
            <w:tcW w:w="150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140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0" w:type="dxa"/>
            <w:vAlign w:val="bottom"/>
          </w:tcPr>
          <w:p>
            <w:pPr>
              <w:spacing w:after="0"/>
              <w:rPr>
                <w:sz w:val="1"/>
                <w:szCs w:val="1"/>
                <w:color w:val="auto"/>
              </w:rPr>
            </w:pPr>
          </w:p>
        </w:tc>
      </w:tr>
      <w:tr>
        <w:trPr>
          <w:trHeight w:val="203"/>
        </w:trPr>
        <w:tc>
          <w:tcPr>
            <w:tcW w:w="49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center"/>
              <w:ind w:right="280"/>
              <w:spacing w:after="0" w:line="202" w:lineRule="exact"/>
              <w:rPr>
                <w:sz w:val="20"/>
                <w:szCs w:val="20"/>
                <w:color w:val="auto"/>
              </w:rPr>
            </w:pPr>
            <w:r>
              <w:rPr>
                <w:rFonts w:ascii="Times New Roman" w:cs="Times New Roman" w:eastAsia="Times New Roman" w:hAnsi="Times New Roman"/>
                <w:sz w:val="14"/>
                <w:szCs w:val="14"/>
                <w:b w:val="1"/>
                <w:bCs w:val="1"/>
                <w:color w:val="auto"/>
                <w:w w:val="99"/>
              </w:rPr>
              <w:t>Amortization</w:t>
            </w:r>
            <w:r>
              <w:rPr>
                <w:rFonts w:ascii="Times New Roman" w:cs="Times New Roman" w:eastAsia="Times New Roman" w:hAnsi="Times New Roman"/>
                <w:sz w:val="18"/>
                <w:szCs w:val="18"/>
                <w:b w:val="1"/>
                <w:bCs w:val="1"/>
                <w:color w:val="auto"/>
                <w:w w:val="99"/>
                <w:vertAlign w:val="superscript"/>
              </w:rPr>
              <w:t>(1)</w:t>
            </w:r>
          </w:p>
        </w:tc>
        <w:tc>
          <w:tcPr>
            <w:tcW w:w="16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Definite-lived intangible assets</w:t>
            </w: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7,167</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definite-lived intangible assets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7,555</w:t>
            </w:r>
          </w:p>
        </w:tc>
        <w:tc>
          <w:tcPr>
            <w:tcW w:w="0" w:type="dxa"/>
            <w:vAlign w:val="bottom"/>
          </w:tcPr>
          <w:p>
            <w:pPr>
              <w:spacing w:after="0"/>
              <w:rPr>
                <w:sz w:val="1"/>
                <w:szCs w:val="1"/>
                <w:color w:val="auto"/>
              </w:rPr>
            </w:pPr>
          </w:p>
        </w:tc>
      </w:tr>
      <w:tr>
        <w:trPr>
          <w:trHeight w:val="250"/>
        </w:trPr>
        <w:tc>
          <w:tcPr>
            <w:tcW w:w="49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Indefinite-lived intangible asset</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Pura Vida Brand</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36,668</w:t>
            </w: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excluding goodwill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44,223</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 Amortization expense is recorded within the Pura Vida segment.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Amortization expense is recorded within selling, general, and administrative expenses in the Company's Condensed Consolidated Statement of</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Operations. The future amortization expense for intangible assets is as follows (in thousands):</w:t>
      </w:r>
    </w:p>
    <w:p>
      <w:pPr>
        <w:spacing w:after="0" w:line="2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23"/>
        </w:trPr>
        <w:tc>
          <w:tcPr>
            <w:tcW w:w="7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2023 (remaining six months)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w:t>
            </w: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2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6,018</w:t>
            </w:r>
          </w:p>
        </w:tc>
      </w:tr>
      <w:tr>
        <w:trPr>
          <w:trHeight w:val="20"/>
        </w:trPr>
        <w:tc>
          <w:tcPr>
            <w:tcW w:w="7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total amount of the goodwill as of July 30, 2022 and January 29, 2022, was $24.8 million and $44.3 million, respectively, recorded within the Pura Vida segment. Goodwill is deductible for tax purposes, limited to the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98" w:lineRule="exact"/>
        <w:rPr>
          <w:sz w:val="20"/>
          <w:szCs w:val="20"/>
          <w:color w:val="auto"/>
        </w:rPr>
      </w:pPr>
    </w:p>
    <w:p>
      <w:pPr>
        <w:ind w:left="660" w:right="240"/>
        <w:spacing w:after="0" w:line="282" w:lineRule="auto"/>
        <w:rPr>
          <w:sz w:val="20"/>
          <w:szCs w:val="20"/>
          <w:color w:val="auto"/>
        </w:rPr>
      </w:pPr>
      <w:r>
        <w:rPr>
          <w:rFonts w:ascii="Times New Roman" w:cs="Times New Roman" w:eastAsia="Times New Roman" w:hAnsi="Times New Roman"/>
          <w:sz w:val="18"/>
          <w:szCs w:val="18"/>
          <w:color w:val="auto"/>
        </w:rPr>
        <w:t>Company's 75% majority ownership interest. Changes to goodwill for the thirteen and twenty-six weeks ended July 30, 2022 are as follows (in thousands):</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29, 2022</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6"/>
              </w:rPr>
              <w:t>44,254</w:t>
            </w:r>
          </w:p>
        </w:tc>
      </w:tr>
      <w:tr>
        <w:trPr>
          <w:trHeight w:val="229"/>
        </w:trPr>
        <w:tc>
          <w:tcPr>
            <w:tcW w:w="85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Goodwill impairment </w:t>
            </w:r>
            <w:r>
              <w:rPr>
                <w:rFonts w:ascii="Times New Roman" w:cs="Times New Roman" w:eastAsia="Times New Roman" w:hAnsi="Times New Roman"/>
                <w:sz w:val="23"/>
                <w:szCs w:val="23"/>
                <w:color w:val="auto"/>
                <w:vertAlign w:val="superscript"/>
              </w:rPr>
              <w:t>(1)</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(19,421)</w:t>
            </w:r>
          </w:p>
        </w:tc>
      </w:tr>
      <w:tr>
        <w:trPr>
          <w:trHeight w:val="230"/>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July 30, 2022</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6"/>
              </w:rPr>
              <w:t>24,833</w:t>
            </w:r>
          </w:p>
        </w:tc>
      </w:tr>
    </w:tbl>
    <w:p>
      <w:pPr>
        <w:ind w:left="680" w:right="960" w:hanging="6"/>
        <w:spacing w:after="0" w:line="234" w:lineRule="auto"/>
        <w:tabs>
          <w:tab w:leader="none" w:pos="9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goodwill impairment charge was recorded in conjunction with the Company's annual impairment test during the thirteen and twenty-six weeks ended July 30, 2022. The goodwill impairment charge was recorded within the Pura Vida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-247015</wp:posOffset>
            </wp:positionV>
            <wp:extent cx="7969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changes to goodwill for the thirteen and twenty-six weeks ended July 31, 2021.</w:t>
      </w:r>
    </w:p>
    <w:p>
      <w:pPr>
        <w:spacing w:after="0" w:line="90"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The Company performs its annual impairment test over goodwill and the indefinite-lived Pura Vida brand during the second quarter of each fiscal year. The Company has experienced significantly lower sales from its Pura Vida e-commerce channel due to a decline in social and digital media effectiveness. These lower sales volumes had a negative impact on the fair value determination of the aforementioned assets.</w:t>
      </w:r>
    </w:p>
    <w:p>
      <w:pPr>
        <w:spacing w:after="0" w:line="54" w:lineRule="exact"/>
        <w:rPr>
          <w:sz w:val="20"/>
          <w:szCs w:val="20"/>
          <w:color w:val="auto"/>
        </w:rPr>
      </w:pPr>
    </w:p>
    <w:p>
      <w:pPr>
        <w:ind w:left="660" w:right="100"/>
        <w:spacing w:after="0" w:line="261" w:lineRule="auto"/>
        <w:rPr>
          <w:sz w:val="20"/>
          <w:szCs w:val="20"/>
          <w:color w:val="auto"/>
        </w:rPr>
      </w:pPr>
      <w:r>
        <w:rPr>
          <w:rFonts w:ascii="Times New Roman" w:cs="Times New Roman" w:eastAsia="Times New Roman" w:hAnsi="Times New Roman"/>
          <w:sz w:val="18"/>
          <w:szCs w:val="18"/>
          <w:color w:val="auto"/>
        </w:rPr>
        <w:t>The fair value of the Pura Vida reporting unit was determined using a combination of an income-based approach (discounted cash flows) and a market-based approach (guideline transaction method). The discounted cash flow method involved subjective estimates and assumptions such as projected revenue growth, operating profit, and the discount rate. The guideline transaction method involved transaction multiples derived from the acquisition of controlling interests in stocks of companies that are engaged in the same or similar lines of business as the reporting unit.</w:t>
      </w:r>
    </w:p>
    <w:p>
      <w:pPr>
        <w:spacing w:after="0" w:line="58" w:lineRule="exact"/>
        <w:rPr>
          <w:sz w:val="20"/>
          <w:szCs w:val="20"/>
          <w:color w:val="auto"/>
        </w:rPr>
      </w:pPr>
    </w:p>
    <w:p>
      <w:pPr>
        <w:ind w:left="660" w:right="40"/>
        <w:spacing w:after="0" w:line="312" w:lineRule="auto"/>
        <w:rPr>
          <w:sz w:val="20"/>
          <w:szCs w:val="20"/>
          <w:color w:val="auto"/>
        </w:rPr>
      </w:pPr>
      <w:r>
        <w:rPr>
          <w:rFonts w:ascii="Times New Roman" w:cs="Times New Roman" w:eastAsia="Times New Roman" w:hAnsi="Times New Roman"/>
          <w:sz w:val="17"/>
          <w:szCs w:val="17"/>
          <w:color w:val="auto"/>
        </w:rPr>
        <w:t>The fair value of the Pura Vida brand was estimated using a relief-from-royalty method. The estimates and assumptions used in the determination of the fair value of the Pura Vida brand included the projected revenue growth, long-term growth rate, the royalty rate, and discount rate.</w:t>
      </w:r>
    </w:p>
    <w:p>
      <w:pPr>
        <w:spacing w:after="0" w:line="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During the assessment for the fiscal 2023 test, it was determined that the fair values of the Pura Vida reporting unit and the Pura Vida brand were less than their carrying values. As a result, the Company recorded an impairment charge of $9.9 million and $19.4 million for the Pura Vida brand and goodwill, respectively, for the thirteen and twenty-six weeks ended July 30, 2022 within the Pura Vida segment.</w:t>
      </w:r>
    </w:p>
    <w:p>
      <w:pPr>
        <w:spacing w:after="0" w:line="54" w:lineRule="exact"/>
        <w:rPr>
          <w:sz w:val="20"/>
          <w:szCs w:val="20"/>
          <w:color w:val="auto"/>
        </w:rPr>
      </w:pPr>
    </w:p>
    <w:p>
      <w:pPr>
        <w:ind w:left="660" w:right="20"/>
        <w:spacing w:after="0" w:line="256" w:lineRule="auto"/>
        <w:rPr>
          <w:sz w:val="20"/>
          <w:szCs w:val="20"/>
          <w:color w:val="auto"/>
        </w:rPr>
      </w:pPr>
      <w:r>
        <w:rPr>
          <w:rFonts w:ascii="Times New Roman" w:cs="Times New Roman" w:eastAsia="Times New Roman" w:hAnsi="Times New Roman"/>
          <w:sz w:val="18"/>
          <w:szCs w:val="18"/>
          <w:color w:val="auto"/>
        </w:rPr>
        <w:t>While we consider our assumptions in the determination of the fair value of these assets to be reasonable, they are complex and highly subjective. Adverse changes in key assumptions in future periods may result in further declines in the fair value estimates of goodwill and the Pura Vida brand below their carrying value resulting in impairment charges, which could be material. Our key assumptions (as described above in the valuation methodologies used in the determination of fair value) may be impacted by macroeconomic conditions, including inflationary pressures and the impact on consumer discretionary spending, supply chain challenges, as well as a sustained decline in stock price and potential changes in business strategy. Refer to Note 5 herein for additional information regarding the fair value measurement.</w:t>
      </w:r>
    </w:p>
    <w:p>
      <w:pPr>
        <w:spacing w:after="0" w:line="62" w:lineRule="exact"/>
        <w:rPr>
          <w:sz w:val="20"/>
          <w:szCs w:val="20"/>
          <w:color w:val="auto"/>
        </w:rPr>
      </w:pPr>
    </w:p>
    <w:p>
      <w:pPr>
        <w:ind w:left="660" w:right="7080" w:hanging="652"/>
        <w:spacing w:after="0" w:line="375" w:lineRule="auto"/>
        <w:tabs>
          <w:tab w:leader="none" w:pos="655"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Cost Savings Initiatives and Other Charges </w:t>
      </w:r>
      <w:r>
        <w:rPr>
          <w:rFonts w:ascii="Times New Roman" w:cs="Times New Roman" w:eastAsia="Times New Roman" w:hAnsi="Times New Roman"/>
          <w:sz w:val="17"/>
          <w:szCs w:val="17"/>
          <w:i w:val="1"/>
          <w:iCs w:val="1"/>
          <w:color w:val="auto"/>
        </w:rPr>
        <w:t>Cost Savings Initiatives and Severance Charges</w:t>
      </w:r>
    </w:p>
    <w:p>
      <w:pPr>
        <w:spacing w:after="0" w:line="1"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During the thirteen weeks ended July 30, 2022, the Company began implementation of its targeted cost reductions, which are expected to be fully realized in fiscal 2024. Expense savings are being derived across various areas of the Company, including retail store efficiencies, marketing expenses, information technology contracts, professional services, logistics and operational costs, and corporate payroll.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incurred the following charges during the thirteen weeks ended July 30, 2022 (in thousands):</w:t>
      </w:r>
    </w:p>
    <w:p>
      <w:pPr>
        <w:spacing w:after="0" w:line="273"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Unallocated Corporate</w:t>
            </w: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200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Direct</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VB Indirect</w:t>
            </w:r>
          </w:p>
        </w:tc>
        <w:tc>
          <w:tcPr>
            <w:tcW w:w="280" w:type="dxa"/>
            <w:vAlign w:val="bottom"/>
          </w:tcPr>
          <w:p>
            <w:pPr>
              <w:spacing w:after="0"/>
              <w:rPr>
                <w:sz w:val="10"/>
                <w:szCs w:val="10"/>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Pura Vida</w:t>
            </w:r>
          </w:p>
        </w:tc>
        <w:tc>
          <w:tcPr>
            <w:tcW w:w="160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Total Expense</w:t>
            </w: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00" w:type="dxa"/>
            <w:vAlign w:val="bottom"/>
            <w:tcBorders>
              <w:top w:val="single" w:sz="8" w:color="CCEEFF"/>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Severance charges </w:t>
            </w:r>
            <w:r>
              <w:rPr>
                <w:rFonts w:ascii="Times New Roman" w:cs="Times New Roman" w:eastAsia="Times New Roman" w:hAnsi="Times New Roman"/>
                <w:sz w:val="23"/>
                <w:szCs w:val="23"/>
                <w:color w:val="auto"/>
                <w:vertAlign w:val="superscript"/>
              </w:rPr>
              <w:t>(1)</w:t>
            </w:r>
          </w:p>
        </w:tc>
        <w:tc>
          <w:tcPr>
            <w:tcW w:w="1100" w:type="dxa"/>
            <w:vAlign w:val="bottom"/>
            <w:tcBorders>
              <w:top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0" w:type="dxa"/>
            <w:vAlign w:val="bottom"/>
          </w:tcPr>
          <w:p>
            <w:pPr>
              <w:spacing w:after="0"/>
              <w:rPr>
                <w:sz w:val="1"/>
                <w:szCs w:val="1"/>
                <w:color w:val="auto"/>
              </w:rPr>
            </w:pPr>
          </w:p>
        </w:tc>
      </w:tr>
      <w:tr>
        <w:trPr>
          <w:trHeight w:val="181"/>
        </w:trPr>
        <w:tc>
          <w:tcPr>
            <w:tcW w:w="20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Consulting fees and other</w:t>
            </w: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00" w:type="dxa"/>
            <w:vAlign w:val="bottom"/>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costs </w:t>
            </w:r>
            <w:r>
              <w:rPr>
                <w:rFonts w:ascii="Times New Roman" w:cs="Times New Roman" w:eastAsia="Times New Roman" w:hAnsi="Times New Roman"/>
                <w:sz w:val="23"/>
                <w:szCs w:val="23"/>
                <w:color w:val="auto"/>
                <w:vertAlign w:val="superscript"/>
              </w:rPr>
              <w:t>(2)</w:t>
            </w:r>
          </w:p>
        </w:tc>
        <w:tc>
          <w:tcPr>
            <w:tcW w:w="1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0" w:type="dxa"/>
            <w:vAlign w:val="bottom"/>
          </w:tcPr>
          <w:p>
            <w:pPr>
              <w:spacing w:after="0"/>
              <w:rPr>
                <w:sz w:val="1"/>
                <w:szCs w:val="1"/>
                <w:color w:val="auto"/>
              </w:rPr>
            </w:pPr>
          </w:p>
        </w:tc>
      </w:tr>
      <w:tr>
        <w:trPr>
          <w:trHeight w:val="248"/>
        </w:trPr>
        <w:tc>
          <w:tcPr>
            <w:tcW w:w="200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(3)</w:t>
            </w:r>
          </w:p>
        </w:tc>
        <w:tc>
          <w:tcPr>
            <w:tcW w:w="1100" w:type="dxa"/>
            <w:vAlign w:val="bottom"/>
            <w:tcBorders>
              <w:top w:val="single" w:sz="8" w:color="auto"/>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8,771</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920" w:hanging="246"/>
        <w:spacing w:after="0"/>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CEO retirement severance</w:t>
      </w:r>
    </w:p>
    <w:p>
      <w:pPr>
        <w:spacing w:after="0" w:line="27"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$2.8 million for fees related to cost savings initiatives and CEO search and $0.3 million for concept brand exit costs</w:t>
      </w:r>
    </w:p>
    <w:p>
      <w:pPr>
        <w:spacing w:after="0" w:line="22" w:lineRule="exact"/>
        <w:rPr>
          <w:rFonts w:ascii="Times New Roman" w:cs="Times New Roman" w:eastAsia="Times New Roman" w:hAnsi="Times New Roman"/>
          <w:sz w:val="18"/>
          <w:szCs w:val="18"/>
          <w:color w:val="auto"/>
        </w:rPr>
      </w:pPr>
    </w:p>
    <w:p>
      <w:pPr>
        <w:ind w:left="680" w:right="720" w:hanging="6"/>
        <w:spacing w:after="0" w:line="245" w:lineRule="auto"/>
        <w:tabs>
          <w:tab w:leader="none" w:pos="9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 million of the charges are recorded within selling, general, and administrative expenses and $0.2 million are recorded within cost of sales</w:t>
      </w:r>
    </w:p>
    <w:p>
      <w:pPr>
        <w:spacing w:after="0" w:line="3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incurred the following charges during the twenty-six weeks ended July 30, 2022 (in thousands):</w:t>
      </w:r>
    </w:p>
    <w:p>
      <w:pPr>
        <w:spacing w:after="0" w:line="273"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Unallocated Corporate</w:t>
            </w: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200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Direct</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VB Indirect</w:t>
            </w:r>
          </w:p>
        </w:tc>
        <w:tc>
          <w:tcPr>
            <w:tcW w:w="280" w:type="dxa"/>
            <w:vAlign w:val="bottom"/>
          </w:tcPr>
          <w:p>
            <w:pPr>
              <w:spacing w:after="0"/>
              <w:rPr>
                <w:sz w:val="10"/>
                <w:szCs w:val="10"/>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Pura Vida</w:t>
            </w:r>
          </w:p>
        </w:tc>
        <w:tc>
          <w:tcPr>
            <w:tcW w:w="160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Total Expense</w:t>
            </w: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00" w:type="dxa"/>
            <w:vAlign w:val="bottom"/>
            <w:tcBorders>
              <w:top w:val="single" w:sz="8" w:color="CCEEFF"/>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Severance charges </w:t>
            </w:r>
            <w:r>
              <w:rPr>
                <w:rFonts w:ascii="Times New Roman" w:cs="Times New Roman" w:eastAsia="Times New Roman" w:hAnsi="Times New Roman"/>
                <w:sz w:val="23"/>
                <w:szCs w:val="23"/>
                <w:color w:val="auto"/>
                <w:vertAlign w:val="superscript"/>
              </w:rPr>
              <w:t>(1)</w:t>
            </w:r>
          </w:p>
        </w:tc>
        <w:tc>
          <w:tcPr>
            <w:tcW w:w="1100" w:type="dxa"/>
            <w:vAlign w:val="bottom"/>
            <w:tcBorders>
              <w:top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0" w:type="dxa"/>
            <w:vAlign w:val="bottom"/>
          </w:tcPr>
          <w:p>
            <w:pPr>
              <w:spacing w:after="0"/>
              <w:rPr>
                <w:sz w:val="1"/>
                <w:szCs w:val="1"/>
                <w:color w:val="auto"/>
              </w:rPr>
            </w:pPr>
          </w:p>
        </w:tc>
      </w:tr>
      <w:tr>
        <w:trPr>
          <w:trHeight w:val="181"/>
        </w:trPr>
        <w:tc>
          <w:tcPr>
            <w:tcW w:w="20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Consulting fees and other</w:t>
            </w: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00" w:type="dxa"/>
            <w:vAlign w:val="bottom"/>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costs </w:t>
            </w:r>
            <w:r>
              <w:rPr>
                <w:rFonts w:ascii="Times New Roman" w:cs="Times New Roman" w:eastAsia="Times New Roman" w:hAnsi="Times New Roman"/>
                <w:sz w:val="23"/>
                <w:szCs w:val="23"/>
                <w:color w:val="auto"/>
                <w:vertAlign w:val="superscript"/>
              </w:rPr>
              <w:t>(2)</w:t>
            </w:r>
          </w:p>
        </w:tc>
        <w:tc>
          <w:tcPr>
            <w:tcW w:w="1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0" w:type="dxa"/>
            <w:vAlign w:val="bottom"/>
          </w:tcPr>
          <w:p>
            <w:pPr>
              <w:spacing w:after="0"/>
              <w:rPr>
                <w:sz w:val="1"/>
                <w:szCs w:val="1"/>
                <w:color w:val="auto"/>
              </w:rPr>
            </w:pPr>
          </w:p>
        </w:tc>
      </w:tr>
      <w:tr>
        <w:trPr>
          <w:trHeight w:val="248"/>
        </w:trPr>
        <w:tc>
          <w:tcPr>
            <w:tcW w:w="200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(3)</w:t>
            </w:r>
          </w:p>
        </w:tc>
        <w:tc>
          <w:tcPr>
            <w:tcW w:w="1100" w:type="dxa"/>
            <w:vAlign w:val="bottom"/>
            <w:tcBorders>
              <w:top w:val="single" w:sz="8" w:color="auto"/>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8,921</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920" w:hanging="246"/>
        <w:spacing w:after="0"/>
        <w:tabs>
          <w:tab w:leader="none" w:pos="9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CEO retirement severance</w:t>
      </w:r>
    </w:p>
    <w:p>
      <w:pPr>
        <w:spacing w:after="0" w:line="27"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$2.9 million for fees related to cost savings initiatives and CEO search and $0.3 million for concept brand exit costs</w:t>
      </w:r>
    </w:p>
    <w:p>
      <w:pPr>
        <w:spacing w:after="0" w:line="22" w:lineRule="exact"/>
        <w:rPr>
          <w:rFonts w:ascii="Times New Roman" w:cs="Times New Roman" w:eastAsia="Times New Roman" w:hAnsi="Times New Roman"/>
          <w:sz w:val="18"/>
          <w:szCs w:val="18"/>
          <w:color w:val="auto"/>
        </w:rPr>
      </w:pPr>
    </w:p>
    <w:p>
      <w:pPr>
        <w:ind w:left="680" w:right="720" w:hanging="6"/>
        <w:spacing w:after="0" w:line="245" w:lineRule="auto"/>
        <w:tabs>
          <w:tab w:leader="none" w:pos="9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 million of the charges are recorded within selling, general, and administrative expenses and $0.2 million are recorded within cost of sales</w:t>
      </w:r>
    </w:p>
    <w:p>
      <w:pPr>
        <w:spacing w:after="0" w:line="3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charges and related liabilities associated with the cost savings initiatives and severance charges are as follows (in thousands):</w:t>
      </w:r>
    </w:p>
    <w:p>
      <w:pPr>
        <w:spacing w:after="0" w:line="25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Severance Charges </w:t>
            </w:r>
            <w:r>
              <w:rPr>
                <w:rFonts w:ascii="Times New Roman" w:cs="Times New Roman" w:eastAsia="Times New Roman" w:hAnsi="Times New Roman"/>
                <w:sz w:val="18"/>
                <w:szCs w:val="18"/>
                <w:b w:val="1"/>
                <w:bCs w:val="1"/>
                <w:color w:val="auto"/>
                <w:vertAlign w:val="superscript"/>
              </w:rPr>
              <w:t>(1)</w:t>
            </w:r>
          </w:p>
        </w:tc>
        <w:tc>
          <w:tcPr>
            <w:tcW w:w="140" w:type="dxa"/>
            <w:vAlign w:val="bottom"/>
          </w:tcPr>
          <w:p>
            <w:pPr>
              <w:spacing w:after="0"/>
              <w:rPr>
                <w:sz w:val="13"/>
                <w:szCs w:val="13"/>
                <w:color w:val="auto"/>
              </w:rPr>
            </w:pPr>
          </w:p>
        </w:tc>
        <w:tc>
          <w:tcPr>
            <w:tcW w:w="18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Consulting Fees and Other</w:t>
            </w:r>
          </w:p>
        </w:tc>
        <w:tc>
          <w:tcPr>
            <w:tcW w:w="0" w:type="dxa"/>
            <w:vAlign w:val="bottom"/>
          </w:tcPr>
          <w:p>
            <w:pPr>
              <w:spacing w:after="0"/>
              <w:rPr>
                <w:sz w:val="1"/>
                <w:szCs w:val="1"/>
                <w:color w:val="auto"/>
              </w:rPr>
            </w:pPr>
          </w:p>
        </w:tc>
      </w:tr>
      <w:tr>
        <w:trPr>
          <w:trHeight w:val="203"/>
        </w:trPr>
        <w:tc>
          <w:tcPr>
            <w:tcW w:w="5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tcPr>
          <w:p>
            <w:pPr>
              <w:jc w:val="right"/>
              <w:ind w:right="656"/>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Costs </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r>
        <w:trPr>
          <w:trHeight w:val="223"/>
        </w:trPr>
        <w:tc>
          <w:tcPr>
            <w:tcW w:w="5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2023 charges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charges</w:t>
            </w:r>
          </w:p>
        </w:tc>
        <w:tc>
          <w:tcPr>
            <w:tcW w:w="2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2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as of July 30, 2022</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920" w:hanging="246"/>
        <w:spacing w:after="0"/>
        <w:tabs>
          <w:tab w:leader="none" w:pos="9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liability is recorded within accrued employment costs</w:t>
      </w:r>
    </w:p>
    <w:p>
      <w:pPr>
        <w:spacing w:after="0" w:line="27" w:lineRule="exact"/>
        <w:rPr>
          <w:rFonts w:ascii="Times New Roman" w:cs="Times New Roman" w:eastAsia="Times New Roman" w:hAnsi="Times New Roman"/>
          <w:sz w:val="18"/>
          <w:szCs w:val="18"/>
          <w:color w:val="auto"/>
        </w:rPr>
      </w:pPr>
    </w:p>
    <w:p>
      <w:pPr>
        <w:ind w:left="680" w:right="700" w:hanging="6"/>
        <w:spacing w:after="0" w:line="234" w:lineRule="auto"/>
        <w:tabs>
          <w:tab w:leader="none" w:pos="9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remaining $2.5 million liability, $1.4 million is recorded within accounts payable and $1.1 million is recorded within other accrued liabilities</w:t>
      </w:r>
    </w:p>
    <w:p>
      <w:pPr>
        <w:spacing w:after="0" w:line="321" w:lineRule="exact"/>
        <w:rPr>
          <w:sz w:val="20"/>
          <w:szCs w:val="20"/>
          <w:color w:val="auto"/>
        </w:rPr>
      </w:pPr>
    </w:p>
    <w:p>
      <w:pPr>
        <w:jc w:val="both"/>
        <w:ind w:left="660"/>
        <w:spacing w:after="0" w:line="236" w:lineRule="auto"/>
        <w:rPr>
          <w:sz w:val="20"/>
          <w:szCs w:val="20"/>
          <w:color w:val="auto"/>
        </w:rPr>
      </w:pPr>
      <w:r>
        <w:rPr>
          <w:rFonts w:ascii="Times New Roman" w:cs="Times New Roman" w:eastAsia="Times New Roman" w:hAnsi="Times New Roman"/>
          <w:sz w:val="18"/>
          <w:szCs w:val="18"/>
          <w:color w:val="auto"/>
        </w:rPr>
        <w:t>The Company expects to incur approximately $1.0 million during the third quarter of fiscal 2023 related to cost savings initiatives. Additional charges could be incurred if further initiatives are identified. There were no similar charges in the thirteen and twenty-six weeks ended July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17" w:right="6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Charges</w:t>
      </w:r>
    </w:p>
    <w:p>
      <w:pPr>
        <w:spacing w:after="0" w:line="92" w:lineRule="exact"/>
        <w:rPr>
          <w:sz w:val="20"/>
          <w:szCs w:val="20"/>
          <w:color w:val="auto"/>
        </w:rPr>
      </w:pPr>
    </w:p>
    <w:p>
      <w:pPr>
        <w:ind w:left="660" w:right="200"/>
        <w:spacing w:after="0" w:line="258" w:lineRule="auto"/>
        <w:rPr>
          <w:sz w:val="20"/>
          <w:szCs w:val="20"/>
          <w:color w:val="auto"/>
        </w:rPr>
      </w:pPr>
      <w:r>
        <w:rPr>
          <w:rFonts w:ascii="Times New Roman" w:cs="Times New Roman" w:eastAsia="Times New Roman" w:hAnsi="Times New Roman"/>
          <w:sz w:val="18"/>
          <w:szCs w:val="18"/>
          <w:color w:val="auto"/>
        </w:rPr>
        <w:t>During the thirteen and twenty-six weeks ended July 30, 2022, the Company recorded $5.9 million of non-cash inventory adjustments related to the exit of certain technology products and excess mask products and $1.1 million for purchase order cancellation fees related to spring 2023 product within cost of sales in its Condensed Consolidated Statement of Operations. Collectively, $5.1 million was recorded within the Direct segment, $1.0 million was recorded within the Indirect segment, and $0.9 million was recorded within the Pura Vida segment. There were no similar charges during the thirteen and twenty-six weeks ended July 31, 2021.</w:t>
      </w:r>
    </w:p>
    <w:p>
      <w:pPr>
        <w:spacing w:after="0" w:line="287"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107" w:lineRule="exact"/>
        <w:rPr>
          <w:rFonts w:ascii="Times New Roman" w:cs="Times New Roman" w:eastAsia="Times New Roman" w:hAnsi="Times New Roman"/>
          <w:sz w:val="18"/>
          <w:szCs w:val="18"/>
          <w:b w:val="1"/>
          <w:bCs w:val="1"/>
          <w:color w:val="auto"/>
        </w:rPr>
      </w:pPr>
    </w:p>
    <w:p>
      <w:pPr>
        <w:ind w:left="660"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three operating segments, which are also its reportable segments: Vera Bradley Direct (“VB Direct”), Vera Bradley Indirect (“VB Indirect”), and Pura Vida. These operating segments are components of the Company for which separate financial information is available and for which operating results are evaluated on a regular basis by the chief operating decision maker in deciding how to allocate resources and in assessing the performance of the segments.</w:t>
      </w:r>
    </w:p>
    <w:p>
      <w:pPr>
        <w:spacing w:after="0" w:line="58" w:lineRule="exact"/>
        <w:rPr>
          <w:rFonts w:ascii="Times New Roman" w:cs="Times New Roman" w:eastAsia="Times New Roman" w:hAnsi="Times New Roman"/>
          <w:sz w:val="18"/>
          <w:szCs w:val="18"/>
          <w:b w:val="1"/>
          <w:bCs w:val="1"/>
          <w:color w:val="auto"/>
        </w:rPr>
      </w:pPr>
    </w:p>
    <w:p>
      <w:pPr>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VB Direct segment includes Vera Bradley full-line and factory outlet stores; the Vera Bradley websites, verabradley.com and verabradley.ca; the Vera Bradley online outlet site; and typically the Vera Bradley annual outlet sale. Revenues generated from this segment are driven through the sale of Vera Bradley-branded products from Vera Bradley to end consumers.</w:t>
      </w:r>
    </w:p>
    <w:p>
      <w:pPr>
        <w:spacing w:after="0" w:line="40" w:lineRule="exact"/>
        <w:rPr>
          <w:rFonts w:ascii="Times New Roman" w:cs="Times New Roman" w:eastAsia="Times New Roman" w:hAnsi="Times New Roman"/>
          <w:sz w:val="18"/>
          <w:szCs w:val="18"/>
          <w:b w:val="1"/>
          <w:bCs w:val="1"/>
          <w:color w:val="auto"/>
        </w:rPr>
      </w:pPr>
    </w:p>
    <w:p>
      <w:pPr>
        <w:ind w:left="660" w:right="2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VB Indirect segment represents revenues generated through the distribution of Vera Bradley-branded products to specialty retailers representing approximately 1,700 locations, substantially all of which are located in the United States; key accounts, which include department stores, national accounts, third-party e-commerce sites, and third-party inventory liquidators; and royalties recognized through licensing agreements related to the Vera Bradley brand.</w:t>
      </w:r>
    </w:p>
    <w:p>
      <w:pPr>
        <w:spacing w:after="0" w:line="58" w:lineRule="exact"/>
        <w:rPr>
          <w:rFonts w:ascii="Times New Roman" w:cs="Times New Roman" w:eastAsia="Times New Roman" w:hAnsi="Times New Roman"/>
          <w:sz w:val="18"/>
          <w:szCs w:val="18"/>
          <w:b w:val="1"/>
          <w:bCs w:val="1"/>
          <w:color w:val="auto"/>
        </w:rPr>
      </w:pPr>
    </w:p>
    <w:p>
      <w:pPr>
        <w:ind w:left="660" w:right="2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Pura Vida segment represents revenues generated through the Pura Vida websites, www.puravidabracelets.com, www.puravidabracelets.eu, and www.puravidabracelets.ca, the Pura Vida retail stores, and through the distribution of Pura Vida-branded products to wholesale retailers, substantially all of which are located in the United States.</w:t>
      </w:r>
    </w:p>
    <w:p>
      <w:pPr>
        <w:spacing w:after="0" w:line="54" w:lineRule="exact"/>
        <w:rPr>
          <w:rFonts w:ascii="Times New Roman" w:cs="Times New Roman" w:eastAsia="Times New Roman" w:hAnsi="Times New Roman"/>
          <w:sz w:val="18"/>
          <w:szCs w:val="18"/>
          <w:b w:val="1"/>
          <w:bCs w:val="1"/>
          <w:color w:val="auto"/>
        </w:rPr>
      </w:pPr>
    </w:p>
    <w:p>
      <w:pPr>
        <w:ind w:left="660" w:right="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Corporate costs represent the Company’s administrative expenses, which include, but are not limited to: human resources, legal, finance, information technology, design, product development, merchandising, corporate-level marketing and advertising, and various other corporate-level-activity-related expenses not directly attributable to a reportable segment. All intercompany-related activities are eliminated in consolidation and are excluded from the segment reporting.</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660"/>
        <w:spacing w:after="0" w:line="263" w:lineRule="auto"/>
        <w:rPr>
          <w:sz w:val="20"/>
          <w:szCs w:val="20"/>
          <w:color w:val="auto"/>
        </w:rPr>
      </w:pPr>
      <w:r>
        <w:rPr>
          <w:rFonts w:ascii="Times New Roman" w:cs="Times New Roman" w:eastAsia="Times New Roman" w:hAnsi="Times New Roman"/>
          <w:sz w:val="18"/>
          <w:szCs w:val="18"/>
          <w:color w:val="auto"/>
        </w:rPr>
        <w:t>Company management evaluates segment operating results based on several indicators. The primary or key performance indicators for each segment are net revenues and operating income. Net revenues and operating income information for the Company’s reportable segments during the thirteen and twenty-six weeks ended July 30, 2022 and July 31, 2021, respectively, consisted of the following (in thousands):</w:t>
      </w:r>
    </w:p>
    <w:p>
      <w:pPr>
        <w:spacing w:after="0" w:line="2"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8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320" w:type="dxa"/>
            <w:vAlign w:val="bottom"/>
          </w:tcPr>
          <w:p>
            <w:pPr>
              <w:spacing w:after="0"/>
              <w:rPr>
                <w:sz w:val="16"/>
                <w:szCs w:val="16"/>
                <w:color w:val="auto"/>
              </w:rPr>
            </w:pPr>
          </w:p>
        </w:tc>
        <w:tc>
          <w:tcPr>
            <w:tcW w:w="2860" w:type="dxa"/>
            <w:vAlign w:val="bottom"/>
            <w:gridSpan w:val="4"/>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23"/>
        </w:trPr>
        <w:tc>
          <w:tcPr>
            <w:tcW w:w="3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34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ind w:left="220"/>
              <w:spacing w:after="0" w:line="129" w:lineRule="exact"/>
              <w:rPr>
                <w:sz w:val="20"/>
                <w:szCs w:val="20"/>
                <w:color w:val="auto"/>
              </w:rPr>
            </w:pPr>
            <w:r>
              <w:rPr>
                <w:rFonts w:ascii="Times New Roman" w:cs="Times New Roman" w:eastAsia="Times New Roman" w:hAnsi="Times New Roman"/>
                <w:sz w:val="14"/>
                <w:szCs w:val="14"/>
                <w:b w:val="1"/>
                <w:bCs w:val="1"/>
                <w:color w:val="auto"/>
              </w:rPr>
              <w:t>July 30,</w:t>
            </w:r>
          </w:p>
        </w:tc>
        <w:tc>
          <w:tcPr>
            <w:tcW w:w="3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433"/>
              <w:spacing w:after="0" w:line="129" w:lineRule="exact"/>
              <w:rPr>
                <w:sz w:val="20"/>
                <w:szCs w:val="20"/>
                <w:color w:val="auto"/>
              </w:rPr>
            </w:pPr>
            <w:r>
              <w:rPr>
                <w:rFonts w:ascii="Times New Roman" w:cs="Times New Roman" w:eastAsia="Times New Roman" w:hAnsi="Times New Roman"/>
                <w:sz w:val="14"/>
                <w:szCs w:val="14"/>
                <w:b w:val="1"/>
                <w:bCs w:val="1"/>
                <w:color w:val="auto"/>
              </w:rPr>
              <w:t>July 31,</w:t>
            </w:r>
          </w:p>
        </w:tc>
        <w:tc>
          <w:tcPr>
            <w:tcW w:w="12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ind w:left="200"/>
              <w:spacing w:after="0" w:line="129" w:lineRule="exact"/>
              <w:rPr>
                <w:sz w:val="20"/>
                <w:szCs w:val="20"/>
                <w:color w:val="auto"/>
              </w:rPr>
            </w:pPr>
            <w:r>
              <w:rPr>
                <w:rFonts w:ascii="Times New Roman" w:cs="Times New Roman" w:eastAsia="Times New Roman" w:hAnsi="Times New Roman"/>
                <w:sz w:val="14"/>
                <w:szCs w:val="14"/>
                <w:b w:val="1"/>
                <w:bCs w:val="1"/>
                <w:color w:val="auto"/>
              </w:rPr>
              <w:t>July 30,</w:t>
            </w:r>
          </w:p>
        </w:tc>
        <w:tc>
          <w:tcPr>
            <w:tcW w:w="3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433"/>
              <w:spacing w:after="0" w:line="129" w:lineRule="exact"/>
              <w:rPr>
                <w:sz w:val="20"/>
                <w:szCs w:val="20"/>
                <w:color w:val="auto"/>
              </w:rPr>
            </w:pPr>
            <w:r>
              <w:rPr>
                <w:rFonts w:ascii="Times New Roman" w:cs="Times New Roman" w:eastAsia="Times New Roman" w:hAnsi="Times New Roman"/>
                <w:sz w:val="14"/>
                <w:szCs w:val="14"/>
                <w:b w:val="1"/>
                <w:bCs w:val="1"/>
                <w:color w:val="auto"/>
              </w:rPr>
              <w:t>July 31,</w:t>
            </w:r>
          </w:p>
        </w:tc>
        <w:tc>
          <w:tcPr>
            <w:tcW w:w="0" w:type="dxa"/>
            <w:vAlign w:val="bottom"/>
          </w:tcPr>
          <w:p>
            <w:pPr>
              <w:spacing w:after="0"/>
              <w:rPr>
                <w:sz w:val="1"/>
                <w:szCs w:val="1"/>
                <w:color w:val="auto"/>
              </w:rPr>
            </w:pPr>
          </w:p>
        </w:tc>
      </w:tr>
      <w:tr>
        <w:trPr>
          <w:trHeight w:val="196"/>
        </w:trPr>
        <w:tc>
          <w:tcPr>
            <w:tcW w:w="33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revenues:</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VB Direct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87,013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97,138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148,649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163,870</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VB Indirect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32,096</w:t>
            </w:r>
          </w:p>
        </w:tc>
        <w:tc>
          <w:tcPr>
            <w:tcW w:w="0" w:type="dxa"/>
            <w:vAlign w:val="bottom"/>
          </w:tcPr>
          <w:p>
            <w:pPr>
              <w:spacing w:after="0"/>
              <w:rPr>
                <w:sz w:val="1"/>
                <w:szCs w:val="1"/>
                <w:color w:val="auto"/>
              </w:rPr>
            </w:pPr>
          </w:p>
        </w:tc>
      </w:tr>
      <w:tr>
        <w:trPr>
          <w:trHeight w:val="229"/>
        </w:trPr>
        <w:tc>
          <w:tcPr>
            <w:tcW w:w="3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Pura Vida</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26,033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45,879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60,176</w:t>
            </w:r>
          </w:p>
        </w:tc>
        <w:tc>
          <w:tcPr>
            <w:tcW w:w="0" w:type="dxa"/>
            <w:vAlign w:val="bottom"/>
          </w:tcPr>
          <w:p>
            <w:pPr>
              <w:spacing w:after="0"/>
              <w:rPr>
                <w:sz w:val="1"/>
                <w:szCs w:val="1"/>
                <w:color w:val="auto"/>
              </w:rPr>
            </w:pPr>
          </w:p>
        </w:tc>
      </w:tr>
      <w:tr>
        <w:trPr>
          <w:trHeight w:val="248"/>
        </w:trPr>
        <w:tc>
          <w:tcPr>
            <w:tcW w:w="33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256,142</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3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VB Direct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34,028</w:t>
            </w:r>
          </w:p>
        </w:tc>
        <w:tc>
          <w:tcPr>
            <w:tcW w:w="0" w:type="dxa"/>
            <w:vAlign w:val="bottom"/>
          </w:tcPr>
          <w:p>
            <w:pPr>
              <w:spacing w:after="0"/>
              <w:rPr>
                <w:sz w:val="1"/>
                <w:szCs w:val="1"/>
                <w:color w:val="auto"/>
              </w:rPr>
            </w:pPr>
          </w:p>
        </w:tc>
      </w:tr>
      <w:tr>
        <w:trPr>
          <w:trHeight w:val="229"/>
        </w:trPr>
        <w:tc>
          <w:tcPr>
            <w:tcW w:w="3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VB Indirect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10,062</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Pura Vida</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w:t>
            </w:r>
          </w:p>
        </w:tc>
        <w:tc>
          <w:tcPr>
            <w:tcW w:w="0" w:type="dxa"/>
            <w:vAlign w:val="bottom"/>
          </w:tcPr>
          <w:p>
            <w:pPr>
              <w:spacing w:after="0"/>
              <w:rPr>
                <w:sz w:val="1"/>
                <w:szCs w:val="1"/>
                <w:color w:val="auto"/>
              </w:rPr>
            </w:pPr>
          </w:p>
        </w:tc>
      </w:tr>
      <w:tr>
        <w:trPr>
          <w:trHeight w:val="223"/>
        </w:trPr>
        <w:tc>
          <w:tcPr>
            <w:tcW w:w="3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31,995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49,824</w:t>
            </w:r>
          </w:p>
        </w:tc>
        <w:tc>
          <w:tcPr>
            <w:tcW w:w="0" w:type="dxa"/>
            <w:vAlign w:val="bottom"/>
          </w:tcPr>
          <w:p>
            <w:pPr>
              <w:spacing w:after="0"/>
              <w:rPr>
                <w:sz w:val="1"/>
                <w:szCs w:val="1"/>
                <w:color w:val="auto"/>
              </w:rPr>
            </w:pPr>
          </w:p>
        </w:tc>
      </w:tr>
      <w:tr>
        <w:trPr>
          <w:trHeight w:val="20"/>
        </w:trPr>
        <w:tc>
          <w:tcPr>
            <w:tcW w:w="3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Reconciliation:</w:t>
            </w: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Segment operating (loss)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49,824</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(28,249)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(39,135)</w:t>
            </w:r>
          </w:p>
        </w:tc>
        <w:tc>
          <w:tcPr>
            <w:tcW w:w="0" w:type="dxa"/>
            <w:vAlign w:val="bottom"/>
          </w:tcPr>
          <w:p>
            <w:pPr>
              <w:spacing w:after="0"/>
              <w:rPr>
                <w:sz w:val="1"/>
                <w:szCs w:val="1"/>
                <w:color w:val="auto"/>
              </w:rPr>
            </w:pPr>
          </w:p>
        </w:tc>
      </w:tr>
      <w:tr>
        <w:trPr>
          <w:trHeight w:val="248"/>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10,689</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17" w:right="5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0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following discussion summarizes the significant factors affecting the condensed consolidated operating results, financial condition, liquidity, and cash flows of the Company as of and for the thirteen and twenty-six weeks ended July 30, 2022 and July 31, 2021. The following discussion should be read in conjunction with our Annual Report on Form 10-K for the fiscal year ended January 29, 2022, and our unaudited condensed consolidated financial statements and the related notes included in Item 1 of this Quarterly Report. The results of operations for the thirteen and twenty-six weeks ended July 30, 2022, are not necessarily indicative of the results to be expected for the full fiscal year.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Environment</w:t>
      </w:r>
    </w:p>
    <w:p>
      <w:pPr>
        <w:spacing w:after="0" w:line="10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continue to experience challenges associated with the uncertain macroeconomic environment in which we operate our businesses. The COVID-19 pandemic caused supply chain disruptions that has resulted in continuing delivery delays and increased inbound and outbound shipping costs. We cannot predict the future impacts of the COVID-19 pandemic if cases continue to rise or new variants of the virus, or other factors, necessitate temporary closures to some, or all, of our retail stores due to guidance and mandates from governments and public health officials.</w:t>
      </w:r>
    </w:p>
    <w:p>
      <w:pPr>
        <w:spacing w:after="0" w:line="58"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We have also been impacted by higher tariffs from previously duty-free countries, where we source products, as a result of the Generalized System of Preferences (“GSP”) duty-free status that expired at the end of calendar year 2020. We cannot guarantee if or when the GSP duty-free status will be reinstated and retro-actively applied by Congress.</w:t>
      </w:r>
    </w:p>
    <w:p>
      <w:pPr>
        <w:spacing w:after="0" w:line="4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addition, the macroeconomic environment has been further challenged by inflationary pressures, including higher gas prices, and other related factors that have impacted consumer discretionary spending.</w:t>
      </w:r>
    </w:p>
    <w:p>
      <w:pPr>
        <w:spacing w:after="0" w:line="4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began initiating strategic price increases across both of our brands to mitigate some of these inflationary and supply chain pressures in late fiscal 2022, and we will continue to implement price increases throughout fiscal 2023. We have begun implementation of our targeted cost reductions, which are expected to be fully realized in fiscal 2024. Expense savings are being derived across various areas of the Company, including retail store efficiencies, marketing expenses, information technology contracts, professional services, logistics and operational costs, and corporate payroll.</w:t>
      </w:r>
    </w:p>
    <w:p>
      <w:pPr>
        <w:spacing w:after="0" w:line="5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While we continue to actively monitor this rapidly evolving macroeconomic environment and are working to mitigate the situation, we cannot predict the full impact these matters could have on our liquidity, operating results, and financial condition, but they could have a material adverse effect on these metrics.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our strategic progress and financial results for the second quarter of fiscal 2023:</w:t>
      </w:r>
    </w:p>
    <w:p>
      <w:pPr>
        <w:spacing w:after="0" w:line="2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Strategic Progress</w:t>
      </w:r>
    </w:p>
    <w:p>
      <w:pPr>
        <w:spacing w:after="0" w:line="90" w:lineRule="exact"/>
        <w:rPr>
          <w:sz w:val="20"/>
          <w:szCs w:val="20"/>
          <w:color w:val="auto"/>
        </w:rPr>
      </w:pPr>
    </w:p>
    <w:p>
      <w:pPr>
        <w:ind w:left="660" w:right="220"/>
        <w:spacing w:after="0" w:line="268" w:lineRule="auto"/>
        <w:rPr>
          <w:sz w:val="20"/>
          <w:szCs w:val="20"/>
          <w:color w:val="auto"/>
        </w:rPr>
      </w:pPr>
      <w:r>
        <w:rPr>
          <w:rFonts w:ascii="Times New Roman" w:cs="Times New Roman" w:eastAsia="Times New Roman" w:hAnsi="Times New Roman"/>
          <w:sz w:val="18"/>
          <w:szCs w:val="18"/>
          <w:color w:val="auto"/>
        </w:rPr>
        <w:t xml:space="preserve">At </w:t>
      </w:r>
      <w:r>
        <w:rPr>
          <w:rFonts w:ascii="Times New Roman" w:cs="Times New Roman" w:eastAsia="Times New Roman" w:hAnsi="Times New Roman"/>
          <w:sz w:val="18"/>
          <w:szCs w:val="18"/>
          <w:b w:val="1"/>
          <w:bCs w:val="1"/>
          <w:i w:val="1"/>
          <w:iCs w:val="1"/>
          <w:color w:val="auto"/>
        </w:rPr>
        <w:t>Vera Bradley</w:t>
      </w:r>
      <w:r>
        <w:rPr>
          <w:rFonts w:ascii="Times New Roman" w:cs="Times New Roman" w:eastAsia="Times New Roman" w:hAnsi="Times New Roman"/>
          <w:sz w:val="18"/>
          <w:szCs w:val="18"/>
          <w:color w:val="auto"/>
        </w:rPr>
        <w:t>, we continued to innovate and build on our lifestyle merchandising strategy; focused on strategic product assortment enhancements in our back-to-campus assortment; maximized our travel category; and continued with product collaborations such as Disney and Harry Potter. We also opened two new factory outlet locations and closed three full-line locations.</w:t>
      </w:r>
    </w:p>
    <w:p>
      <w:pPr>
        <w:spacing w:after="0" w:line="49" w:lineRule="exact"/>
        <w:rPr>
          <w:sz w:val="20"/>
          <w:szCs w:val="20"/>
          <w:color w:val="auto"/>
        </w:rPr>
      </w:pPr>
    </w:p>
    <w:p>
      <w:pPr>
        <w:ind w:left="660"/>
        <w:spacing w:after="0" w:line="259" w:lineRule="auto"/>
        <w:rPr>
          <w:sz w:val="20"/>
          <w:szCs w:val="20"/>
          <w:color w:val="auto"/>
        </w:rPr>
      </w:pPr>
      <w:r>
        <w:rPr>
          <w:rFonts w:ascii="Times New Roman" w:cs="Times New Roman" w:eastAsia="Times New Roman" w:hAnsi="Times New Roman"/>
          <w:sz w:val="18"/>
          <w:szCs w:val="18"/>
          <w:color w:val="auto"/>
        </w:rPr>
        <w:t xml:space="preserve">At </w:t>
      </w:r>
      <w:r>
        <w:rPr>
          <w:rFonts w:ascii="Times New Roman" w:cs="Times New Roman" w:eastAsia="Times New Roman" w:hAnsi="Times New Roman"/>
          <w:sz w:val="18"/>
          <w:szCs w:val="18"/>
          <w:b w:val="1"/>
          <w:bCs w:val="1"/>
          <w:i w:val="1"/>
          <w:iCs w:val="1"/>
          <w:color w:val="auto"/>
        </w:rPr>
        <w:t>Pura Vida</w:t>
      </w:r>
      <w:r>
        <w:rPr>
          <w:rFonts w:ascii="Times New Roman" w:cs="Times New Roman" w:eastAsia="Times New Roman" w:hAnsi="Times New Roman"/>
          <w:sz w:val="18"/>
          <w:szCs w:val="18"/>
          <w:color w:val="auto"/>
        </w:rPr>
        <w:t>, we continued to build customer excitement and engagement through collaborations such as Disney, Hello Kitty, World Surf League, partnering with influencers, and offering theme collections around key events such as Shark Week. We also continued to see success in our San Diego store performance, driving our brick-and-mortar expansion plans for Pura Vida. We opened one additional Pura Vida store in the second quarter in Irvine, California and the results are exceeding our expectations. In addition, we continued to diversify our marketing platforms in reaction to the calendar year 2021 Apple IDFA update and rising digital media costs.</w:t>
      </w:r>
    </w:p>
    <w:p>
      <w:pPr>
        <w:spacing w:after="0" w:line="62" w:lineRule="exact"/>
        <w:rPr>
          <w:sz w:val="20"/>
          <w:szCs w:val="20"/>
          <w:color w:val="auto"/>
        </w:rPr>
      </w:pPr>
    </w:p>
    <w:p>
      <w:pPr>
        <w:jc w:val="both"/>
        <w:ind w:left="660" w:right="60"/>
        <w:spacing w:after="0" w:line="266" w:lineRule="auto"/>
        <w:rPr>
          <w:sz w:val="20"/>
          <w:szCs w:val="20"/>
          <w:color w:val="auto"/>
        </w:rPr>
      </w:pPr>
      <w:r>
        <w:rPr>
          <w:rFonts w:ascii="Times New Roman" w:cs="Times New Roman" w:eastAsia="Times New Roman" w:hAnsi="Times New Roman"/>
          <w:sz w:val="18"/>
          <w:szCs w:val="18"/>
          <w:color w:val="auto"/>
        </w:rPr>
        <w:t>The 2021 Apple update allows users to more easily opt-out of tracking activities across various devices which has and may continue to impact our business. This change, and similar changes, may continue to reduce the quality and amount of data collected which could continue to significantly impact the effectiveness of our targeted advertising and related activities.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(all comparisons are to the second quarter of fiscal 2022)</w:t>
      </w:r>
    </w:p>
    <w:p>
      <w:pPr>
        <w:spacing w:after="0" w:line="108" w:lineRule="exact"/>
        <w:rPr>
          <w:sz w:val="20"/>
          <w:szCs w:val="20"/>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decreased 11.3% to $130.4 million.</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Vera Bradley Direct (“VB Direct”) segment sales decreased 10.4% to $87.0 million.</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Vera Bradley Indirect segment (“VB Indirect”) sales increased 2.9% to $17.3 million.</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Pura Vida segment sales decreased 21.3% to $26.0 million.</w:t>
      </w:r>
    </w:p>
    <w:p>
      <w:pPr>
        <w:spacing w:after="0" w:line="90"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was $60.5 million, or 46.4% of net revenue. Gross profit was negatively impacted by $6.1 million, or 4.7% of net revenue, for inventory adjustments primarily related to the exit of certain technology products and excess mask products, as well as $1.1 million or 0.9% of net revenue, for purchase order cancellation fees.</w:t>
      </w:r>
    </w:p>
    <w:p>
      <w:pPr>
        <w:spacing w:after="0" w:line="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loss was $(42.8) million and net loss attributable to Vera Bradley, Inc. was $(29.8) million. Operating loss was impacted by</w:t>
      </w:r>
    </w:p>
    <w:p>
      <w:pPr>
        <w:spacing w:after="0" w:line="27" w:lineRule="exact"/>
        <w:rPr>
          <w:rFonts w:ascii="Times New Roman" w:cs="Times New Roman" w:eastAsia="Times New Roman" w:hAnsi="Times New Roman"/>
          <w:sz w:val="18"/>
          <w:szCs w:val="18"/>
          <w:color w:val="auto"/>
        </w:rPr>
      </w:pPr>
    </w:p>
    <w:p>
      <w:pPr>
        <w:ind w:left="9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$29.3 million of goodwill and indefinite-lived Pura Vida brand impairment charges; $7.3 million of inventory adjustments and purchase order cancellation fees; $5.7 million of severance charges, including CEO retirement severance expense; $2.8 million of consulting fees related to our cost savings initiatives and CEO search fees; $0.8 million for intangible asset amortization; and $0.8 million for Vera Bradley store impairment charges. Collectively, the net loss attributable to Vera Bradley, Inc. for these charges was $32.2 million.</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for the thirteen weeks totaled $2.6 million.</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were $38.3 million at July 30, 2022.</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assessing the performance of our business, we consider a variety of performance and financial measures.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106"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8"/>
          <w:szCs w:val="18"/>
          <w:color w:val="auto"/>
        </w:rPr>
        <w:t>Net revenues reflect sales of our merchandise and revenue from distribution and shipping and handling fees, less returns and discounts. Revenues for the VB Direct segment reflect sales through Vera Bradley full-line and factory outlet stores; the Vera Bradley websites verabradley.com and verabradley.ca; and our Vera Bradley online outlet site. There were no sales from our Vera Bradley annual outlet sale in Fort Wayne, Indiana for the past two years as it was cancelled due to the COVID-19 pandemic. Revenues for the VB Indirect segment reflect sales of Vera Bradley-branded products to specialty retail partners; department stores; national accounts; third-party e-commerce sites; third-party inventory liquidators; and royalties recognized through licensing agreements related to the Vera Bradley brand. Revenues for the Pura Vida segment reflect revenues generated through the Pura Vida websites, www.puravidabracelets.com, www.puravidabracelets.eu, and www.puravidabracelets.ca, through the distribution of Pura Vida-branded products to wholesale retailers, and through Pura Vida's two retail stores which opened in August 2021 and July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Comparable Sales</w:t>
      </w:r>
    </w:p>
    <w:p>
      <w:pPr>
        <w:spacing w:after="0" w:line="106"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8"/>
          <w:szCs w:val="18"/>
          <w:color w:val="auto"/>
        </w:rPr>
        <w:t>Typically, comparable sales are calculated based upon our stores that have been open for at least 12 full fiscal months and net revenues from our Vera Bradley e-commerce operations. Comparable store sales are calculated based solely upon stores that have been open for at least 12 full fiscal months. Remodeled stores are included in both comparable sales and comparable store sales unless the store was closed for more than one week of the current or comparable prior period, in which case the non-comparable temporary closure periods are not included, or the remodel resulted in a significant change in square footage. Some of our competitors and other retailers calculate comparable or “same store” sales differently than we do. As a result, data in this report regarding our comparable sales and comparable store sales may not be comparable to similar data made available by other companies. Non-comparable sales include sales from stores not included in comparable sales or comparable store sales.</w:t>
      </w:r>
    </w:p>
    <w:p>
      <w:pPr>
        <w:spacing w:after="0" w:line="46" w:lineRule="exact"/>
        <w:rPr>
          <w:sz w:val="20"/>
          <w:szCs w:val="20"/>
          <w:color w:val="auto"/>
        </w:rPr>
      </w:pPr>
    </w:p>
    <w:p>
      <w:pPr>
        <w:ind w:right="760"/>
        <w:spacing w:after="0" w:line="250" w:lineRule="auto"/>
        <w:rPr>
          <w:sz w:val="20"/>
          <w:szCs w:val="20"/>
          <w:color w:val="auto"/>
        </w:rPr>
      </w:pPr>
      <w:r>
        <w:rPr>
          <w:rFonts w:ascii="Times New Roman" w:cs="Times New Roman" w:eastAsia="Times New Roman" w:hAnsi="Times New Roman"/>
          <w:sz w:val="18"/>
          <w:szCs w:val="18"/>
          <w:color w:val="auto"/>
        </w:rPr>
        <w:t>As a result of the temporary closure of all Vera Bradley stores due to COVID-19 during a portion of the fiscal 2021 first and second quarters, the Company's comparable store sales and comparable sales calculations for the prior-year are not meaningful and therefore are not provided.</w:t>
      </w:r>
    </w:p>
    <w:p>
      <w:pPr>
        <w:spacing w:after="0" w:line="5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Typically, measuring the change in year-over-year comparable sales allows us and our investors to evaluate how our store base and e-commerce operations are performing. Various factors affect our comparable sales, including:</w:t>
      </w:r>
    </w:p>
    <w:p>
      <w:pPr>
        <w:spacing w:after="0" w:line="40"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economic trends;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and fashion trends;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releases of new patterns and collections;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product mix;</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level of promotions;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store, mall, and e-commerce traffic;</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customer service that we provide in stores and to our on-line customers;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and distribute products efficiently;</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stores we open and close in any period;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promotional and marketing efforts.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0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Gross profit is equal to our net revenues less our cost of sales. Cost of sales includes the direct cost of purchased merchandise, distribution center costs, operations overhead, duty, and all inbound freight costs incurred. The components of our reported cost of sales may not be comparable to those of other retail and wholesale companies.</w:t>
      </w:r>
    </w:p>
    <w:p>
      <w:pPr>
        <w:spacing w:after="0" w:line="12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Gross profit can be impacted by changes in volume; fluctuations in sales price; operational efficiencies, such as leveraging of fixed costs; promotional activities, including free shipping; commodity prices, such as for cotton; tariffs; and labor costs.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 (“SG&amp;A”)</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include selling; advertising, marketing, and product development; and administrative expenses. Selling expenses include:</w:t>
      </w:r>
    </w:p>
    <w:p>
      <w:pPr>
        <w:spacing w:after="0" w:line="104"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VB Direct business expenses, such as store expenses, employee compensation, and store occupancy and supply costs;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VB Indirect business expenses consisting primarily of employee compensation and other expenses associated with sales to Indirect retailers;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Pura Vida business expenses primarily related to employee compensation.</w:t>
      </w:r>
    </w:p>
    <w:p>
      <w:pPr>
        <w:spacing w:after="0" w:line="1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Advertising, marketing, and product development expenses include employee compensation, media costs, creative production expenses, marketing agency fees, new product design costs, public relations expenses, and market research expenses. A portion of our advertising expenses may be reimbursed by Indirect retailers, and such amount is classified as other income. Administrative expenses include employee compensation for corporate functions, corporate headquarters occupancy costs, consulting and software expenses, and charitable donations, as well as severance charges and consulting fees associated with cost savings initiatives and the CEO search disclosed in Note 14 to the Notes to the Consolidated Financial Statements herein.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net primarily includes certain legal settlements, sales tax credits received for timely filings, and sublease income.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(Loss) Income</w:t>
      </w:r>
    </w:p>
    <w:p>
      <w:pPr>
        <w:spacing w:after="0" w:line="9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Operating (loss) income is equal to gross profit less SG&amp;A expenses plus other income, net. Operating (loss) income excludes interest income, interest expense, and income taxes.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Income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income is equal to operating (loss) income plus interest income less interest expense and income taxes.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Income Attributable to Redeemable Noncontrolling Interest</w:t>
      </w:r>
    </w:p>
    <w:p>
      <w:pPr>
        <w:spacing w:after="0" w:line="10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Net (loss) income attributable to redeemable noncontrolling interest represents the operating results of Pura Vida that are not attributable to Vera Bradley, Inc.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Income Attributable to Vera Bradley, Inc.</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income attributable to Vera Bradley, Inc. is equal to net (loss) income less net (loss) income attributable to redeemable noncontrolling interest.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Charges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Other Intangible Assets</w:t>
      </w:r>
    </w:p>
    <w:p>
      <w:pPr>
        <w:spacing w:after="0" w:line="92"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We perform our annual impairment test over goodwill and the indefinite-lived Pura Vida brand during the second quarter of each fiscal year. We have experienced significantly lower sales from our Pura Vida e-commerce channel due to a decline in social and digital media effectiveness. These lower sales volumes had a negative impact on the fair value determination of the aforementioned assets.</w:t>
      </w:r>
    </w:p>
    <w:p>
      <w:pPr>
        <w:spacing w:after="0" w:line="197"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The fair value of the Pura Vida reporting unit was determined using a combination of an income-based approach (discounted cash flows) and a market-based approach (guideline transaction method). The discounted cash flow method involved subjective</w:t>
      </w:r>
    </w:p>
    <w:p>
      <w:pPr>
        <w:spacing w:after="0" w:line="200" w:lineRule="exact"/>
        <w:rPr>
          <w:sz w:val="20"/>
          <w:szCs w:val="20"/>
          <w:color w:val="auto"/>
        </w:rPr>
      </w:pPr>
    </w:p>
    <w:p>
      <w:pPr>
        <w:spacing w:after="0" w:line="3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estimates and assumptions such as projected revenue growth, operating profit, and the discount rate. The guideline transaction method involved transaction multiples derived from the acquisition of controlling interests in stocks of companies that are engaged in the same or similar lines of business as the reporting unit.</w:t>
      </w:r>
    </w:p>
    <w:p>
      <w:pPr>
        <w:spacing w:after="0" w:line="197"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color w:val="auto"/>
        </w:rPr>
        <w:t>The fair value of the Pura Vida brand was estimated using a relief-from-royalty method. The estimates and assumptions used in the determination of the fair value of the Pura Vida brand include the projected revenue growth, long-term growth rate, the royalty rate, and discount rate.</w:t>
      </w:r>
    </w:p>
    <w:p>
      <w:pPr>
        <w:spacing w:after="0" w:line="190"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During the assessment for the fiscal 2023 test, it was determined that the fair values of the Pura Vida reporting unit and the Pura Vida brand were less than their carrying values. As a result, the Company recorded an impairment charge of $9.9 million and $19.4 million for the Pura Vida brand and goodwill, respectively, for the thirteen and twenty-six weeks ended July 30, 2022 within the Pura Vida segment.</w:t>
      </w:r>
    </w:p>
    <w:p>
      <w:pPr>
        <w:spacing w:after="0" w:line="197"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18"/>
          <w:szCs w:val="18"/>
          <w:color w:val="auto"/>
        </w:rPr>
        <w:t>While we consider our assumptions in the determination of the fair value of these assets to be reasonable, they are complex and highly subjective. Adverse changes in key assumptions in future periods may result in further declines in the fair value estimates of goodwill and the Pura Vida brand below their carrying value resulting in impairment charges, which could be material. Our key assumptions (as described above in the valuation methodologies used in the determination of fair value) may be impacted by macroeconomic conditions, including inflationary pressures and the impact on consumer discretionary spending, supply chain challenges, as well as a sustained decline in stock price and potential changes in business strategy. Refer to Note 5 to the Notes to the Consolidated Financial Statements herein for additional information regarding the fair value measurement.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10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Property, plant, and equipment and lease right-of-use assets (the "asset group" for store-related assets) are reviewed for impairment whenever events or changes in circumstances indicate that the carrying amount of the asset group may not be recoverable. The reviews are conducted at the lowest identifiable level of cash flows. If the estimated undiscounted future cash flows related to the asset group are less than the carrying value, we recognize a loss equal to the difference between the carrying value and the fair value, as further defined in Note 5 to the Notes to the Condensed Consolidated Financial Statements herein. Impairment charges of $0.8 million and $1.4 million were recognized during the thirteen and twenty-six weeks ended July 30, 2022, for store-related property, plant, and equipment and a lease right-of-use asset and are included in SG&amp;A expenses in the Condensed Consolidated Statements of Operations and in other impairment charges in the Condensed Consolidated Statements of Cash Flows. $0.8 million of the impairment charge is included in the Direct segment for the thirteen and twenty-six weeks ended July 30, 2022, and $0.6 million of the impairment charge is included in corporate unallocated expenses for the twenty-six weeks ended July 30, 2022. There were no impairment charges recorded during the thirteen and twenty-six weeks ended July 31, 2021. We are unable to predict the extent of the impact that the inflationary environment and supply chain challenges could have on our operations, the economy, or other factors; therefore, it is possible additional impairments could be identified in future periods, and such amounts could be material.</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tables summarize key components of our condensed consolidated results of operations for the periods indicated, both in dollars and as a percentage of our net revenues ($ in thousands):</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2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320" w:type="dxa"/>
            <w:vAlign w:val="bottom"/>
          </w:tcPr>
          <w:p>
            <w:pPr>
              <w:spacing w:after="0"/>
              <w:rPr>
                <w:sz w:val="16"/>
                <w:szCs w:val="16"/>
                <w:color w:val="auto"/>
              </w:rPr>
            </w:pPr>
          </w:p>
        </w:tc>
        <w:tc>
          <w:tcPr>
            <w:tcW w:w="2820" w:type="dxa"/>
            <w:vAlign w:val="bottom"/>
            <w:gridSpan w:val="4"/>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86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200"/>
              <w:spacing w:after="0" w:line="129" w:lineRule="exact"/>
              <w:rPr>
                <w:sz w:val="20"/>
                <w:szCs w:val="20"/>
                <w:color w:val="auto"/>
              </w:rPr>
            </w:pPr>
            <w:r>
              <w:rPr>
                <w:rFonts w:ascii="Times New Roman" w:cs="Times New Roman" w:eastAsia="Times New Roman" w:hAnsi="Times New Roman"/>
                <w:sz w:val="14"/>
                <w:szCs w:val="14"/>
                <w:b w:val="1"/>
                <w:bCs w:val="1"/>
                <w:color w:val="auto"/>
              </w:rPr>
              <w:t>July 30,</w:t>
            </w:r>
          </w:p>
        </w:tc>
        <w:tc>
          <w:tcPr>
            <w:tcW w:w="3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431"/>
              <w:spacing w:after="0" w:line="129" w:lineRule="exact"/>
              <w:rPr>
                <w:sz w:val="20"/>
                <w:szCs w:val="20"/>
                <w:color w:val="auto"/>
              </w:rPr>
            </w:pPr>
            <w:r>
              <w:rPr>
                <w:rFonts w:ascii="Times New Roman" w:cs="Times New Roman" w:eastAsia="Times New Roman" w:hAnsi="Times New Roman"/>
                <w:sz w:val="14"/>
                <w:szCs w:val="14"/>
                <w:b w:val="1"/>
                <w:bCs w:val="1"/>
                <w:color w:val="auto"/>
              </w:rPr>
              <w:t>July 31,</w:t>
            </w:r>
          </w:p>
        </w:tc>
        <w:tc>
          <w:tcPr>
            <w:tcW w:w="1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200"/>
              <w:spacing w:after="0" w:line="129" w:lineRule="exact"/>
              <w:rPr>
                <w:sz w:val="20"/>
                <w:szCs w:val="20"/>
                <w:color w:val="auto"/>
              </w:rPr>
            </w:pPr>
            <w:r>
              <w:rPr>
                <w:rFonts w:ascii="Times New Roman" w:cs="Times New Roman" w:eastAsia="Times New Roman" w:hAnsi="Times New Roman"/>
                <w:sz w:val="14"/>
                <w:szCs w:val="14"/>
                <w:b w:val="1"/>
                <w:bCs w:val="1"/>
                <w:color w:val="auto"/>
              </w:rPr>
              <w:t>July 30,</w:t>
            </w:r>
          </w:p>
        </w:tc>
        <w:tc>
          <w:tcPr>
            <w:tcW w:w="3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431"/>
              <w:spacing w:after="0" w:line="129" w:lineRule="exact"/>
              <w:rPr>
                <w:sz w:val="20"/>
                <w:szCs w:val="20"/>
                <w:color w:val="auto"/>
              </w:rPr>
            </w:pPr>
            <w:r>
              <w:rPr>
                <w:rFonts w:ascii="Times New Roman" w:cs="Times New Roman" w:eastAsia="Times New Roman" w:hAnsi="Times New Roman"/>
                <w:sz w:val="14"/>
                <w:szCs w:val="14"/>
                <w:b w:val="1"/>
                <w:bCs w:val="1"/>
                <w:color w:val="auto"/>
              </w:rPr>
              <w:t>July 31,</w:t>
            </w:r>
          </w:p>
        </w:tc>
        <w:tc>
          <w:tcPr>
            <w:tcW w:w="0" w:type="dxa"/>
            <w:vAlign w:val="bottom"/>
          </w:tcPr>
          <w:p>
            <w:pPr>
              <w:spacing w:after="0"/>
              <w:rPr>
                <w:sz w:val="1"/>
                <w:szCs w:val="1"/>
                <w:color w:val="auto"/>
              </w:rPr>
            </w:pPr>
          </w:p>
        </w:tc>
      </w:tr>
      <w:tr>
        <w:trPr>
          <w:trHeight w:val="196"/>
        </w:trPr>
        <w:tc>
          <w:tcPr>
            <w:tcW w:w="48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130,371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147,048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228,830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256,142</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69,854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66,687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115,799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116,617</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60,517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80,361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113,031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139,525</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74,042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68,729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134,956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129,625</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goodwill and intangible assets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29,338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29,338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(loss) income</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(42,821)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12,648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(51,054)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10,689</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(42,857)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12,529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(51,130)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10,480</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(5,956)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2,672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(7,519)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2,141</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 income</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(36,901)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9,857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(43,611)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8,339</w:t>
            </w:r>
          </w:p>
        </w:tc>
        <w:tc>
          <w:tcPr>
            <w:tcW w:w="0" w:type="dxa"/>
            <w:vAlign w:val="bottom"/>
          </w:tcPr>
          <w:p>
            <w:pPr>
              <w:spacing w:after="0"/>
              <w:rPr>
                <w:sz w:val="1"/>
                <w:szCs w:val="1"/>
                <w:color w:val="auto"/>
              </w:rPr>
            </w:pPr>
          </w:p>
        </w:tc>
      </w:tr>
      <w:tr>
        <w:trPr>
          <w:trHeight w:val="175"/>
        </w:trPr>
        <w:tc>
          <w:tcPr>
            <w:tcW w:w="4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Net (loss) income attributable to redeemable</w:t>
            </w: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(7,134)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(6,870)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1,434</w:t>
            </w: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 income attributable to Vera Bradley, Inc.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(29,767)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9,050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(36,741)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6,905</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Percentage of Net Revenues: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8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45.5 %</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54.5 %</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50.6 %</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goodwill and intangible assets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23"/>
        </w:trPr>
        <w:tc>
          <w:tcPr>
            <w:tcW w:w="48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(loss) income</w:t>
            </w:r>
          </w:p>
        </w:tc>
        <w:tc>
          <w:tcPr>
            <w:tcW w:w="3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23"/>
        </w:trPr>
        <w:tc>
          <w:tcPr>
            <w:tcW w:w="48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3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 income</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176"/>
        </w:trPr>
        <w:tc>
          <w:tcPr>
            <w:tcW w:w="4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Net (loss) income attributable to redeemable</w:t>
            </w: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 income attributable to Vera Bradley, Inc.</w:t>
            </w: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tables present net revenues and operating income by operating segment, both in dollars and as a percentage of associated net revenues, and store data for the periods indicated ($ in thousands, except as otherwise indicated):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20" w:type="dxa"/>
            <w:vAlign w:val="bottom"/>
            <w:gridSpan w:val="8"/>
          </w:tcPr>
          <w:p>
            <w:pPr>
              <w:ind w:left="5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20" w:type="dxa"/>
            <w:vAlign w:val="bottom"/>
            <w:gridSpan w:val="6"/>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3"/>
          </w:tcPr>
          <w:p>
            <w:pPr>
              <w:jc w:val="center"/>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July 30,</w:t>
            </w:r>
          </w:p>
        </w:tc>
        <w:tc>
          <w:tcPr>
            <w:tcW w:w="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213"/>
              <w:spacing w:after="0" w:line="131" w:lineRule="exact"/>
              <w:rPr>
                <w:sz w:val="20"/>
                <w:szCs w:val="20"/>
                <w:color w:val="auto"/>
              </w:rPr>
            </w:pPr>
            <w:r>
              <w:rPr>
                <w:rFonts w:ascii="Times New Roman" w:cs="Times New Roman" w:eastAsia="Times New Roman" w:hAnsi="Times New Roman"/>
                <w:sz w:val="14"/>
                <w:szCs w:val="14"/>
                <w:b w:val="1"/>
                <w:bCs w:val="1"/>
                <w:color w:val="auto"/>
              </w:rPr>
              <w:t>July 31,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3"/>
          </w:tcPr>
          <w:p>
            <w:pPr>
              <w:jc w:val="center"/>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July 30,</w:t>
            </w:r>
          </w:p>
        </w:tc>
        <w:tc>
          <w:tcPr>
            <w:tcW w:w="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233"/>
              <w:spacing w:after="0" w:line="131" w:lineRule="exact"/>
              <w:rPr>
                <w:sz w:val="20"/>
                <w:szCs w:val="20"/>
                <w:color w:val="auto"/>
              </w:rPr>
            </w:pPr>
            <w:r>
              <w:rPr>
                <w:rFonts w:ascii="Times New Roman" w:cs="Times New Roman" w:eastAsia="Times New Roman" w:hAnsi="Times New Roman"/>
                <w:sz w:val="14"/>
                <w:szCs w:val="14"/>
                <w:b w:val="1"/>
                <w:bCs w:val="1"/>
                <w:color w:val="auto"/>
              </w:rPr>
              <w:t>July 31,</w:t>
            </w:r>
          </w:p>
        </w:tc>
        <w:tc>
          <w:tcPr>
            <w:tcW w:w="0" w:type="dxa"/>
            <w:vAlign w:val="bottom"/>
          </w:tcPr>
          <w:p>
            <w:pPr>
              <w:spacing w:after="0"/>
              <w:rPr>
                <w:sz w:val="1"/>
                <w:szCs w:val="1"/>
                <w:color w:val="auto"/>
              </w:rPr>
            </w:pPr>
          </w:p>
        </w:tc>
      </w:tr>
      <w:tr>
        <w:trPr>
          <w:trHeight w:val="194"/>
        </w:trPr>
        <w:tc>
          <w:tcPr>
            <w:tcW w:w="48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 by Segment: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87,013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97,138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148,649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163,870</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17,325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16,832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34,302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32,096</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Pura Vida</w:t>
            </w: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26,033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33,078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45,879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60,176</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130,371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147,048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228,830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256,142</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Percentage of Net Revenues by Segment:</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64.0 %</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Pura Vida</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920" w:type="dxa"/>
            <w:vAlign w:val="bottom"/>
            <w:gridSpan w:val="8"/>
          </w:tcPr>
          <w:p>
            <w:pPr>
              <w:ind w:left="5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6"/>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3"/>
          </w:tcPr>
          <w:p>
            <w:pPr>
              <w:jc w:val="center"/>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July 30,</w:t>
            </w:r>
          </w:p>
        </w:tc>
        <w:tc>
          <w:tcPr>
            <w:tcW w:w="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July 31,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3"/>
          </w:tcPr>
          <w:p>
            <w:pPr>
              <w:jc w:val="center"/>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July 30,</w:t>
            </w:r>
          </w:p>
        </w:tc>
        <w:tc>
          <w:tcPr>
            <w:tcW w:w="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233"/>
              <w:spacing w:after="0" w:line="131" w:lineRule="exact"/>
              <w:rPr>
                <w:sz w:val="20"/>
                <w:szCs w:val="20"/>
                <w:color w:val="auto"/>
              </w:rPr>
            </w:pPr>
            <w:r>
              <w:rPr>
                <w:rFonts w:ascii="Times New Roman" w:cs="Times New Roman" w:eastAsia="Times New Roman" w:hAnsi="Times New Roman"/>
                <w:sz w:val="14"/>
                <w:szCs w:val="14"/>
                <w:b w:val="1"/>
                <w:bCs w:val="1"/>
                <w:color w:val="auto"/>
              </w:rPr>
              <w:t>July 31,</w:t>
            </w:r>
          </w:p>
        </w:tc>
        <w:tc>
          <w:tcPr>
            <w:tcW w:w="0" w:type="dxa"/>
            <w:vAlign w:val="bottom"/>
          </w:tcPr>
          <w:p>
            <w:pPr>
              <w:spacing w:after="0"/>
              <w:rPr>
                <w:sz w:val="1"/>
                <w:szCs w:val="1"/>
                <w:color w:val="auto"/>
              </w:rPr>
            </w:pPr>
          </w:p>
        </w:tc>
      </w:tr>
      <w:tr>
        <w:trPr>
          <w:trHeight w:val="194"/>
        </w:trPr>
        <w:tc>
          <w:tcPr>
            <w:tcW w:w="4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 by Segment: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10,044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23,168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15,547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34,028</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3,918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5,601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9,397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10,062</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Pura Vida</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(28,534)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3,226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(27,478)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5,734</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Corporate unallocated</w:t>
            </w: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(28,249)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(19,347)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(48,520)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(39,135)</w:t>
            </w: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(42,821)</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12,648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(51,054)</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10,689</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b w:val="1"/>
                <w:bCs w:val="1"/>
                <w:color w:val="auto"/>
              </w:rPr>
              <w:t>Operating Income (Loss) as a Percentage of Net Revenues by</w:t>
            </w: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23.9 %</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31.3 %</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Pura Vida</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Vera Bradley Store Data </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stores opened during period</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stores closed during period</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stores open at end of period</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143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143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square footage at end of period (all stores)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405,829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393,592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405,829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393,592</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Average net revenues per gross square foot </w:t>
            </w:r>
            <w:r>
              <w:rPr>
                <w:rFonts w:ascii="Times New Roman" w:cs="Times New Roman" w:eastAsia="Times New Roman" w:hAnsi="Times New Roman"/>
                <w:sz w:val="23"/>
                <w:szCs w:val="23"/>
                <w:color w:val="auto"/>
                <w:vertAlign w:val="superscript"/>
              </w:rPr>
              <w:t>(2)</w:t>
            </w:r>
          </w:p>
        </w:tc>
        <w:tc>
          <w:tcPr>
            <w:tcW w:w="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149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187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252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30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Comparable sales (including e-commerce) decrease</w:t>
            </w:r>
            <w:r>
              <w:rPr>
                <w:rFonts w:ascii="Times New Roman" w:cs="Times New Roman" w:eastAsia="Times New Roman" w:hAnsi="Times New Roman"/>
                <w:sz w:val="23"/>
                <w:szCs w:val="23"/>
                <w:color w:val="auto"/>
                <w:vertAlign w:val="superscript"/>
              </w:rPr>
              <w:t>(3)</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NM</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560" w:hanging="552"/>
        <w:spacing w:after="0"/>
        <w:tabs>
          <w:tab w:leader="none" w:pos="5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Vera Bradley full-line and factory outlet stores.</w:t>
      </w:r>
    </w:p>
    <w:p>
      <w:pPr>
        <w:spacing w:after="0" w:line="27" w:lineRule="exact"/>
        <w:rPr>
          <w:rFonts w:ascii="Times New Roman" w:cs="Times New Roman" w:eastAsia="Times New Roman" w:hAnsi="Times New Roman"/>
          <w:sz w:val="18"/>
          <w:szCs w:val="18"/>
          <w:color w:val="auto"/>
        </w:rPr>
      </w:pPr>
    </w:p>
    <w:p>
      <w:pPr>
        <w:ind w:left="580" w:right="20" w:hanging="572"/>
        <w:spacing w:after="0" w:line="250" w:lineRule="auto"/>
        <w:tabs>
          <w:tab w:leader="none" w:pos="57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 Remodeled stores are included in average net revenues per gross square foot unless the store was closed for a portion of the period. These figures do not include the Pura Vida retail stores opened in August 2021 and July 2022.</w:t>
      </w:r>
    </w:p>
    <w:p>
      <w:pPr>
        <w:spacing w:after="0" w:line="1" w:lineRule="exact"/>
        <w:rPr>
          <w:rFonts w:ascii="Times New Roman" w:cs="Times New Roman" w:eastAsia="Times New Roman" w:hAnsi="Times New Roman"/>
          <w:sz w:val="18"/>
          <w:szCs w:val="18"/>
          <w:color w:val="auto"/>
        </w:rPr>
      </w:pPr>
    </w:p>
    <w:p>
      <w:pPr>
        <w:ind w:left="580" w:right="100" w:hanging="572"/>
        <w:spacing w:after="0" w:line="255" w:lineRule="auto"/>
        <w:tabs>
          <w:tab w:leader="none" w:pos="57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temporary closure of Vera Bradley stores due to COVID-19 during portions of the first and second quarters of fiscal 2021, the Company's prior-year second quarter and year-to-date comparable store sales and comparable sales calculations were not meaningful and therefore were not provided.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Thirteen Weeks Ended July 30, 2022, Compared to Thirteen Weeks Ended July 31, 2021</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10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For the thirteen weeks ended July 30, 2022, net revenues decreased $16.6 million, or 11.3%, to $130.4 million, from $147.0 million in the comparable prior-year period.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right="6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VB Direct. </w:t>
      </w:r>
      <w:r>
        <w:rPr>
          <w:rFonts w:ascii="Times New Roman" w:cs="Times New Roman" w:eastAsia="Times New Roman" w:hAnsi="Times New Roman"/>
          <w:sz w:val="18"/>
          <w:szCs w:val="18"/>
          <w:color w:val="auto"/>
        </w:rPr>
        <w:t>For the thirteen weeks ended July 30, 2022, net revenues in the VB Direct segment decreased $10.1 million, or 10.4%, to $87.0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$97.1 million in the comparable prior-year period. Our comparable sales decreased $13.2 million, or 13.8%. The decrease in comparable sales includes a 20.1% decrease in comparable store sales, partially offset by a 3.1% increase in e-commerce sales. Our non-comparable stores contributed $2.6 million of revenue, which included four additional factory outlet stores opened in the current fiscal year. The decrease in comparable sales and comparable store sales was impacted by reduced traffic, conversion, and units sold primarily in the factory outlet channel. These decreases were partially offset by price increases on certain merchandise in the current-year.</w:t>
      </w:r>
    </w:p>
    <w:p>
      <w:pPr>
        <w:spacing w:after="0" w:line="126"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i w:val="1"/>
          <w:iCs w:val="1"/>
          <w:color w:val="auto"/>
        </w:rPr>
        <w:t>VB Indirect</w:t>
      </w:r>
      <w:r>
        <w:rPr>
          <w:rFonts w:ascii="Times New Roman" w:cs="Times New Roman" w:eastAsia="Times New Roman" w:hAnsi="Times New Roman"/>
          <w:sz w:val="18"/>
          <w:szCs w:val="18"/>
          <w:color w:val="auto"/>
        </w:rPr>
        <w:t>. For the thirteen weeks ended July 30, 2022, net revenues in the VB Indirect segment increased $0.5 million, or 2.9%, to $17.3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$16.8 million in the comparable prior-year period. The increase was primarily due to an increase in orders from certain key accounts.</w:t>
      </w:r>
    </w:p>
    <w:p>
      <w:pPr>
        <w:spacing w:after="0" w:line="118"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Pura Vida. </w:t>
      </w:r>
      <w:r>
        <w:rPr>
          <w:rFonts w:ascii="Times New Roman" w:cs="Times New Roman" w:eastAsia="Times New Roman" w:hAnsi="Times New Roman"/>
          <w:sz w:val="18"/>
          <w:szCs w:val="18"/>
          <w:color w:val="auto"/>
        </w:rPr>
        <w:t>For the thirteen weeks ended July 30, 2022, net revenues in the Pura Vida segment decreased $7.1 million, or 21.3%, to $26.0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$33.1 million in the comparable prior-year period. The decrease was primarily due to a decline in e-commerce sales due to a decline in social and digital media effectiveness. We are working to evolve our business model from one that is largely dependent on e-commerce and digital marketing to one that is a true omni-channel business with a more diversified marketing program.</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73"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For the thirteen weeks ended July 30, 2022, gross profit decreased $19.9 million, or 24.7%, to $60.5 million, from $80.4 million in the comparable prior-year period. As a percentage of net revenues, gross profit decreased to 46.4% for the thirteen weeks ended July 30, 2022, from 54.6% in the comparable prior-year period. Gross profit as a percentage of net revenues was negatively impacted by approximately 470 basis points for inventory adjustments related to the exit of certain technology products and excess mask inventory, as well as approximately 90 basis points for purchase order cancellation fees related to certain spring 2023 products. In addition, gross profit as a percentage of net revenues was negatively impacted by inbound and outbound freight and shipping costs, overhead de-leverage, and channel mix changes, which was partially offset by price increases on certain merchandise in the current-year.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73"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For the thirteen weeks ended July 30, 2022, SG&amp;A expenses increased $5.3 million, or 7.7%, to $74.0 million, from $68.7 million in the comparable prior-year period. As a percentage of net revenues, SG&amp;A expenses increased to 56.8% for the thirteen weeks ended July 30, 2022, from 46.7% in the comparable prior-year period. SG&amp;A expenses related to Vera Bradley and corporate unallocated were $60.6 million compared to $53.1 million in the comparable prior-year period. SG&amp;A expenses related to Pura Vida were $13.4 million compared to $15.6 million in the prior-year. The increase in consolidated SG&amp;A expenses for the thirteen weeks ended July 30, 2022 was primarily due to severance charges of $5.7 million including for CEO retirement severance; $2.8 million of consulting fees related to our cost saving initiatives and CEO search; and $0.8 million for store impairment charges.</w:t>
      </w:r>
    </w:p>
    <w:p>
      <w:pPr>
        <w:spacing w:after="0" w:line="12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aforementioned increases in SG&amp;A expenses were partially offset by a $3.0 million reduction in advertising expenses, primarily related to the Pura Vida brand, and a $1.5 million reduction in expense associated with incentive compensation due to company performance estimates compared to the prior-year period.</w:t>
      </w:r>
    </w:p>
    <w:p>
      <w:pPr>
        <w:spacing w:after="0" w:line="11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SG&amp;A expenses as a percentage of net revenues increased primarily due to the aforementioned items, as well as SG&amp;A expense de-leverage associated with a decrease in sales.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Goodwill and Intangible Assets</w:t>
      </w:r>
    </w:p>
    <w:p>
      <w:pPr>
        <w:spacing w:after="0" w:line="9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 xml:space="preserve">For the thirteen weeks ended July 30, 2022, impairment of goodwill and intangible assets totaled $29.3 million. These charges related to Pura Vida goodwill and the indefinite-lived Pura Vida brand asset and are reflected within the Pura Vida segment. For additional information, refer to </w:t>
      </w:r>
      <w:r>
        <w:rPr>
          <w:rFonts w:ascii="Times New Roman" w:cs="Times New Roman" w:eastAsia="Times New Roman" w:hAnsi="Times New Roman"/>
          <w:sz w:val="18"/>
          <w:szCs w:val="18"/>
          <w:i w:val="1"/>
          <w:iCs w:val="1"/>
          <w:color w:val="auto"/>
        </w:rPr>
        <w:t>Goodwill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Other Intangible Assets </w:t>
      </w:r>
      <w:r>
        <w:rPr>
          <w:rFonts w:ascii="Times New Roman" w:cs="Times New Roman" w:eastAsia="Times New Roman" w:hAnsi="Times New Roman"/>
          <w:sz w:val="18"/>
          <w:szCs w:val="18"/>
          <w:color w:val="auto"/>
        </w:rPr>
        <w:t>herein. There were no similar charges in the comparable prior-year period.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thirteen weeks ended July 30, 2022, net other income decreased to $42.0 thousand compared to $1.0 million in the comparable prior-year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net other income was primarily due to legal settlement income in the prior-year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(Loss) Income</w:t>
      </w:r>
    </w:p>
    <w:p>
      <w:pPr>
        <w:spacing w:after="0" w:line="9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For the thirteen weeks ended July 30, 2022, operating loss increased $55.4 million to $(42.8) million in the current-year period, from operating income of $12.6 million in the comparable prior-year period. As a percentage of net revenues, operating (loss) income was (32.8)% and 8.6% for the thirteen weeks ended July 30, 2022 and July 31, 2021, respectively. Operating loss increased due to the factors described in the captions above.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VB Direct</w:t>
      </w:r>
      <w:r>
        <w:rPr>
          <w:rFonts w:ascii="Times New Roman" w:cs="Times New Roman" w:eastAsia="Times New Roman" w:hAnsi="Times New Roman"/>
          <w:sz w:val="18"/>
          <w:szCs w:val="18"/>
          <w:color w:val="auto"/>
        </w:rPr>
        <w:t>. For the thirteen weeks ended July 30, 2022, operating income in the VB Direct segment decreased $13.1 million, to $10.1 million from</w:t>
      </w:r>
    </w:p>
    <w:p>
      <w:pPr>
        <w:spacing w:after="0" w:line="29"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$23.2 million in the comparable prior-year period. As a percentage of VB Direct segment net revenues, operating income in the VB Direct segment was 11.5% and 23.9% for the thirteen weeks ended July 30, 2022 and July 31, 2021, respectively. The decrease in operating income as a percentage of VB Direct segment net revenues was primarily due to SG&amp;A expense de-leverage associated with decreased sales; a decrease in gross margin as a percentage of net revenues as described above, including approximately 590 basis points related to inventory adjustments for the exit of certain technology products and excess mask products, as well as certain purchase order cancellation fees; and $0.8 million of store impairment charges. These decreases were partially offset by SG&amp;A reductions as a result of certain early lease terminations, advertising spending, and incentive compensation primarily as a result of reduced store sales.</w:t>
      </w:r>
    </w:p>
    <w:p>
      <w:pPr>
        <w:spacing w:after="0" w:line="131"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i w:val="1"/>
          <w:iCs w:val="1"/>
          <w:color w:val="auto"/>
        </w:rPr>
        <w:t>VB Indirect</w:t>
      </w:r>
      <w:r>
        <w:rPr>
          <w:rFonts w:ascii="Times New Roman" w:cs="Times New Roman" w:eastAsia="Times New Roman" w:hAnsi="Times New Roman"/>
          <w:sz w:val="18"/>
          <w:szCs w:val="18"/>
          <w:color w:val="auto"/>
        </w:rPr>
        <w:t>. For the thirteen weeks ended July 30, 2022, operating income in the VB Indirect segment decreased $1.7 million, or 30.0%, to $3.9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$5.6 million in the comparable prior-year period. As a percentage of VB Indirect segment net revenues, operating income in the VB Indirect segment was 22.6% and 33.3% for the thirteen weeks ended July 30, 2022 and July 31, 2021, respectively. The decrease in operating income as a percentage of VB Indirect segment net revenues was primarily due to a decrease in gross margin as a percentage of net revenues as described above, including approximately 570 basis points related to inventory adjustments for the exit of certain technology products and excess mask products, as well as certain purchase order cancellation fees.</w:t>
      </w:r>
    </w:p>
    <w:p>
      <w:pPr>
        <w:spacing w:after="0" w:line="126"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Pura Vida. </w:t>
      </w:r>
      <w:r>
        <w:rPr>
          <w:rFonts w:ascii="Times New Roman" w:cs="Times New Roman" w:eastAsia="Times New Roman" w:hAnsi="Times New Roman"/>
          <w:sz w:val="18"/>
          <w:szCs w:val="18"/>
          <w:color w:val="auto"/>
        </w:rPr>
        <w:t>For the thirteen weeks ended July 30, 2022, operating loss in the Pura Vida segment increased $31.8 million to $(28.5) million from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of $3.2 million in the comparable prior-year period. As a percentage of Pura Vida segment net revenues, operating (loss) income in the Pura Vida segment was (109.6)% and 9.8% for the thirteen weeks ended July 30, 2022 and July 31, 2021, respectively. The increase in operating loss as a percentage of Pura Vida net revenues was primarily due to goodwill and indefinite-lived Pura Vida brand impairment charges in the current-year period of</w:t>
      </w:r>
    </w:p>
    <w:p>
      <w:pPr>
        <w:ind w:right="180"/>
        <w:spacing w:after="0" w:line="246" w:lineRule="auto"/>
        <w:rPr>
          <w:sz w:val="20"/>
          <w:szCs w:val="20"/>
          <w:color w:val="auto"/>
        </w:rPr>
      </w:pPr>
      <w:r>
        <w:rPr>
          <w:rFonts w:ascii="Times New Roman" w:cs="Times New Roman" w:eastAsia="Times New Roman" w:hAnsi="Times New Roman"/>
          <w:sz w:val="18"/>
          <w:szCs w:val="18"/>
          <w:color w:val="auto"/>
        </w:rPr>
        <w:t>$19.4 million and $9.9 million, respectively. In addition, there was expense de-leverage associated with a decrease in sales, as well as inventory adjustments for excess mask products which impacted the operating loss as a percentage of net revenues by approximately 370 basis points in the current year. These decreases to operating income were partially offset by reductions in advertising expense compared to the prior-year period.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Unallocated</w:t>
      </w:r>
      <w:r>
        <w:rPr>
          <w:rFonts w:ascii="Times New Roman" w:cs="Times New Roman" w:eastAsia="Times New Roman" w:hAnsi="Times New Roman"/>
          <w:sz w:val="18"/>
          <w:szCs w:val="18"/>
          <w:color w:val="auto"/>
        </w:rPr>
        <w:t>. For the thirteen weeks ended July 30, 2022, unallocated expenses increased $8.9 million, or 46.0%, to $28.2 million from</w:t>
      </w:r>
    </w:p>
    <w:p>
      <w:pPr>
        <w:spacing w:after="0" w:line="29"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7"/>
          <w:szCs w:val="17"/>
          <w:color w:val="auto"/>
        </w:rPr>
        <w:t>$19.3 million in the comparable prior-year period. The increase in unallocated expenses was primarily due to severance charges of $5.7 million, including CEO retirement severance, consulting fees of $2.8 million associated with cost savings initiatives and CEO search, and legal settlement income of</w:t>
      </w:r>
    </w:p>
    <w:p>
      <w:pPr>
        <w:spacing w:after="0" w:line="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$1.0 million in the prior-year period that did not recur. These increases were partially offset by a decline in incentive compensation expense primarily as a result of Company performance estimates and forfeitures.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 Expense</w:t>
      </w:r>
    </w:p>
    <w:p>
      <w:pPr>
        <w:spacing w:after="0" w:line="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effective tax rate for the thirteen weeks ended July 30, 2022, was 13.9%, compared to 21.3% for the thirteen weeks ended July 31, 2021. The year-over year effective tax rate decrease was primarily due to the relative impact of permanent and discrete items in the current-year period compared to the prior-year period, primarily as a result of non-deductible executive compensation.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Income</w:t>
      </w:r>
    </w:p>
    <w:p>
      <w:pPr>
        <w:spacing w:after="0" w:line="9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For the thirteen weeks ended July 30, 2022, net loss increased $46.8 million to $(36.9) million from net income of $9.9 million in the comparable prior-year period due to the factors described in the captions above.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Income Attributable to Redeemable Noncontrolling Interest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thirteen weeks ended July 30, 2022, net loss attributable to redeemable noncontrolling interest was $(7.1) million compared to net income of</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$0.8 million in the prior-year period. This represents the allocation of the Pura Vida net (loss) income to the noncontrolling interest. The increase in net loss was due to the factors described above in the Pura Vida operating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Income Attributable to Vera Bradley, Inc.</w:t>
      </w:r>
    </w:p>
    <w:p>
      <w:pPr>
        <w:spacing w:after="0" w:line="92"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For the thirteen weeks ended July 30, 2022, net loss attributable to Vera Bradley, Inc. increased $38.9 million to $(29.8) million from net income attributable to Vera Bradley, Inc. of $9.1 million in the comparable prior-year period due to the factors described in the captions above.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Twenty-Six Weeks Ended July 30, 2022, Compared to Twenty-Six Weeks Ended July 31, 2021</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9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 the twenty-six weeks ended July 30, 2022, net revenues decreased $27.3 million, or 10.7%, to $228.8 million, from $256.1 million in the comparable prior-year period.</w:t>
      </w:r>
    </w:p>
    <w:p>
      <w:pPr>
        <w:spacing w:after="0" w:line="106"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i w:val="1"/>
          <w:iCs w:val="1"/>
          <w:color w:val="auto"/>
        </w:rPr>
        <w:t>VB Direct</w:t>
      </w:r>
      <w:r>
        <w:rPr>
          <w:rFonts w:ascii="Times New Roman" w:cs="Times New Roman" w:eastAsia="Times New Roman" w:hAnsi="Times New Roman"/>
          <w:sz w:val="18"/>
          <w:szCs w:val="18"/>
          <w:color w:val="auto"/>
        </w:rPr>
        <w:t>. For the twenty-six weeks ended July 30, 2022, net revenues in the VB Direct segment decreased $15.3 million, or 9.3%, to $148.6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$163.9 million in the comparable prior-year period. Vera Bradley comparable sales decreased $20.5 million, or 12.7%, which includes a 16.5% decrease in comparable store sales and a 3.9% decrease in e-commerce sales. This comparable sales decrease was partially offset by our non-comparable stores which contributed $4.6 million of revenue which included four additional factory outlet stores opened in the current fiscal year. The decrease in comparable sales and comparable store sales was impacted by reduced traffic, conversion, and units sold primarily in the factory outlet channel. These decreases were partially offset by price increases on certain merchandise in the current-year.</w:t>
      </w:r>
    </w:p>
    <w:p>
      <w:pPr>
        <w:spacing w:after="0" w:line="1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VB Indirect</w:t>
      </w:r>
      <w:r>
        <w:rPr>
          <w:rFonts w:ascii="Times New Roman" w:cs="Times New Roman" w:eastAsia="Times New Roman" w:hAnsi="Times New Roman"/>
          <w:sz w:val="18"/>
          <w:szCs w:val="18"/>
          <w:color w:val="auto"/>
        </w:rPr>
        <w:t>. For the twenty-six weeks ended July 30, 2022, net revenues in the VB Indirect segment increased $2.2 million, or 6.9%, to $34.3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$32.1 million in the comparable prior-year period. The increase was primarily due to an increase in orders from certain key accounts and specialty retailers, in part due to timing of product launches.</w:t>
      </w:r>
    </w:p>
    <w:p>
      <w:pPr>
        <w:spacing w:after="0" w:line="11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Pura Vida. </w:t>
      </w:r>
      <w:r>
        <w:rPr>
          <w:rFonts w:ascii="Times New Roman" w:cs="Times New Roman" w:eastAsia="Times New Roman" w:hAnsi="Times New Roman"/>
          <w:sz w:val="18"/>
          <w:szCs w:val="18"/>
          <w:color w:val="auto"/>
        </w:rPr>
        <w:t>For the twenty-six weeks ended July 30, 2022, net revenues in the Pura Vida segment decreased $14.3 million, or 23.8%, to $45.9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$60.2 million in the comparable prior-year period. The decrease was primarily due to a decline in e-commerce sales due to a decline in social and digital media effectiveness. We are working to evolve our business model from one that is largely dependent on e-commerce and digital marketing to one that is a true omni-channel business with a more diversified marketing program.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06"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For the twenty-six weeks ended July 30, 2022, gross profit decreased $26.5 million, or 19.0%, to $113.0 million, from $139.5 million in the comparable prior-year period. As a percentage of net revenues, gross profit decreased to 49.4% for the twenty-six weeks ended July 30, 2022, from 54.5% in the comparable prior-year period. Gross profit as a percentage of net revenues was negatively impacted by approximately 270 basis points for inventory adjustments related to the exit of certain technology products and excess mask inventory, as well as approximately 50 basis points for purchase order cancellation fees related to certain spring 2023 products. In addition, gross profit as a percentage of net revenues was impacted by inbound and outbound freight and shipping costs, de-leverage of overhead costs, and channel mix changes, partially offset by price increases on certain merchandise in the current-year.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92"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18"/>
          <w:szCs w:val="18"/>
          <w:color w:val="auto"/>
        </w:rPr>
        <w:t>For the twenty-six weeks ended July 30, 2022, SG&amp;A expenses increased $5.4 million, or 4.1%, to $135.0 million, from $129.6 million in the comparable prior-year period. As a percentage of net revenues, SG&amp;A expenses increased to 59.0% for the twenty-six weeks ended July 30, 2022, from 50.6% in the comparable prior-year period. SG&amp;A expenses related to Vera Bradley and corporate unallocated were $111.0 million compared to $101.2 million in the comparable prior-year period. SG&amp;A expenses related to Pura Vida were $24.0 million compared to $28.4 million in the comparable prior-year period. The increase in consolidated SG&amp;A expenses for the twenty-six weeks ended July 30, 2022 was primarily due to severance charges of $5.7 million including for CEO retirement severance; an increase of $4.1 million for professional fees including $2.9 million of consulting fees related to our cost saving initiatives and CEO search; and $1.4 million for store and lease right-of-use asset impairment charges. In addition, there was an increase in certain employee-related expenses primarily due to the annualization of certain headcount, new retail stores, and cost-of-living adjustments, as well as an increase in travel expense.</w:t>
      </w:r>
    </w:p>
    <w:p>
      <w:pPr>
        <w:spacing w:after="0" w:line="13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aforementioned increases in SG&amp;A expenses were partially offset by a $5.3 million reduction in advertising expenses, primarily related to the Pura Vida brand, and a $3.7 million reduction in expense associated with incentive compensation due to company performance estimates compared to the prior-year period.</w:t>
      </w:r>
    </w:p>
    <w:p>
      <w:pPr>
        <w:spacing w:after="0" w:line="34"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8"/>
          <w:szCs w:val="18"/>
          <w:color w:val="auto"/>
        </w:rPr>
        <w:t>SG&amp;A expenses as a percentage of net revenues increased primarily due to the aforementioned items, as well as SG&amp;A expense de-leverage associated with decreased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Goodwill and Intangible Assets</w:t>
      </w:r>
    </w:p>
    <w:p>
      <w:pPr>
        <w:spacing w:after="0" w:line="9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 xml:space="preserve">For the twenty-six weeks ended July 30, 2022, impairment of goodwill and intangible assets totaled $29.3 million. These charges related to Pura Vida goodwill and the indefinite-lived Pura Vida brand asset and are reflected within the Pura Vida segment. For additional information, refer to </w:t>
      </w:r>
      <w:r>
        <w:rPr>
          <w:rFonts w:ascii="Times New Roman" w:cs="Times New Roman" w:eastAsia="Times New Roman" w:hAnsi="Times New Roman"/>
          <w:sz w:val="18"/>
          <w:szCs w:val="18"/>
          <w:i w:val="1"/>
          <w:iCs w:val="1"/>
          <w:color w:val="auto"/>
        </w:rPr>
        <w:t>Goodwill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Other Intangible Assets </w:t>
      </w:r>
      <w:r>
        <w:rPr>
          <w:rFonts w:ascii="Times New Roman" w:cs="Times New Roman" w:eastAsia="Times New Roman" w:hAnsi="Times New Roman"/>
          <w:sz w:val="18"/>
          <w:szCs w:val="18"/>
          <w:color w:val="auto"/>
        </w:rPr>
        <w:t>herein. There were no similar charges in the comparable prior-year period.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0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For the twenty-six weeks ended July 30, 2022, net other income decreased $0.6 million to other income of $0.2 million compared to $0.8 million in the comparable prior-year period. The decrease in net other income was primarily due to legal settlements in the prior-year period that did not recur.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(Loss) Income</w:t>
      </w:r>
    </w:p>
    <w:p>
      <w:pPr>
        <w:spacing w:after="0" w:line="10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For the twenty-six weeks ended July 30, 2022, operating loss increased $61.8 million to $(51.1) million in the current-year period, from operating income of $10.7 million in the comparable prior-year period. As a percentage of net revenues, operating (loss) income was (22.3)% and 4.2% for the twenty-six weeks ended July 30, 2022 and July 31, 2021, respectively. Operating loss increased due to the factors described in the captions above.</w:t>
      </w:r>
    </w:p>
    <w:p>
      <w:pPr>
        <w:spacing w:after="0" w:line="12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VB Direct</w:t>
      </w:r>
      <w:r>
        <w:rPr>
          <w:rFonts w:ascii="Times New Roman" w:cs="Times New Roman" w:eastAsia="Times New Roman" w:hAnsi="Times New Roman"/>
          <w:sz w:val="18"/>
          <w:szCs w:val="18"/>
          <w:color w:val="auto"/>
        </w:rPr>
        <w:t>. For the twenty-six weeks ended July 30, 2022, operating income in the VB Direct segment decreased $18.5 million, to $15.5 million from $34.0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comparable prior-year period. As a percentage of VB Direct segment net revenues, operating income in the VB Direct segment was 10.5% and 20.8% for the twenty-six weeks ended July 30, 2022 and July 31, 2021, respectively. The decrease in operating income as a percentage of VB Direct segment net revenues was primarily due to SG&amp;A expense de-leverage associated with decreased sales; a decrease in gross margin as a percentage of net revenues as described above, including approximately 340 basis points related to inventory adjustments for the exit of certain technology products and excess mask products, as well as certain purchase order cancellation fees; and an increase in SG&amp;A expenses compared to the prior-year period primarily due to $0.8 million in store impairment charges.</w:t>
      </w:r>
    </w:p>
    <w:p>
      <w:pPr>
        <w:spacing w:after="0" w:line="12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VB Indirect</w:t>
      </w:r>
      <w:r>
        <w:rPr>
          <w:rFonts w:ascii="Times New Roman" w:cs="Times New Roman" w:eastAsia="Times New Roman" w:hAnsi="Times New Roman"/>
          <w:sz w:val="18"/>
          <w:szCs w:val="18"/>
          <w:color w:val="auto"/>
        </w:rPr>
        <w:t>. For the twenty-six weeks ended July 30, 2022, operating income in the VB Indirect segment decreased $0.7 million, or 6.6%, to $9.4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$10.1 million in the comparable prior-year period. As a percentage of VB Indirect segment net revenues, operating income in the VB Indirect segment was 27.4% and 31.3% for the twenty-six weeks ended July 30, 2022 and July 31, 2021, respectively. The decrease in operating income as a percentage of VB Indirect segment net revenues was due to a decrease in gross margin as a percentage of net revenues as described above, including approximately 290 basis points related to inventory adjustments for the exit of certain technology products and excess mask products, as well as certain purchase order cancellation fees.</w:t>
      </w:r>
    </w:p>
    <w:p>
      <w:pPr>
        <w:spacing w:after="0" w:line="12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Pura Vida. </w:t>
      </w:r>
      <w:r>
        <w:rPr>
          <w:rFonts w:ascii="Times New Roman" w:cs="Times New Roman" w:eastAsia="Times New Roman" w:hAnsi="Times New Roman"/>
          <w:sz w:val="18"/>
          <w:szCs w:val="18"/>
          <w:color w:val="auto"/>
        </w:rPr>
        <w:t>For the twenty-six weeks ended July 30, 2022, operating loss in the Pura Vida segment increased $33.2 million to $(27.5)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income of $5.7 million in the comparable prior-year period. As a percentage of Pura Vida segment net revenues, operating (loss) income in the Pura Vida segment was (59.9)% and 9.5% for the twenty-six weeks ended July 30, 2022 and July 31, 2021, respectively. The increase in operating loss as a percentage of Pura Vida net revenues was primarily due to goodwill and indefinite-lived Pura Vida tradename impairment charges in the current-year period of $19.4 million and $9.9 million, respectively. In addition, there was expense de-leverage associated with a decrease in sales, as well as inventory adjustments for excess mask products which impacted the operating loss as a percentage of net revenues by approximately 210 basis points in the current year. These decreases to operating income were partially offset by reductions in advertising expense compared to the prior-year period.</w:t>
      </w:r>
    </w:p>
    <w:p>
      <w:pPr>
        <w:spacing w:after="0" w:line="1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Corporate Unallocated</w:t>
      </w:r>
      <w:r>
        <w:rPr>
          <w:rFonts w:ascii="Times New Roman" w:cs="Times New Roman" w:eastAsia="Times New Roman" w:hAnsi="Times New Roman"/>
          <w:sz w:val="18"/>
          <w:szCs w:val="18"/>
          <w:color w:val="auto"/>
        </w:rPr>
        <w:t>. For the twenty-six weeks ended July 30, 2022, unallocated expenses increased $9.4 million, or 24.0%, to $48.5 million from $39.1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comparable prior-year period. The increase in unallocated expenses was primarily due to severance charges of $5.7 million, including CEO retirement severance; an increase in professional fees of $3.8 million which includes consulting fees of $2.9 million associated with cost savings initiatives and CEO search; a decrease in net other income of $0.6 million primarily related to legal settlements in the prior-year period that did not recur; and</w:t>
      </w:r>
    </w:p>
    <w:p>
      <w:pPr>
        <w:spacing w:after="0" w:line="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$0.6 million related to a lease right-of-use asset impairment charge in the current-year period. These increases were partially offset by a decrease in employee-related expenses, primarily related to a decline in incentive compensation expense as a result of company performance estimates and forfeitures.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w:t>
      </w:r>
    </w:p>
    <w:p>
      <w:pPr>
        <w:spacing w:after="0" w:line="9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effective tax rate for the twenty-six weeks ended July 30, 2022, was 14.7%, compared to 20.4% for the twenty-six weeks ended July 31, 2021. The year-over year effective tax rate decrease was primarily due to the relative impact of permanent and discrete items in the current-year period compared to the prior-year period, primarily as a result of non-deductible executive compensation and stock-based compensation.</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Income</w:t>
      </w:r>
    </w:p>
    <w:p>
      <w:pPr>
        <w:spacing w:after="0" w:line="9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the twenty-six weeks ended July 30, 2022, net loss increased $51.9 million to $(43.6) million from net income of $8.3 million in the comparable prior-year period due to the factors described in the captions above</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Income Attributable to Redeemable Noncontrolling Interest</w:t>
      </w:r>
    </w:p>
    <w:p>
      <w:pPr>
        <w:spacing w:after="0" w:line="10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the twenty-six weeks ended July 30, 2022, net loss attributable to redeemable noncontrolling interest was $(6.9) million compared to net income attributable to redeemable noncontrolling interest of $1.4 million in the prior-year period. This represents the allocation of the Pura Vida net (loss) income to the noncontrolling interest. The increase in net (loss) income was due to the factors described above in the Pura Vida operating segment.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Income Attributable to Vera Bradley, Inc.</w:t>
      </w:r>
    </w:p>
    <w:p>
      <w:pPr>
        <w:spacing w:after="0" w:line="10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For the twenty-six weeks ended July 30, 2022, net loss attributable to Vera Bradley, Inc. increased $43.6 million to $(36.7) million from net income attributable to Vera Bradley, Inc. of $6.9 million in the comparable prior-year period due to the factors described in the captions above.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primary sources of liquidity are cash on hand and cash equivalents, as well as cash flow from operations. We also have access to additional liquidity, if needed, through borrowings under our $75.0 million asset-based revolving credit agreement (the “Credit Agreement”). There was no debt outstanding as of July 30, 2022. Historically, our primary cash needs have been for merchandise inventories; payroll; store rent; capital expenditures associated with operational equipment, buildings, information technology, and opening new stores; and share repurchases. The most significant components of our working capital are cash and cash equivalents, merchandise inventories, accounts receivable, accounts payable, and other current liabilities.</w:t>
      </w:r>
    </w:p>
    <w:p>
      <w:pPr>
        <w:spacing w:after="0" w:line="21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believe that cash on hand and cash equivalents, cash flows from operating activities, and the availability of borrowings under our Credit Agreement or other financing arrangements will be sufficient to meet working capital requirements and anticipated capital expenditures, and other strategic uses of cash, if any, for the foreseeable future.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Analysis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operating, investing, and financing activities is shown in the following table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23"/>
        </w:trPr>
        <w:tc>
          <w:tcPr>
            <w:tcW w:w="8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31"/>
        </w:trPr>
        <w:tc>
          <w:tcPr>
            <w:tcW w:w="8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July 30,</w:t>
            </w:r>
          </w:p>
        </w:tc>
        <w:tc>
          <w:tcPr>
            <w:tcW w:w="300" w:type="dxa"/>
            <w:vAlign w:val="bottom"/>
          </w:tcPr>
          <w:p>
            <w:pPr>
              <w:spacing w:after="0"/>
              <w:rPr>
                <w:sz w:val="11"/>
                <w:szCs w:val="11"/>
                <w:color w:val="auto"/>
              </w:rPr>
            </w:pPr>
          </w:p>
        </w:tc>
        <w:tc>
          <w:tcPr>
            <w:tcW w:w="1140" w:type="dxa"/>
            <w:vAlign w:val="bottom"/>
          </w:tcPr>
          <w:p>
            <w:pPr>
              <w:jc w:val="center"/>
              <w:ind w:right="217"/>
              <w:spacing w:after="0" w:line="131" w:lineRule="exact"/>
              <w:rPr>
                <w:sz w:val="20"/>
                <w:szCs w:val="20"/>
                <w:color w:val="auto"/>
              </w:rPr>
            </w:pPr>
            <w:r>
              <w:rPr>
                <w:rFonts w:ascii="Times New Roman" w:cs="Times New Roman" w:eastAsia="Times New Roman" w:hAnsi="Times New Roman"/>
                <w:sz w:val="14"/>
                <w:szCs w:val="14"/>
                <w:b w:val="1"/>
                <w:bCs w:val="1"/>
                <w:color w:val="auto"/>
              </w:rPr>
              <w:t>July 31,</w:t>
            </w:r>
          </w:p>
        </w:tc>
      </w:tr>
      <w:tr>
        <w:trPr>
          <w:trHeight w:val="195"/>
        </w:trPr>
        <w:tc>
          <w:tcPr>
            <w:tcW w:w="8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16,487</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(1,671)</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(3,229)</w:t>
            </w: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Provided by Operating Activities</w:t>
      </w:r>
    </w:p>
    <w:p>
      <w:pPr>
        <w:spacing w:after="0" w:line="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provided by operating activities consists primarily of net (loss) income adjusted for non-cash items, including depreciation, amortization, impairment charges, deferred taxes, and stock-based compensation; and the effect of changes in assets and liabilities.</w:t>
      </w:r>
    </w:p>
    <w:p>
      <w:pPr>
        <w:spacing w:after="0" w:line="10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for the twenty-six weeks ended July 30, 2022 was $27.1 million compared to net cash provided by operating activities of $16.5 million for the twenty-six weeks ended July 31, 2021. The increase in cash used in operating activities was primarily related to an increase in the net loss after non-cash charges of $28.5 million, as well as the change in assets and liabilities. Changes in assets and liabilities resulting in a use of cash were primarily related to the change in inventory which was impacted by decreased sales compared to the prior-year period, as well as an increase in inventory-in-transit. These factors were partially offset by non-cash inventory adjustments of $6.1 million primarily for the exit of certain technology products and excess mask products in the current-year period. Changes that provided a source of cash were due primarily to accounts payable which was mostly associated with timing of payments; income taxes, which we received net payments of $6.8 million during the current-year period; and accrued and other liabilities reflecting accruals associated with certain severance payments.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92"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Investing activities consist primarily of investments and capital expenditures related to new store openings, buildings, operational equipment, and information technology investments.</w:t>
      </w:r>
    </w:p>
    <w:p>
      <w:pPr>
        <w:spacing w:after="0" w:line="10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$4.4 million for the twenty-six weeks ended July 30, 2022 compared to $1.7 million for the twenty-six weeks ended July 31, 2021. The increase in cash used in investing activities was primarily a result of increased spending associated with purchases of property, plant, and equipment due mostly to relocations of certain existing Vera Bradley factory outlet stores and timing of payments.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expenditures for fiscal 2023 are expected to be approximately $8.0 million to $10.0 million.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17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$18.5 million for the twenty-six weeks ended July 30, 2022 compared to $3.2 million for the twenty-six weeks ended July 31, 2021. The increase in cash used in financing activities was primarily due to $16.5 million of common stock repurchases in the current-year period that did not occur in the comparable prior-year period.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5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September 7, 2018, VBD, a wholly-owned subsidiary of the Company, entered into an asset based revolving Credit Agreement (the “Credit Agreement”) among VBD, JPMorgan Chase Bank, N.A., as administrative agent, and the lenders from time to time party thereto. The Credit Agreement provides for certain credit facilities to VBD in an aggregate principal amount not to initially exceed the lesser of $75.0 million or the amount of borrowing availability determined in accordance with a borrowing base of certain assets. Any proceeds of the credit facilities will be used to finance general corporate purposes of VBD and its subsidiaries, including but not limited to Vera Bradley International, LLC and Vera Bradley Sales, LLC (collectively, the “Named Subsidiaries”). The Credit Agreement also contains an option for VBD to arrange with lenders to increase the aggregate principal amount by up to $25.0 million.</w:t>
      </w:r>
    </w:p>
    <w:p>
      <w:pPr>
        <w:spacing w:after="0" w:line="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Amounts outstanding under the Credit Agreement bear interest at a per annum rate equal to either (i) for CBFR borrowings (including swingline loans), the CB Floating Rate, where the CB Floating Rate is the prime rate which shall never be less than the adjusted one month LIBOR rate on such day, plus the Applicable Rate, where the Applicable Rate is a percentage spread ranging from -1.00% to -1.50% or (ii) for each eurodollar borrowing, the Adjusted LIBO Rate, where the Adjusted LIBO Rate is the LIBO rate for such interest period multiplied by the statutory reserve rate, for the interest period in effect for such borrowing, plus the Applicable Rate, where the Applicable Rate is a percentage ranging from 1.00% to 1.30%. The applicable CB Floating Rate, Adjusted LIBO Rate, or LIBO Rate shall be determined by the administrative agent. The Credit Agreement also requires VBD to pay a commitment fee for the unused portion of the revolving facility of up to 0.20% per annum.</w:t>
      </w:r>
    </w:p>
    <w:p>
      <w:pPr>
        <w:spacing w:after="0" w:line="6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VBD’s obligations under the Credit Agreement are guaranteed by the Company and the Named Subsidiaries. The obligations of VBD under the Credit Agreement are secured by substantially all of the respective assets of VBD, the Company, and the Named Subsidiaries and are further secured by the equity interests in VBD and the Named Subsidiaries.</w:t>
      </w:r>
    </w:p>
    <w:p>
      <w:pPr>
        <w:spacing w:after="0" w:line="4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Credit Agreement contains various affirmative and negative covenants, including restrictions on the Company's ability to incur debt or liens; engage in mergers or consolidations; make certain investments, acquisitions, loans, and advances; sell assets; enter into certain swap agreements; pay dividends or make distributions or make other restricted payments; engage in certain transactions with affiliates; and amend, modify, or waive any of its rights related to subordinated indebtedness and certain charter and other organizational, governing, and material agreements. The Company may avoid certain of such restrictions by meeting payment conditions defined in the Credit Agreement. The Company was in compliance with these covenants as of July 30, 2022.</w:t>
      </w:r>
    </w:p>
    <w:p>
      <w:pPr>
        <w:spacing w:after="0" w:line="62"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Credit Agreement also requires the Loan Parties to maintain a minimum fixed charge coverage ratio of 1.00 to 1.00 during periods when borrowing availability is less than the greater of (A) $7.5 million, and (B) 10% of the lesser of (i) the aggregate revolving commitment, and (ii) the borrowing base. The fixed charge coverage ratio, availability, aggregate revolving commitment, and the borrowing base are further defined in the Credit Agreement.</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Credit Agreement contains customary events of default, including, among other things: (i) the failure to pay any principal, interest, or other fees under the Credit Agreement; (ii) the making of any materially incorrect representation or warranty; (iii) the failure to observe or perform any covenant, condition, or agreement in the Credit Agreement or related agreements; (iv) a cross default with respect to other material indebtedness; (v) bankruptcy and insolvency events; (vi) unsatisfied material final judgments; (vii) Employee Retirement Income Security Act of 1974 (“ERISA”) events that could reasonably be expected to have a material adverse effect; and (viii) a change in control (as defined in the Credit Agreement).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commitments made under the Credit Agreement mature on September 7, 2023.</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July 30, 2022 and January 29, 2022, the Company had no borrowings outstanding and availability of $75.0 million under the Credit Agreement.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0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As of July 30, 2022, there were no material changes outside the ordinary course of business to material cash requirements, as disclosed in our Annual Report on Form 10-K for the fiscal year ended January 29, 2022.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Off-Balance-Sheet Arrangements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off-balance-sheet financing or unconsolidated special-purpose entities.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requires management to make estimates and assumptions that affect the reported amounts of assets, liabilities, revenues, and expenses, as well as the related disclosures of contingent assets and liabilities at the date of the financial statements. A summary of the Company’s significant accounting policies is included in Note 2 to the Company’s consolidated financial statements in the Company’s Annual Report on Form 10-K for the fiscal year ended January 29, 2022.</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accounting policies and estimates of the Company are considered critical, as these policies and estimates are the most important to the depiction of the Company’s consolidated financial statements and require significant, difficult, or complex judgments, often about the effect of matters that are inherently uncertain. Such policies are summarized in the “Management’s Discussion and Analysis of Financial Condition and Results of Operations” in the Company’s Annual Report on Form 10-K for the fiscal year ended January 29, 2022. There were no significant changes to any of the critical accounting policies and estimates described in the Annual Report as of July 30, 2022.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Refer to Note 1 “Description of the Company and Basis of Presentation” within Item 1 “Financial Statements” of this Quarterly Report on Form 10-Q for a discussion of 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July 30, 2022, there was no material change in the market risks described in “Quantitative and Qualitative Disclosures About Market Risks” in the Company’s Annual Report on Form 10-K for the fiscal year ended January 29, 2022.</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the end of the period covered by this Quarterly Report on Form 10-Q, the Company carried out an evaluation, under the supervision and with the participation of the Company’s Disclosure Committee and management, including the Chief Executive Officer and the Chief Financial Officer, of the effectiveness of the design and operation of the Company’s disclosure controls and procedures pursuant to Rule 13a-15 of the Securities Exchange Act of 1934. Based on that evaluation, the Chief Executive Officer and Chief Financial Officer concluded that the Company’s disclosure controls and procedures were effective as of July 30, 2022.</w:t>
      </w:r>
    </w:p>
    <w:p>
      <w:pPr>
        <w:spacing w:after="0" w:line="1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most recent fiscal quarter that has materially affected, or that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0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August of 2019, Vesi Incorporated (“Vesi”) filed suit against the Company in the U.S. District Court for the Southern District of Ohio related to the Company’s licensing business and alleging breach of fiduciary duty, unfair competition, defamation, and tortious interference with prospective business relationships. The complaint seeks damages in an amount not less than $10.0 million for punitive damages, attorney fees, prejudgment interest, and any other additional relief. The Company has denied any liability and intends to vigorously defend itself in the case. In November 2019, the Company filed a counterclaim against the principals of Vesi as personal guarantors for monies owed to the Company by Vesi. The Company has filed a motion for summary judgement asking the Court to dismiss all claims with prejudice and grant judgement on its counterclaim. The motion is fully briefed and the Company is awaiting a decision from the Court. At this time, we are not able to estimate a possible loss or range of loss that may result from this matter or to determine whether such loss, if any, would have a material adverse effect on our financial condition or results of operations due to the fact that the Company is vigorously defending itself and management believes that the Company has a number of meritorious legal defenses.</w:t>
      </w:r>
    </w:p>
    <w:p>
      <w:pPr>
        <w:spacing w:after="0" w:line="5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is subject to other legal proceedings from time to time in the ordinary course of business, but does not believe any of these such claims would have a material adverse impact on the Company at this time.</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Except as follows, there have been no material changes to the risk factors previously set forth in the Company’s Annual Report on Form 10-K for the fiscal year ended January 29, 2022.</w:t>
      </w:r>
    </w:p>
    <w:p>
      <w:pPr>
        <w:spacing w:after="0" w:line="23" w:lineRule="exact"/>
        <w:rPr>
          <w:sz w:val="20"/>
          <w:szCs w:val="20"/>
          <w:color w:val="auto"/>
        </w:rPr>
      </w:pPr>
    </w:p>
    <w:p>
      <w:pPr>
        <w:jc w:val="both"/>
        <w:ind w:right="20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Pura Vida’s total assets are represented by goodwill, indefinite-lived intangible assets, and definite-lived intangible assets. We have taken impairment charges in the past for goodwill and indefinite-lived intangible assets and we could be required to take additional impairment charges in the future, which may adversely affect the company’s financial condition and results of operations.</w:t>
      </w:r>
    </w:p>
    <w:p>
      <w:pPr>
        <w:spacing w:after="0" w:line="207"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We used the purchase method of accounting to account for the acquisition of a majority interest in Pura Vida consummated on July 16, 2019. A portion of the purchase price for this business is allocated to identifiable tangible and intangible assets and assumed liabilities based on estimated fair values at the date of acquisition. Goodwill is measured indirectly as the excess of the sum of (1) the consideration transferred (including contingent consideration, if any) and (2) the fair value of any noncontrolling interest in the acquiree over the net assets acquired and liabilities assumed. The purchase price allocation resulted in a goodwill value of $44.3 million and a value of $61.7 million related to other intangible assets. The carrying value of these assets as of July 30, 2022, was $24.8 million and $32.8 million, respectively. We test goodwill and indefinite-lived intangible assets for impairment annually, or more frequently if events or changes in circumstances indicate that goodwill may be impaired. Definite-lived intangible assets are subject to impairment testing, similar to our long-lived assets. During our assessment for the fiscal 2023 test, we determined that the fair values of the Pura Vida reporting unit and the Pura Vida brand were less than their carrying values. The Company has experienced significantly lower sales from its Pura Vida e-commerce channel due to a decline in social and digital media effectiveness. These lower sales volumes had a negative impact on the fair value determination of the aforementioned assets. As a result, we recorded an impairment charge of $9.9 million and $19.4 million for the Pura Vida brand and goodwill, respectively, for the thirteen and twenty-six weeks ended July 30, 2022. While we consider our assumptions in the determination of the fair value of these assets to be reasonable, they are complex and highly subjective. Adverse changes in key assumptions in future periods may result in further declines in the fair value estimates of goodwill and the Pura Vida brand below their carrying value resulting in impairment charges, which could be material. Our key assumptions may be impacted by macroeconomic conditions, including inflationary pressures and the impact on consumer discretionary spending, supply chain challenges, as well as a sustained decline in stock price and potential changes in business strategy.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10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December 2021, the Company's board of directors approved a new share repurchase plan (the “2021 Share Repurchase Program”) which authorized Company management to utilize up to $50.0 million of available cash for repurchases of shares of the Company's common stock. The 2021 Share Repurchase Program was effective beginning December 13, 2021 and expires in December 2024.</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regarding the activity under the program during the thirteen weeks ended July 30, 2022 are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Maximum Approximate</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0" w:type="dxa"/>
            <w:vAlign w:val="bottom"/>
          </w:tcPr>
          <w:p>
            <w:pPr>
              <w:spacing w:after="0"/>
              <w:rPr>
                <w:sz w:val="12"/>
                <w:szCs w:val="12"/>
                <w:color w:val="auto"/>
              </w:rPr>
            </w:pPr>
          </w:p>
        </w:tc>
        <w:tc>
          <w:tcPr>
            <w:tcW w:w="17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00" w:type="dxa"/>
            <w:vAlign w:val="bottom"/>
          </w:tcPr>
          <w:p>
            <w:pPr>
              <w:spacing w:after="0"/>
              <w:rPr>
                <w:sz w:val="12"/>
                <w:szCs w:val="12"/>
                <w:color w:val="auto"/>
              </w:rPr>
            </w:pPr>
          </w:p>
        </w:tc>
        <w:tc>
          <w:tcPr>
            <w:tcW w:w="1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 Shares that</w:t>
            </w:r>
          </w:p>
        </w:tc>
        <w:tc>
          <w:tcPr>
            <w:tcW w:w="0" w:type="dxa"/>
            <w:vAlign w:val="bottom"/>
          </w:tcPr>
          <w:p>
            <w:pPr>
              <w:spacing w:after="0"/>
              <w:rPr>
                <w:sz w:val="1"/>
                <w:szCs w:val="1"/>
                <w:color w:val="auto"/>
              </w:rPr>
            </w:pPr>
          </w:p>
        </w:tc>
      </w:tr>
      <w:tr>
        <w:trPr>
          <w:trHeight w:val="146"/>
        </w:trPr>
        <w:tc>
          <w:tcPr>
            <w:tcW w:w="3540" w:type="dxa"/>
            <w:vAlign w:val="bottom"/>
            <w:vMerge w:val="restart"/>
          </w:tcPr>
          <w:p>
            <w:pPr>
              <w:ind w:left="15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8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Publicly Announced Plans or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jc w:val="center"/>
              <w:ind w:right="57"/>
              <w:spacing w:after="0" w:line="146"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98"/>
        </w:trPr>
        <w:tc>
          <w:tcPr>
            <w:tcW w:w="3540" w:type="dxa"/>
            <w:vAlign w:val="bottom"/>
            <w:vMerge w:val="continue"/>
          </w:tcPr>
          <w:p>
            <w:pPr>
              <w:spacing w:after="0"/>
              <w:rPr>
                <w:sz w:val="17"/>
                <w:szCs w:val="17"/>
                <w:color w:val="auto"/>
              </w:rPr>
            </w:pP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60" w:type="dxa"/>
            <w:vAlign w:val="bottom"/>
          </w:tcPr>
          <w:p>
            <w:pPr>
              <w:spacing w:after="0"/>
              <w:rPr>
                <w:sz w:val="17"/>
                <w:szCs w:val="17"/>
                <w:color w:val="auto"/>
              </w:rPr>
            </w:pP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Pr>
          <w:p>
            <w:pPr>
              <w:spacing w:after="0"/>
              <w:rPr>
                <w:sz w:val="17"/>
                <w:szCs w:val="17"/>
                <w:color w:val="auto"/>
              </w:rPr>
            </w:pP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Under the Plans or Program</w:t>
            </w:r>
          </w:p>
        </w:tc>
        <w:tc>
          <w:tcPr>
            <w:tcW w:w="0" w:type="dxa"/>
            <w:vAlign w:val="bottom"/>
          </w:tcPr>
          <w:p>
            <w:pPr>
              <w:spacing w:after="0"/>
              <w:rPr>
                <w:sz w:val="1"/>
                <w:szCs w:val="1"/>
                <w:color w:val="auto"/>
              </w:rPr>
            </w:pPr>
          </w:p>
        </w:tc>
      </w:tr>
      <w:tr>
        <w:trPr>
          <w:trHeight w:val="228"/>
        </w:trPr>
        <w:tc>
          <w:tcPr>
            <w:tcW w:w="3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 2022 - May 28, 2022</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633,603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633,603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31,367,443</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29, 2022 - July 2, 2022</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29,571,507</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3, 2022 - July 30, 2022</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59,120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29,315,514</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986,023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986,023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5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792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38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auto"/>
              </w:rPr>
              <w:t>a. Exhibits</w:t>
            </w: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80" w:type="dxa"/>
            <w:vAlign w:val="bottom"/>
            <w:gridSpan w:val="2"/>
          </w:tcPr>
          <w:p>
            <w:pPr>
              <w:jc w:val="center"/>
              <w:ind w:left="11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w:t>
            </w: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20" w:type="dxa"/>
            <w:vAlign w:val="bottom"/>
            <w:tcBorders>
              <w:bottom w:val="single" w:sz="8" w:color="auto"/>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CEO Section 302 Certification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CFO Section 302 Certification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Section 906 Certifications*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5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720" w:hanging="694"/>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not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640" w:type="dxa"/>
            <w:vAlign w:val="bottom"/>
          </w:tcPr>
          <w:p>
            <w:pPr>
              <w:spacing w:after="0"/>
              <w:rPr>
                <w:sz w:val="17"/>
                <w:szCs w:val="17"/>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Vera Bradley, Inc.</w:t>
            </w:r>
          </w:p>
        </w:tc>
      </w:tr>
      <w:tr>
        <w:trPr>
          <w:trHeight w:val="234"/>
        </w:trPr>
        <w:tc>
          <w:tcPr>
            <w:tcW w:w="56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508"/>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7, 2022</w:t>
            </w:r>
          </w:p>
        </w:tc>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Enwright</w:t>
            </w:r>
          </w:p>
        </w:tc>
      </w:tr>
      <w:tr>
        <w:trPr>
          <w:trHeight w:val="218"/>
        </w:trPr>
        <w:tc>
          <w:tcPr>
            <w:tcW w:w="564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John Enwright</w:t>
            </w:r>
          </w:p>
        </w:tc>
      </w:tr>
      <w:tr>
        <w:trPr>
          <w:trHeight w:val="234"/>
        </w:trPr>
        <w:tc>
          <w:tcPr>
            <w:tcW w:w="56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20"/>
          </w:cols>
          <w:pgMar w:left="320" w:top="117" w:right="35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Wallstrom, certify that:</w:t>
      </w:r>
    </w:p>
    <w:p>
      <w:pPr>
        <w:spacing w:after="0" w:line="104"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 Bradley, Inc.;</w:t>
      </w:r>
    </w:p>
    <w:p>
      <w:pPr>
        <w:spacing w:after="0" w:line="90"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0"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right="140" w:hanging="644"/>
        <w:spacing w:after="0" w:line="273" w:lineRule="auto"/>
        <w:tabs>
          <w:tab w:leader="none" w:pos="129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132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7, 2022</w:t>
            </w:r>
          </w:p>
        </w:tc>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Wallstrom</w:t>
            </w:r>
          </w:p>
        </w:tc>
      </w:tr>
      <w:tr>
        <w:trPr>
          <w:trHeight w:val="216"/>
        </w:trPr>
        <w:tc>
          <w:tcPr>
            <w:tcW w:w="498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Wallstrom</w:t>
            </w:r>
          </w:p>
        </w:tc>
      </w:tr>
      <w:tr>
        <w:trPr>
          <w:trHeight w:val="236"/>
        </w:trPr>
        <w:tc>
          <w:tcPr>
            <w:tcW w:w="498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bl>
    <w:p>
      <w:pPr>
        <w:sectPr>
          <w:pgSz w:w="11900" w:h="16838" w:orient="portrait"/>
          <w:cols w:equalWidth="0" w:num="1">
            <w:col w:w="11240"/>
          </w:cols>
          <w:pgMar w:left="320" w:top="88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Enwright, certify that:</w:t>
      </w:r>
    </w:p>
    <w:p>
      <w:pPr>
        <w:spacing w:after="0" w:line="104"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 Bradley, Inc.;</w:t>
      </w:r>
    </w:p>
    <w:p>
      <w:pPr>
        <w:spacing w:after="0" w:line="90"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0"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right="140" w:hanging="644"/>
        <w:spacing w:after="0" w:line="273" w:lineRule="auto"/>
        <w:tabs>
          <w:tab w:leader="none" w:pos="129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132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7, 2022</w:t>
            </w:r>
          </w:p>
        </w:tc>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Enwright</w:t>
            </w:r>
          </w:p>
        </w:tc>
      </w:tr>
      <w:tr>
        <w:trPr>
          <w:trHeight w:val="216"/>
        </w:trPr>
        <w:tc>
          <w:tcPr>
            <w:tcW w:w="498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Enwright</w:t>
            </w:r>
          </w:p>
        </w:tc>
      </w:tr>
      <w:tr>
        <w:trPr>
          <w:trHeight w:val="236"/>
        </w:trPr>
        <w:tc>
          <w:tcPr>
            <w:tcW w:w="498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bl>
    <w:p>
      <w:pPr>
        <w:sectPr>
          <w:pgSz w:w="11900" w:h="16838" w:orient="portrait"/>
          <w:cols w:equalWidth="0" w:num="1">
            <w:col w:w="11240"/>
          </w:cols>
          <w:pgMar w:left="320" w:top="88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 Robert Wallstrom, the Chief Executive Officer of Vera Bradley, Inc., certify that (i) the quarterly report on Form 10-Q for the fiscal quarter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30, 2022 (the “Report”) fully complies with the requirements of Section 13(a) or 15(d) of the Securities Exchange Act of 1934, and (ii) the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contained in the Report fairly presents, in all material respects, the financial condition and results of operations of Vera Bradley, Inc. as of the dates and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periods set forth therein.</w:t>
      </w:r>
    </w:p>
    <w:p>
      <w:pPr>
        <w:spacing w:after="0" w:line="3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Robert Wallstrom</w:t>
      </w:r>
    </w:p>
    <w:p>
      <w:pPr>
        <w:spacing w:after="0" w:line="2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8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September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Date</w:t>
      </w:r>
    </w:p>
    <w:p>
      <w:pPr>
        <w:spacing w:after="0" w:line="347" w:lineRule="exact"/>
        <w:rPr>
          <w:sz w:val="20"/>
          <w:szCs w:val="20"/>
          <w:color w:val="auto"/>
        </w:rPr>
      </w:pPr>
    </w:p>
    <w:p>
      <w:pPr>
        <w:ind w:right="80" w:firstLine="180"/>
        <w:spacing w:after="0" w:line="261" w:lineRule="auto"/>
        <w:rPr>
          <w:sz w:val="20"/>
          <w:szCs w:val="20"/>
          <w:color w:val="auto"/>
        </w:rPr>
      </w:pPr>
      <w:r>
        <w:rPr>
          <w:rFonts w:ascii="Times New Roman" w:cs="Times New Roman" w:eastAsia="Times New Roman" w:hAnsi="Times New Roman"/>
          <w:sz w:val="18"/>
          <w:szCs w:val="18"/>
          <w:color w:val="auto"/>
        </w:rPr>
        <w:t>I, John Enwright, the Chief Financial Officer of Vera Bradley, Inc., certify that (i) the quarterly report on Form 10-Q for the fiscal quarter ended July 30, 2022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John Enwright</w:t>
      </w:r>
    </w:p>
    <w:p>
      <w:pPr>
        <w:spacing w:after="0" w:line="2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8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September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Date</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1."/>
      <w:numFmt w:val="decimal"/>
      <w:start w:val="1"/>
    </w:lvl>
    <w:lvl w:ilvl="1">
      <w:lvlJc w:val="left"/>
      <w:lvlText w:val="•"/>
      <w:numFmt w:val="bullet"/>
      <w:start w:val="1"/>
    </w:lvl>
  </w:abstractNum>
  <w:abstractNum w:abstractNumId="4">
    <w:nsid w:val="436C6125"/>
    <w:multiLevelType w:val="hybridMultilevel"/>
    <w:lvl w:ilvl="0">
      <w:lvlJc w:val="left"/>
      <w:lvlText w:val="%1."/>
      <w:numFmt w:val="decimal"/>
      <w:start w:val="2"/>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1)"/>
      <w:numFmt w:val="decimal"/>
      <w:start w:val="1"/>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1."/>
      <w:numFmt w:val="decimal"/>
      <w:start w:val="3"/>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1."/>
      <w:numFmt w:val="decimal"/>
      <w:start w:val="4"/>
    </w:lvl>
  </w:abstractNum>
  <w:abstractNum w:abstractNumId="12">
    <w:nsid w:val="8EDBDAB"/>
    <w:multiLevelType w:val="hybridMultilevel"/>
    <w:lvl w:ilvl="0">
      <w:lvlJc w:val="left"/>
      <w:lvlText w:val="%1."/>
      <w:numFmt w:val="decimal"/>
      <w:start w:val="5"/>
    </w:lvl>
    <w:lvl w:ilvl="1">
      <w:lvlJc w:val="left"/>
      <w:lvlText w:val="•"/>
      <w:numFmt w:val="bullet"/>
      <w:start w:val="1"/>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1."/>
      <w:numFmt w:val="decimal"/>
      <w:start w:val="6"/>
    </w:lvl>
  </w:abstractNum>
  <w:abstractNum w:abstractNumId="15">
    <w:nsid w:val="B03E0C6"/>
    <w:multiLevelType w:val="hybridMultilevel"/>
    <w:lvl w:ilvl="0">
      <w:lvlJc w:val="left"/>
      <w:lvlText w:val="%1."/>
      <w:numFmt w:val="decimal"/>
      <w:start w:val="7"/>
    </w:lvl>
  </w:abstractNum>
  <w:abstractNum w:abstractNumId="16">
    <w:nsid w:val="189A769B"/>
    <w:multiLevelType w:val="hybridMultilevel"/>
    <w:lvl w:ilvl="0">
      <w:lvlJc w:val="left"/>
      <w:lvlText w:val="%1."/>
      <w:numFmt w:val="decimal"/>
      <w:start w:val="9"/>
    </w:lvl>
  </w:abstractNum>
  <w:abstractNum w:abstractNumId="17">
    <w:nsid w:val="54E49EB4"/>
    <w:multiLevelType w:val="hybridMultilevel"/>
    <w:lvl w:ilvl="0">
      <w:lvlJc w:val="left"/>
      <w:lvlText w:val="%1."/>
      <w:numFmt w:val="decimal"/>
      <w:start w:val="10"/>
    </w:lvl>
  </w:abstractNum>
  <w:abstractNum w:abstractNumId="18">
    <w:nsid w:val="71F32454"/>
    <w:multiLevelType w:val="hybridMultilevel"/>
    <w:lvl w:ilvl="0">
      <w:lvlJc w:val="left"/>
      <w:lvlText w:val="%1."/>
      <w:numFmt w:val="decimal"/>
      <w:start w:val="12"/>
    </w:lvl>
  </w:abstractNum>
  <w:abstractNum w:abstractNumId="19">
    <w:nsid w:val="2CA88611"/>
    <w:multiLevelType w:val="hybridMultilevel"/>
    <w:lvl w:ilvl="0">
      <w:lvlJc w:val="left"/>
      <w:lvlText w:val="%1."/>
      <w:numFmt w:val="decimal"/>
      <w:start w:val="13"/>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1."/>
      <w:numFmt w:val="decimal"/>
      <w:start w:val="14"/>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1."/>
      <w:numFmt w:val="decimal"/>
      <w:start w:val="15"/>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1)"/>
      <w:numFmt w:val="decimal"/>
      <w:start w:val="1"/>
    </w:lvl>
  </w:abstractNum>
  <w:abstractNum w:abstractNumId="33">
    <w:nsid w:val="5577F8E1"/>
    <w:multiLevelType w:val="hybridMultilevel"/>
    <w:lvl w:ilvl="0">
      <w:lvlJc w:val="left"/>
      <w:lvlText w:val="*"/>
      <w:numFmt w:val="bullet"/>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2022-09-07T14:39:03Z</dcterms:created>
  <dcterms:modified xsi:type="dcterms:W3CDTF">2022-09-07T14:39:03Z</dcterms:modified>
</cp:coreProperties>
</file>