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02026_090639.xml.htm"/>
      <w:bookmarkStart w:id="1" w:name="ksform406102026_0906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Dely Mark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VERA BRADLEY,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12420 STONEBRIDGE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Bradley,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350,872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359,982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357,071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fulfill tax withholding obligations with respect to the vesting of a previously granted restricted stock unit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earned performance share award settled in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Alyson Bohren, attorney-in-fact for Mark C. Dely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983" TargetMode="External"/><Relationship Id="rId5" Type="http://schemas.openxmlformats.org/officeDocument/2006/relationships/hyperlink" Target="http://www.sec.gov/cgi-bin/browse-edgar?action=getcompany&amp;CIK=000149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3361</Characters>
  <CharactersWithSpaces>3907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