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574675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540385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400"/>
        <w:spacing w:after="0"/>
        <w:rPr>
          <w:sz w:val="20"/>
          <w:szCs w:val="20"/>
          <w:color w:val="auto"/>
        </w:rPr>
      </w:pPr>
      <w:r>
        <w:rPr>
          <w:rFonts w:ascii="Arial" w:cs="Arial" w:eastAsia="Arial" w:hAnsi="Arial"/>
          <w:sz w:val="18"/>
          <w:szCs w:val="18"/>
          <w:color w:val="auto"/>
        </w:rPr>
        <w:t>___________________________</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October 31, 2020</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151" w:lineRule="exact"/>
        <w:rPr>
          <w:sz w:val="24"/>
          <w:szCs w:val="24"/>
          <w:color w:val="auto"/>
        </w:rPr>
      </w:pPr>
    </w:p>
    <w:p>
      <w:pPr>
        <w:ind w:left="33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-7620</wp:posOffset>
            </wp:positionV>
            <wp:extent cx="1294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14605</wp:posOffset>
            </wp:positionV>
            <wp:extent cx="2477135" cy="1251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7135" cy="12515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VERA BRADLEY, INC.</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4"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5"/>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5"/>
              </w:rPr>
              <w:t>Indiana</w:t>
            </w:r>
          </w:p>
        </w:tc>
        <w:tc>
          <w:tcPr>
            <w:tcW w:w="5100" w:type="dxa"/>
            <w:vAlign w:val="bottom"/>
          </w:tcPr>
          <w:p>
            <w:pPr>
              <w:jc w:val="right"/>
              <w:ind w:right="60"/>
              <w:spacing w:after="0"/>
              <w:rPr>
                <w:sz w:val="20"/>
                <w:szCs w:val="20"/>
                <w:color w:val="auto"/>
              </w:rPr>
            </w:pPr>
            <w:r>
              <w:rPr>
                <w:rFonts w:ascii="Arial" w:cs="Arial" w:eastAsia="Arial" w:hAnsi="Arial"/>
                <w:sz w:val="18"/>
                <w:szCs w:val="18"/>
                <w:b w:val="1"/>
                <w:bCs w:val="1"/>
                <w:color w:val="auto"/>
              </w:rPr>
              <w:t>27-2935063</w:t>
            </w:r>
          </w:p>
        </w:tc>
        <w:tc>
          <w:tcPr>
            <w:tcW w:w="0" w:type="dxa"/>
            <w:vAlign w:val="bottom"/>
          </w:tcPr>
          <w:p>
            <w:pPr>
              <w:spacing w:after="0"/>
              <w:rPr>
                <w:sz w:val="1"/>
                <w:szCs w:val="1"/>
                <w:color w:val="auto"/>
              </w:rPr>
            </w:pPr>
          </w:p>
        </w:tc>
      </w:tr>
      <w:tr>
        <w:trPr>
          <w:trHeight w:val="144"/>
        </w:trPr>
        <w:tc>
          <w:tcPr>
            <w:tcW w:w="2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48"/>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12420 Stonebridge Road,</w:t>
            </w:r>
          </w:p>
        </w:tc>
        <w:tc>
          <w:tcPr>
            <w:tcW w:w="5100" w:type="dxa"/>
            <w:vAlign w:val="bottom"/>
            <w:vMerge w:val="restart"/>
          </w:tcPr>
          <w:p>
            <w:pPr>
              <w:jc w:val="right"/>
              <w:ind w:right="260"/>
              <w:spacing w:after="0"/>
              <w:rPr>
                <w:sz w:val="20"/>
                <w:szCs w:val="20"/>
                <w:color w:val="auto"/>
              </w:rPr>
            </w:pPr>
            <w:r>
              <w:rPr>
                <w:rFonts w:ascii="Arial" w:cs="Arial" w:eastAsia="Arial" w:hAnsi="Arial"/>
                <w:sz w:val="18"/>
                <w:szCs w:val="18"/>
                <w:b w:val="1"/>
                <w:bCs w:val="1"/>
                <w:color w:val="auto"/>
              </w:rPr>
              <w:t>46783</w:t>
            </w:r>
          </w:p>
        </w:tc>
        <w:tc>
          <w:tcPr>
            <w:tcW w:w="0" w:type="dxa"/>
            <w:vAlign w:val="bottom"/>
          </w:tcPr>
          <w:p>
            <w:pPr>
              <w:spacing w:after="0"/>
              <w:rPr>
                <w:sz w:val="1"/>
                <w:szCs w:val="1"/>
                <w:color w:val="auto"/>
              </w:rPr>
            </w:pPr>
          </w:p>
        </w:tc>
      </w:tr>
      <w:tr>
        <w:trPr>
          <w:trHeight w:val="220"/>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Arial" w:cs="Arial" w:eastAsia="Arial" w:hAnsi="Arial"/>
                <w:sz w:val="18"/>
                <w:szCs w:val="18"/>
                <w:b w:val="1"/>
                <w:bCs w:val="1"/>
                <w:color w:val="auto"/>
              </w:rPr>
              <w:t>(877) 708-8372</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48"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2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60"/>
          </w:cols>
          <w:pgMar w:left="320" w:top="229"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50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9" w:lineRule="exact"/>
        <w:rPr>
          <w:sz w:val="20"/>
          <w:szCs w:val="20"/>
          <w:color w:val="auto"/>
        </w:rPr>
      </w:pPr>
    </w:p>
    <w:p>
      <w:pPr>
        <w:jc w:val="both"/>
        <w:ind w:left="2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7" w:lineRule="exact"/>
        <w:rPr>
          <w:sz w:val="20"/>
          <w:szCs w:val="20"/>
          <w:color w:val="auto"/>
        </w:rPr>
      </w:pPr>
    </w:p>
    <w:p>
      <w:pPr>
        <w:ind w:right="166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registrant had 33,414,490 shares of its common stock outstanding as of December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909320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86360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52070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00"/>
          </w:cols>
          <w:pgMar w:left="320" w:top="322"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540" w:type="dxa"/>
            <w:vAlign w:val="bottom"/>
            <w:gridSpan w:val="10"/>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20" w:type="dxa"/>
            <w:vAlign w:val="bottom"/>
            <w:gridSpan w:val="5"/>
          </w:tcPr>
          <w:p>
            <w:pPr>
              <w:ind w:left="16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0540" w:type="dxa"/>
            <w:vAlign w:val="bottom"/>
            <w:gridSpan w:val="10"/>
          </w:tcPr>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FINANCIAL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00" w:type="dxa"/>
            <w:vAlign w:val="bottom"/>
            <w:gridSpan w:val="9"/>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 (unaudited)</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40" w:type="dxa"/>
            <w:vAlign w:val="bottom"/>
          </w:tcPr>
          <w:p>
            <w:pPr>
              <w:spacing w:after="0"/>
              <w:rPr>
                <w:sz w:val="24"/>
                <w:szCs w:val="24"/>
                <w:color w:val="auto"/>
              </w:rPr>
            </w:pPr>
          </w:p>
        </w:tc>
        <w:tc>
          <w:tcPr>
            <w:tcW w:w="9600" w:type="dxa"/>
            <w:vAlign w:val="bottom"/>
            <w:gridSpan w:val="9"/>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as of October 31, 2020, and February 1, 2020</w:t>
              </w:r>
            </w:hyperlink>
          </w:p>
        </w:tc>
        <w:tc>
          <w:tcPr>
            <w:tcW w:w="6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9600" w:type="dxa"/>
            <w:vAlign w:val="bottom"/>
            <w:gridSpan w:val="9"/>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Operations for the Thirteen and Thirty-Nine Weeks Ended October 31, 2020, and</w:t>
              </w:r>
            </w:hyperlink>
          </w:p>
        </w:tc>
        <w:tc>
          <w:tcPr>
            <w:tcW w:w="660" w:type="dxa"/>
            <w:vAlign w:val="bottom"/>
            <w:vMerge w:val="restart"/>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November 2, 2019</w:t>
              </w:r>
            </w:hyperlink>
          </w:p>
        </w:tc>
        <w:tc>
          <w:tcPr>
            <w:tcW w:w="7360" w:type="dxa"/>
            <w:vAlign w:val="bottom"/>
            <w:tcBorders>
              <w:top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40" w:type="dxa"/>
            <w:vAlign w:val="bottom"/>
          </w:tcPr>
          <w:p>
            <w:pPr>
              <w:spacing w:after="0"/>
              <w:rPr>
                <w:sz w:val="22"/>
                <w:szCs w:val="22"/>
                <w:color w:val="auto"/>
              </w:rPr>
            </w:pPr>
          </w:p>
        </w:tc>
        <w:tc>
          <w:tcPr>
            <w:tcW w:w="9600" w:type="dxa"/>
            <w:vAlign w:val="bottom"/>
            <w:gridSpan w:val="9"/>
          </w:tcPr>
          <w:p>
            <w:pPr>
              <w:spacing w:after="0"/>
              <w:rPr>
                <w:rFonts w:ascii="Arial" w:cs="Arial" w:eastAsia="Arial" w:hAnsi="Arial"/>
                <w:sz w:val="18"/>
                <w:szCs w:val="18"/>
                <w:color w:val="0000FF"/>
                <w:w w:val="97"/>
              </w:rPr>
            </w:pPr>
            <w:hyperlink w:anchor="page6">
              <w:r>
                <w:rPr>
                  <w:rFonts w:ascii="Arial" w:cs="Arial" w:eastAsia="Arial" w:hAnsi="Arial"/>
                  <w:sz w:val="18"/>
                  <w:szCs w:val="18"/>
                  <w:color w:val="0000FF"/>
                  <w:w w:val="97"/>
                </w:rPr>
                <w:t>Condensed Consolidated Statements of Comprehensive Income for the Thirteen and Thirty-Nine Weeks Ended October 31,</w:t>
              </w:r>
            </w:hyperlink>
          </w:p>
        </w:tc>
        <w:tc>
          <w:tcPr>
            <w:tcW w:w="660" w:type="dxa"/>
            <w:vAlign w:val="bottom"/>
            <w:vMerge w:val="restart"/>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88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2020, and November 2, 2019</w:t>
              </w:r>
            </w:hyperlink>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spacing w:after="0"/>
              <w:rPr>
                <w:sz w:val="22"/>
                <w:szCs w:val="22"/>
                <w:color w:val="auto"/>
              </w:rPr>
            </w:pPr>
          </w:p>
        </w:tc>
        <w:tc>
          <w:tcPr>
            <w:tcW w:w="9600" w:type="dxa"/>
            <w:vAlign w:val="bottom"/>
            <w:gridSpan w:val="9"/>
          </w:tcPr>
          <w:p>
            <w:pPr>
              <w:spacing w:after="0"/>
              <w:rPr>
                <w:rFonts w:ascii="Arial" w:cs="Arial" w:eastAsia="Arial" w:hAnsi="Arial"/>
                <w:sz w:val="18"/>
                <w:szCs w:val="18"/>
                <w:color w:val="0000FF"/>
                <w:w w:val="94"/>
              </w:rPr>
            </w:pPr>
            <w:hyperlink w:anchor="page7">
              <w:r>
                <w:rPr>
                  <w:rFonts w:ascii="Arial" w:cs="Arial" w:eastAsia="Arial" w:hAnsi="Arial"/>
                  <w:sz w:val="18"/>
                  <w:szCs w:val="18"/>
                  <w:color w:val="0000FF"/>
                  <w:w w:val="94"/>
                </w:rPr>
                <w:t>Condensed Consolidated Statements of Shareholders' Equity for the Thirteen and Thirty-Nine Weeks Ended October 31, 2020,</w:t>
              </w:r>
            </w:hyperlink>
          </w:p>
        </w:tc>
        <w:tc>
          <w:tcPr>
            <w:tcW w:w="660" w:type="dxa"/>
            <w:vAlign w:val="bottom"/>
            <w:vMerge w:val="restart"/>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and November 2, 2019</w:t>
              </w:r>
            </w:hyperlink>
          </w:p>
        </w:tc>
        <w:tc>
          <w:tcPr>
            <w:tcW w:w="7460" w:type="dxa"/>
            <w:vAlign w:val="bottom"/>
            <w:tcBorders>
              <w:top w:val="single" w:sz="8" w:color="0000FF"/>
            </w:tcBorders>
            <w:gridSpan w:val="5"/>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9600" w:type="dxa"/>
            <w:vAlign w:val="bottom"/>
            <w:gridSpan w:val="9"/>
          </w:tcPr>
          <w:p>
            <w:pPr>
              <w:spacing w:after="0"/>
              <w:rPr>
                <w:rFonts w:ascii="Arial" w:cs="Arial" w:eastAsia="Arial" w:hAnsi="Arial"/>
                <w:sz w:val="18"/>
                <w:szCs w:val="18"/>
                <w:color w:val="0000FF"/>
                <w:w w:val="98"/>
              </w:rPr>
            </w:pPr>
            <w:hyperlink w:anchor="page9">
              <w:r>
                <w:rPr>
                  <w:rFonts w:ascii="Arial" w:cs="Arial" w:eastAsia="Arial" w:hAnsi="Arial"/>
                  <w:sz w:val="18"/>
                  <w:szCs w:val="18"/>
                  <w:color w:val="0000FF"/>
                  <w:w w:val="98"/>
                </w:rPr>
                <w:t>Condensed Consolidated Statements of Cash Flows for the Thirty-Nine Weeks Ended October 31, 2020, and November 2,</w:t>
              </w:r>
            </w:hyperlink>
          </w:p>
        </w:tc>
        <w:tc>
          <w:tcPr>
            <w:tcW w:w="660" w:type="dxa"/>
            <w:vAlign w:val="bottom"/>
            <w:vMerge w:val="restart"/>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9">
              <w:r>
                <w:rPr>
                  <w:rFonts w:ascii="Arial" w:cs="Arial" w:eastAsia="Arial" w:hAnsi="Arial"/>
                  <w:sz w:val="18"/>
                  <w:szCs w:val="18"/>
                  <w:color w:val="0000FF"/>
                  <w:w w:val="84"/>
                </w:rPr>
                <w:t>2019</w:t>
              </w:r>
            </w:hyperlink>
          </w:p>
        </w:tc>
        <w:tc>
          <w:tcPr>
            <w:tcW w:w="9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4"/>
                <w:szCs w:val="24"/>
                <w:color w:val="auto"/>
              </w:rPr>
            </w:pPr>
          </w:p>
        </w:tc>
        <w:tc>
          <w:tcPr>
            <w:tcW w:w="9600" w:type="dxa"/>
            <w:vAlign w:val="bottom"/>
            <w:gridSpan w:val="9"/>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the Condensed Consolidated Financial Statements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c>
          <w:tcPr>
            <w:tcW w:w="0" w:type="dxa"/>
            <w:vAlign w:val="bottom"/>
          </w:tcPr>
          <w:p>
            <w:pPr>
              <w:spacing w:after="0"/>
              <w:rPr>
                <w:sz w:val="1"/>
                <w:szCs w:val="1"/>
                <w:color w:val="auto"/>
              </w:rPr>
            </w:pPr>
          </w:p>
        </w:tc>
      </w:tr>
      <w:tr>
        <w:trPr>
          <w:trHeight w:val="283"/>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9600" w:type="dxa"/>
            <w:vAlign w:val="bottom"/>
            <w:gridSpan w:val="9"/>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83"/>
        </w:trPr>
        <w:tc>
          <w:tcPr>
            <w:tcW w:w="940" w:type="dxa"/>
            <w:vAlign w:val="bottom"/>
          </w:tcPr>
          <w:p>
            <w:pPr>
              <w:ind w:left="20"/>
              <w:spacing w:after="0"/>
              <w:rPr>
                <w:sz w:val="20"/>
                <w:szCs w:val="20"/>
                <w:color w:val="auto"/>
              </w:rPr>
            </w:pPr>
            <w:r>
              <w:rPr>
                <w:rFonts w:ascii="Arial" w:cs="Arial" w:eastAsia="Arial" w:hAnsi="Arial"/>
                <w:sz w:val="18"/>
                <w:szCs w:val="18"/>
                <w:color w:val="auto"/>
              </w:rPr>
              <w:t>Item 3.</w:t>
            </w:r>
          </w:p>
        </w:tc>
        <w:tc>
          <w:tcPr>
            <w:tcW w:w="9600" w:type="dxa"/>
            <w:vAlign w:val="bottom"/>
            <w:gridSpan w:val="9"/>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83"/>
        </w:trPr>
        <w:tc>
          <w:tcPr>
            <w:tcW w:w="940" w:type="dxa"/>
            <w:vAlign w:val="bottom"/>
          </w:tcPr>
          <w:p>
            <w:pPr>
              <w:ind w:left="20"/>
              <w:spacing w:after="0"/>
              <w:rPr>
                <w:sz w:val="20"/>
                <w:szCs w:val="20"/>
                <w:color w:val="auto"/>
              </w:rPr>
            </w:pPr>
            <w:r>
              <w:rPr>
                <w:rFonts w:ascii="Arial" w:cs="Arial" w:eastAsia="Arial" w:hAnsi="Arial"/>
                <w:sz w:val="18"/>
                <w:szCs w:val="18"/>
                <w:color w:val="auto"/>
              </w:rPr>
              <w:t>Item 4.</w:t>
            </w:r>
          </w:p>
        </w:tc>
        <w:tc>
          <w:tcPr>
            <w:tcW w:w="9600" w:type="dxa"/>
            <w:vAlign w:val="bottom"/>
            <w:gridSpan w:val="9"/>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Controls and Procedures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84"/>
        </w:trPr>
        <w:tc>
          <w:tcPr>
            <w:tcW w:w="10540" w:type="dxa"/>
            <w:vAlign w:val="bottom"/>
            <w:gridSpan w:val="10"/>
          </w:tcPr>
          <w:p>
            <w:pPr>
              <w:ind w:left="20"/>
              <w:spacing w:after="0"/>
              <w:rPr>
                <w:rFonts w:ascii="Arial" w:cs="Arial" w:eastAsia="Arial" w:hAnsi="Arial"/>
                <w:sz w:val="18"/>
                <w:szCs w:val="18"/>
                <w:b w:val="1"/>
                <w:bCs w:val="1"/>
                <w:u w:val="single" w:color="auto"/>
                <w:color w:val="0000FF"/>
              </w:rPr>
            </w:pPr>
            <w:hyperlink w:anchor="page44">
              <w:r>
                <w:rPr>
                  <w:rFonts w:ascii="Arial" w:cs="Arial" w:eastAsia="Arial" w:hAnsi="Arial"/>
                  <w:sz w:val="18"/>
                  <w:szCs w:val="18"/>
                  <w:b w:val="1"/>
                  <w:bCs w:val="1"/>
                  <w:u w:val="single" w:color="auto"/>
                  <w:color w:val="0000FF"/>
                </w:rPr>
                <w:t>PART II.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00" w:type="dxa"/>
            <w:vAlign w:val="bottom"/>
            <w:gridSpan w:val="9"/>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Legal Proceedings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83"/>
        </w:trPr>
        <w:tc>
          <w:tcPr>
            <w:tcW w:w="940" w:type="dxa"/>
            <w:vAlign w:val="bottom"/>
          </w:tcPr>
          <w:p>
            <w:pPr>
              <w:ind w:left="20"/>
              <w:spacing w:after="0"/>
              <w:rPr>
                <w:sz w:val="20"/>
                <w:szCs w:val="20"/>
                <w:color w:val="auto"/>
              </w:rPr>
            </w:pPr>
            <w:r>
              <w:rPr>
                <w:rFonts w:ascii="Arial" w:cs="Arial" w:eastAsia="Arial" w:hAnsi="Arial"/>
                <w:sz w:val="18"/>
                <w:szCs w:val="18"/>
                <w:color w:val="auto"/>
              </w:rPr>
              <w:t>Item 1A.</w:t>
            </w:r>
          </w:p>
        </w:tc>
        <w:tc>
          <w:tcPr>
            <w:tcW w:w="9600" w:type="dxa"/>
            <w:vAlign w:val="bottom"/>
            <w:gridSpan w:val="9"/>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Risk Factors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83"/>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9600" w:type="dxa"/>
            <w:vAlign w:val="bottom"/>
            <w:gridSpan w:val="9"/>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Unregistered Sales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c>
          <w:tcPr>
            <w:tcW w:w="0" w:type="dxa"/>
            <w:vAlign w:val="bottom"/>
          </w:tcPr>
          <w:p>
            <w:pPr>
              <w:spacing w:after="0"/>
              <w:rPr>
                <w:sz w:val="1"/>
                <w:szCs w:val="1"/>
                <w:color w:val="auto"/>
              </w:rPr>
            </w:pPr>
          </w:p>
        </w:tc>
      </w:tr>
      <w:tr>
        <w:trPr>
          <w:trHeight w:val="283"/>
        </w:trPr>
        <w:tc>
          <w:tcPr>
            <w:tcW w:w="940" w:type="dxa"/>
            <w:vAlign w:val="bottom"/>
          </w:tcPr>
          <w:p>
            <w:pPr>
              <w:ind w:left="20"/>
              <w:spacing w:after="0"/>
              <w:rPr>
                <w:sz w:val="20"/>
                <w:szCs w:val="20"/>
                <w:color w:val="auto"/>
              </w:rPr>
            </w:pPr>
            <w:r>
              <w:rPr>
                <w:rFonts w:ascii="Arial" w:cs="Arial" w:eastAsia="Arial" w:hAnsi="Arial"/>
                <w:sz w:val="18"/>
                <w:szCs w:val="18"/>
                <w:color w:val="auto"/>
              </w:rPr>
              <w:t>Item 6.</w:t>
            </w:r>
          </w:p>
        </w:tc>
        <w:tc>
          <w:tcPr>
            <w:tcW w:w="9600" w:type="dxa"/>
            <w:vAlign w:val="bottom"/>
            <w:gridSpan w:val="9"/>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Exhibits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99" w:lineRule="exact"/>
        <w:rPr>
          <w:sz w:val="20"/>
          <w:szCs w:val="20"/>
          <w:color w:val="auto"/>
        </w:rPr>
      </w:pPr>
    </w:p>
    <w:p>
      <w:pPr>
        <w:ind w:left="660" w:right="620" w:hanging="328"/>
        <w:spacing w:after="0" w:line="3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pandemics, including the continued outbreak of the novel coronavirus (COVID-19) and the measures taken by governmental authorities and other actors to address it, which may precipitate or exacerbate other risks and/or uncertainties;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civil unrest and its impact on consumer behavior and potential damage or closures to our locations;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 including our Vision 20/20 initiatives;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declines in our comparable sales;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103" w:lineRule="exact"/>
        <w:rPr>
          <w:rFonts w:ascii="Arial" w:cs="Arial" w:eastAsia="Arial" w:hAnsi="Arial"/>
          <w:sz w:val="18"/>
          <w:szCs w:val="18"/>
          <w:color w:val="auto"/>
        </w:rPr>
      </w:pPr>
    </w:p>
    <w:p>
      <w:pPr>
        <w:ind w:left="660" w:right="180" w:hanging="328"/>
        <w:spacing w:after="0" w:line="3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 including as may be related to the continued outbreak of COVID-19;</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that could lead to increased product costs and lower profit margins;</w:t>
      </w:r>
    </w:p>
    <w:p>
      <w:pPr>
        <w:spacing w:after="0" w:line="103" w:lineRule="exact"/>
        <w:rPr>
          <w:rFonts w:ascii="Arial" w:cs="Arial" w:eastAsia="Arial" w:hAnsi="Arial"/>
          <w:sz w:val="18"/>
          <w:szCs w:val="18"/>
          <w:color w:val="auto"/>
        </w:rPr>
      </w:pPr>
    </w:p>
    <w:p>
      <w:pPr>
        <w:ind w:left="660" w:right="660" w:hanging="328"/>
        <w:spacing w:after="0" w:line="3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Pura Vida acquisition benefits to materialize as expected, including the possibility that the business may not perform as anticipated;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integration strategies related to the Pura Vida business.</w:t>
      </w:r>
    </w:p>
    <w:p>
      <w:pPr>
        <w:spacing w:after="0" w:line="21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a discussion of risks and uncertainties that could cause actual results to differ materially from those contained in our forward-looking statements, please refer to “Risk Factors” in Item 1A of our Annual Report on Form 10-K for the fiscal year ended February 1, 2020, as well as in Item 1A herein.</w:t>
      </w:r>
    </w:p>
    <w:p>
      <w:pPr>
        <w:spacing w:after="0" w:line="9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4"/>
                <w:szCs w:val="14"/>
                <w:color w:val="auto"/>
              </w:rPr>
            </w:pPr>
          </w:p>
        </w:tc>
        <w:tc>
          <w:tcPr>
            <w:tcW w:w="1200" w:type="dxa"/>
            <w:vAlign w:val="bottom"/>
          </w:tcPr>
          <w:p>
            <w:pPr>
              <w:jc w:val="right"/>
              <w:ind w:right="259"/>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49,917</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8,977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24,290</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141,588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123,606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receivable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10,956</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218,789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Operating right-of-use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97,534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114,790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73,027</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49,318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56,305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14,912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7,656</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541,174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535,061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Redeemable Noncontrolling Interest,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27,136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20,235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employment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11,412</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Short-term operating lease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21,347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Earn-out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Other accrued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13,850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07"/>
        </w:trPr>
        <w:tc>
          <w:tcPr>
            <w:tcW w:w="824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79,197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87,405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113,775</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207,200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201,242</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30,049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Preferred stock; 5,000 shares authorized, no shares issued or outstanding</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2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Common stock, without par value; 200,000 shares authorized, 41,808 and 41,515 shares issued and 33,414 and 33,503</w:t>
            </w:r>
          </w:p>
        </w:tc>
        <w:tc>
          <w:tcPr>
            <w:tcW w:w="2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outstanding, respectively</w:t>
            </w:r>
          </w:p>
        </w:tc>
        <w:tc>
          <w:tcPr>
            <w:tcW w:w="2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Additional paid-in-capital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103,282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100,357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307,414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(104,159)</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shareholders’ equity of Vera Bradley, Inc.</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304,828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303,770</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redeemable noncontrolling interest, and shareholders’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541,174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535,061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6"/>
                <w:szCs w:val="16"/>
                <w:color w:val="auto"/>
              </w:rPr>
            </w:pPr>
          </w:p>
        </w:tc>
        <w:tc>
          <w:tcPr>
            <w:tcW w:w="274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4"/>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31,</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32"/>
              <w:spacing w:after="0" w:line="135" w:lineRule="exact"/>
              <w:rPr>
                <w:sz w:val="20"/>
                <w:szCs w:val="20"/>
                <w:color w:val="auto"/>
              </w:rPr>
            </w:pPr>
            <w:r>
              <w:rPr>
                <w:rFonts w:ascii="Arial" w:cs="Arial" w:eastAsia="Arial" w:hAnsi="Arial"/>
                <w:sz w:val="14"/>
                <w:szCs w:val="14"/>
                <w:b w:val="1"/>
                <w:bCs w:val="1"/>
                <w:color w:val="auto"/>
              </w:rPr>
              <w:t>November 2,</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31,</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32"/>
              <w:spacing w:after="0" w:line="135" w:lineRule="exact"/>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8"/>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338,289</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152,618</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185,671</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183,640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184,465</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Less: Net income (loss) attributable to redeemable noncontrolling</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Arial" w:cs="Arial" w:eastAsia="Arial" w:hAnsi="Arial"/>
                <w:sz w:val="18"/>
                <w:szCs w:val="18"/>
                <w:color w:val="auto"/>
              </w:rPr>
              <w:t>Net income attributable to Vera Bradley,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34,104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34,355</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Basic net income per share available to Vera Bradley, Inc. common</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tcPr>
          <w:p>
            <w:pPr>
              <w:ind w:left="20"/>
              <w:spacing w:after="0" w:line="176" w:lineRule="exact"/>
              <w:rPr>
                <w:sz w:val="20"/>
                <w:szCs w:val="20"/>
                <w:color w:val="auto"/>
              </w:rPr>
            </w:pPr>
            <w:r>
              <w:rPr>
                <w:rFonts w:ascii="Arial" w:cs="Arial" w:eastAsia="Arial" w:hAnsi="Arial"/>
                <w:sz w:val="18"/>
                <w:szCs w:val="18"/>
                <w:color w:val="auto"/>
                <w:w w:val="94"/>
              </w:rPr>
              <w:t>Diluted net income per share available to Vera Bradley, Inc. common</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6"/>
                <w:szCs w:val="16"/>
                <w:color w:val="auto"/>
              </w:rPr>
            </w:pPr>
          </w:p>
        </w:tc>
        <w:tc>
          <w:tcPr>
            <w:tcW w:w="272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31,</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35"/>
              <w:spacing w:after="0" w:line="135" w:lineRule="exact"/>
              <w:rPr>
                <w:sz w:val="20"/>
                <w:szCs w:val="20"/>
                <w:color w:val="auto"/>
              </w:rPr>
            </w:pPr>
            <w:r>
              <w:rPr>
                <w:rFonts w:ascii="Arial" w:cs="Arial" w:eastAsia="Arial" w:hAnsi="Arial"/>
                <w:sz w:val="14"/>
                <w:szCs w:val="14"/>
                <w:b w:val="1"/>
                <w:bCs w:val="1"/>
                <w:color w:val="auto"/>
              </w:rPr>
              <w:t>November 2,</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31,</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35"/>
              <w:spacing w:after="0" w:line="135" w:lineRule="exact"/>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Unrealized (loss) gain on available-for-sale debt investments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Comprehensive income (loss), net of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Comprehensive income (loss) attributable to redeemable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Comprehensive income attributable to Vera Bradley,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2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10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2"/>
            <w:vMerge w:val="continue"/>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Permanent</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72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33,503,249</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8,011,372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100,357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$(104,159)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303,770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Net loss attributable to Vera Bradley, Inc.</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(15,337)</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w w:val="98"/>
              </w:rPr>
              <w:t>Unrealized loss on available-for-sale debt investments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277,687</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(381,835)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176"/>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w w:val="99"/>
              </w:rPr>
              <w:t>Redeemable noncontrolling interest redemption value</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(9,305)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104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May 2,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33,399,101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282,772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(107,060)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275,574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7,216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w w:val="97"/>
              </w:rPr>
              <w:t>Unrealized gain on available-for-sale debt investments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176"/>
        </w:trPr>
        <w:tc>
          <w:tcPr>
            <w:tcW w:w="4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Redeemable noncontrolling interest redemption value</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104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Balance at August 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33,409,326</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101,112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299,724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(107,060)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293,774</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Vera Bradley, Inc.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Translation adjustments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Unrealized loss on available-for-sale debt investments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Arial" w:cs="Arial" w:eastAsia="Arial" w:hAnsi="Arial"/>
                <w:sz w:val="18"/>
                <w:szCs w:val="18"/>
                <w:color w:val="auto"/>
              </w:rPr>
              <w:t>5,164</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Balance at October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33,414,490</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8,393,207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103,282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308,598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(107,060)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304,828</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2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10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9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Permanent</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(Loss) Income</w:t>
            </w:r>
          </w:p>
        </w:tc>
        <w:tc>
          <w:tcPr>
            <w:tcW w:w="120" w:type="dxa"/>
            <w:vAlign w:val="bottom"/>
          </w:tcPr>
          <w:p>
            <w:pPr>
              <w:spacing w:after="0"/>
              <w:rPr>
                <w:sz w:val="16"/>
                <w:szCs w:val="16"/>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720" w:type="dxa"/>
            <w:vAlign w:val="bottom"/>
          </w:tcPr>
          <w:p>
            <w:pPr>
              <w:jc w:val="center"/>
              <w:ind w:right="7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4"/>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February 2,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34,347,420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6,935,623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95,572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291,994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(92,839)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294,703</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w w:val="97"/>
              </w:rPr>
              <w:t>Unrealized gain on available-for-sale debt investments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 net of repurchase for taxes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183,346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(284,088)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Cumulative adjustment for ASC 842 adoption</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4, 2019</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34,246,678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7,219,711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289,393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289,774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attributable to Vera Bradley, Inc.</w:t>
            </w:r>
          </w:p>
        </w:tc>
        <w:tc>
          <w:tcPr>
            <w:tcW w:w="10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tcBorders>
              <w:top w:val="single" w:sz="8" w:color="CCEEFF"/>
            </w:tcBorders>
            <w:vMerge w:val="continue"/>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5,854</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48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w w:val="98"/>
              </w:rPr>
              <w:t>Unrealized loss on available-for-sale debt investments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 net of repurchase for taxes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40,297</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(196,507)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b w:val="1"/>
                <w:bCs w:val="1"/>
                <w:color w:val="auto"/>
              </w:rPr>
              <w:t>Balance at August 3, 2019</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34,090,468</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7,416,218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96,958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295,247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(97,975)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294,351</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Vera Bradley, Inc.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8"/>
              </w:rPr>
              <w:t>Unrealized loss on available-for-sale debt investments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Restricted shares vested, net of repurchase for taxes</w:t>
            </w:r>
          </w:p>
        </w:tc>
        <w:tc>
          <w:tcPr>
            <w:tcW w:w="980" w:type="dxa"/>
            <w:vAlign w:val="bottom"/>
          </w:tcPr>
          <w:p>
            <w:pPr>
              <w:jc w:val="right"/>
              <w:spacing w:after="0"/>
              <w:rPr>
                <w:sz w:val="20"/>
                <w:szCs w:val="20"/>
                <w:color w:val="auto"/>
              </w:rPr>
            </w:pPr>
            <w:r>
              <w:rPr>
                <w:rFonts w:ascii="Arial" w:cs="Arial" w:eastAsia="Arial" w:hAnsi="Arial"/>
                <w:sz w:val="18"/>
                <w:szCs w:val="18"/>
                <w:color w:val="auto"/>
              </w:rPr>
              <w:t>7,935</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Treasury stock purchased</w:t>
            </w:r>
          </w:p>
        </w:tc>
        <w:tc>
          <w:tcPr>
            <w:tcW w:w="980" w:type="dxa"/>
            <w:vAlign w:val="bottom"/>
          </w:tcPr>
          <w:p>
            <w:pPr>
              <w:jc w:val="right"/>
              <w:spacing w:after="0"/>
              <w:rPr>
                <w:sz w:val="20"/>
                <w:szCs w:val="20"/>
                <w:color w:val="auto"/>
              </w:rPr>
            </w:pPr>
            <w:r>
              <w:rPr>
                <w:rFonts w:ascii="Arial" w:cs="Arial" w:eastAsia="Arial" w:hAnsi="Arial"/>
                <w:sz w:val="18"/>
                <w:szCs w:val="18"/>
                <w:color w:val="auto"/>
              </w:rPr>
              <w:t>(388,833)</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388,833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November 2, 2019</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33,709,570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7,805,051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98,450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295,386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(101,884)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292,048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Thirty-Nine Weeks Ended</w:t>
            </w:r>
          </w:p>
        </w:tc>
      </w:tr>
      <w:tr>
        <w:trPr>
          <w:trHeight w:val="135"/>
        </w:trPr>
        <w:tc>
          <w:tcPr>
            <w:tcW w:w="8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1"/>
                <w:szCs w:val="11"/>
                <w:color w:val="auto"/>
              </w:rPr>
            </w:pPr>
          </w:p>
        </w:tc>
        <w:tc>
          <w:tcPr>
            <w:tcW w:w="124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November 2,</w:t>
            </w:r>
          </w:p>
        </w:tc>
      </w:tr>
      <w:tr>
        <w:trPr>
          <w:trHeight w:val="188"/>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1,764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2,331</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Depreciation of property, plant, and equipment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13,856</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operating right-of-use assets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16,359</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Impairment charges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Provision for doubtful accounts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4,032</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(1,113)</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(gain) on investments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Adjustment of earn-out liability</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1,803</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step-up in inventory basis</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7,230</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Other non-cash (gain) charges, net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(14,289)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(3,620)</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(21,970)</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(3,331)</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w:t>
            </w:r>
          </w:p>
        </w:tc>
      </w:tr>
      <w:tr>
        <w:trPr>
          <w:trHeight w:val="186"/>
        </w:trPr>
        <w:tc>
          <w:tcPr>
            <w:tcW w:w="8240" w:type="dxa"/>
            <w:vAlign w:val="bottom"/>
          </w:tcPr>
          <w:p>
            <w:pPr>
              <w:ind w:left="480"/>
              <w:spacing w:after="0"/>
              <w:rPr>
                <w:sz w:val="20"/>
                <w:szCs w:val="20"/>
                <w:color w:val="auto"/>
              </w:rPr>
            </w:pPr>
            <w:r>
              <w:rPr>
                <w:rFonts w:ascii="Arial" w:cs="Arial" w:eastAsia="Arial" w:hAnsi="Arial"/>
                <w:sz w:val="14"/>
                <w:szCs w:val="14"/>
                <w:color w:val="auto"/>
              </w:rPr>
              <w:t>Income taxes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(4,175)</w:t>
            </w:r>
          </w:p>
        </w:tc>
      </w:tr>
      <w:tr>
        <w:trPr>
          <w:trHeight w:val="192"/>
        </w:trPr>
        <w:tc>
          <w:tcPr>
            <w:tcW w:w="8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Operating lease liabilities, net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(18,727)</w:t>
            </w:r>
          </w:p>
        </w:tc>
      </w:tr>
      <w:tr>
        <w:trPr>
          <w:trHeight w:val="186"/>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Accrued and other liabilities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(9,016)</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(9,235)</w:t>
            </w:r>
          </w:p>
        </w:tc>
      </w:tr>
      <w:tr>
        <w:trPr>
          <w:trHeight w:val="168"/>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0"/>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(11,425)</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Purchases of investments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(13,762)</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and sales of investments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34,209</w:t>
            </w:r>
          </w:p>
        </w:tc>
      </w:tr>
      <w:tr>
        <w:trPr>
          <w:trHeight w:val="186"/>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received (paid) for business acquisition, net of cash acquired</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(76,032)</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(67,010)</w:t>
            </w:r>
          </w:p>
        </w:tc>
      </w:tr>
      <w:tr>
        <w:trPr>
          <w:trHeight w:val="168"/>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0"/>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withholdings for equity compensation</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(9,143)</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to redeemable noncontrolling interest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w:t>
            </w:r>
          </w:p>
        </w:tc>
      </w:tr>
      <w:tr>
        <w:trPr>
          <w:trHeight w:val="186"/>
        </w:trPr>
        <w:tc>
          <w:tcPr>
            <w:tcW w:w="8240" w:type="dxa"/>
            <w:vAlign w:val="bottom"/>
          </w:tcPr>
          <w:p>
            <w:pPr>
              <w:ind w:left="220"/>
              <w:spacing w:after="0"/>
              <w:rPr>
                <w:sz w:val="20"/>
                <w:szCs w:val="20"/>
                <w:color w:val="auto"/>
              </w:rPr>
            </w:pPr>
            <w:r>
              <w:rPr>
                <w:rFonts w:ascii="Arial" w:cs="Arial" w:eastAsia="Arial" w:hAnsi="Arial"/>
                <w:sz w:val="14"/>
                <w:szCs w:val="14"/>
                <w:color w:val="auto"/>
              </w:rPr>
              <w:t>Borrowings under asset-based revolving credit agreement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Repayment of borrowings under asset-based revolving credit agreement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Payment of contingent consideration for business acquisition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(11,248)</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(87,494)</w:t>
            </w:r>
          </w:p>
        </w:tc>
      </w:tr>
      <w:tr>
        <w:trPr>
          <w:trHeight w:val="18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113,493</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75,765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25,999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8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1"/>
                <w:szCs w:val="11"/>
                <w:color w:val="auto"/>
              </w:rPr>
            </w:pPr>
          </w:p>
        </w:tc>
        <w:tc>
          <w:tcPr>
            <w:tcW w:w="1240" w:type="dxa"/>
            <w:vAlign w:val="bottom"/>
          </w:tcPr>
          <w:p>
            <w:pPr>
              <w:jc w:val="right"/>
              <w:ind w:right="268"/>
              <w:spacing w:after="0" w:line="135" w:lineRule="exact"/>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8"/>
        </w:trPr>
        <w:tc>
          <w:tcPr>
            <w:tcW w:w="8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Cash paid for income taxes, net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6,166</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Supplemental disclosure of non-cash activity</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20"/>
              <w:spacing w:after="0"/>
              <w:rPr>
                <w:sz w:val="20"/>
                <w:szCs w:val="20"/>
                <w:color w:val="auto"/>
              </w:rPr>
            </w:pPr>
            <w:r>
              <w:rPr>
                <w:rFonts w:ascii="Arial" w:cs="Arial" w:eastAsia="Arial" w:hAnsi="Arial"/>
                <w:sz w:val="14"/>
                <w:szCs w:val="14"/>
                <w:color w:val="auto"/>
              </w:rPr>
              <w:t>Non-cash operating, investing, and financing activities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0" w:type="dxa"/>
            <w:vAlign w:val="bottom"/>
          </w:tcPr>
          <w:p>
            <w:pPr>
              <w:ind w:left="480"/>
              <w:spacing w:after="0"/>
              <w:rPr>
                <w:sz w:val="20"/>
                <w:szCs w:val="20"/>
                <w:color w:val="auto"/>
              </w:rPr>
            </w:pPr>
            <w:r>
              <w:rPr>
                <w:rFonts w:ascii="Arial" w:cs="Arial" w:eastAsia="Arial" w:hAnsi="Arial"/>
                <w:sz w:val="14"/>
                <w:szCs w:val="14"/>
                <w:color w:val="auto"/>
              </w:rPr>
              <w:t>Expenditures incurred but not yet paid as of October 31, 2020 and November 2,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Expenditures incurred but not yet paid as of February 1, 2020 and February 2, 2019</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2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8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Expenditures incurred but not yet paid as of October 31, 2020 and November 2, 2019</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4"/>
                <w:szCs w:val="14"/>
                <w:color w:val="auto"/>
              </w:rPr>
              <w:t>Expenditures incurred but not yet paid as of February 1, 2020 and February 2, 2019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Contingent consideration related to business acquisition</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20,098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107" w:lineRule="exact"/>
        <w:rPr>
          <w:rFonts w:ascii="Arial" w:cs="Arial" w:eastAsia="Arial" w:hAnsi="Arial"/>
          <w:sz w:val="18"/>
          <w:szCs w:val="18"/>
          <w:b w:val="1"/>
          <w:bCs w:val="1"/>
          <w:color w:val="auto"/>
        </w:rPr>
      </w:pPr>
    </w:p>
    <w:p>
      <w:pPr>
        <w:ind w:left="6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 “Company” refers to Vera Bradley, Inc. and its wholly and majority owned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6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 Vera Bradley offers a unique, multi-channel sales model, as well as a focus on service and a high level of customer engagement.</w:t>
      </w:r>
    </w:p>
    <w:p>
      <w:pPr>
        <w:spacing w:after="0" w:line="65" w:lineRule="exact"/>
        <w:rPr>
          <w:rFonts w:ascii="Arial" w:cs="Arial" w:eastAsia="Arial" w:hAnsi="Arial"/>
          <w:sz w:val="18"/>
          <w:szCs w:val="18"/>
          <w:b w:val="1"/>
          <w:bCs w:val="1"/>
          <w:color w:val="auto"/>
        </w:rPr>
      </w:pPr>
    </w:p>
    <w:p>
      <w:pPr>
        <w:ind w:left="660" w:right="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In July 2019, Vera Bradley, Inc. acquired a 75% interest in Creative Genius, Inc., which also operates under the name Pura Vida Bracelets (“Pura Vida”). Pura Vida, based in La Jolla, California, is a rapidly growing, digitally native lifestyle brand that we believe deeply resonates with its loyal consumer following. The Pura Vida brand has a differentiated and expanding offering of bracelets, jewelry, and other lifestyle accessories.</w:t>
      </w:r>
    </w:p>
    <w:p>
      <w:pPr>
        <w:spacing w:after="0" w:line="27" w:lineRule="exact"/>
        <w:rPr>
          <w:rFonts w:ascii="Arial" w:cs="Arial" w:eastAsia="Arial" w:hAnsi="Arial"/>
          <w:sz w:val="18"/>
          <w:szCs w:val="18"/>
          <w:b w:val="1"/>
          <w:bCs w:val="1"/>
          <w:color w:val="auto"/>
        </w:rPr>
      </w:pPr>
    </w:p>
    <w:p>
      <w:pPr>
        <w:ind w:left="660" w:right="180"/>
        <w:spacing w:after="0" w:line="334" w:lineRule="auto"/>
        <w:rPr>
          <w:rFonts w:ascii="Arial" w:cs="Arial" w:eastAsia="Arial" w:hAnsi="Arial"/>
          <w:sz w:val="18"/>
          <w:szCs w:val="18"/>
          <w:b w:val="1"/>
          <w:bCs w:val="1"/>
          <w:color w:val="auto"/>
        </w:rPr>
      </w:pPr>
      <w:r>
        <w:rPr>
          <w:rFonts w:ascii="Arial" w:cs="Arial" w:eastAsia="Arial" w:hAnsi="Arial"/>
          <w:sz w:val="16"/>
          <w:szCs w:val="16"/>
          <w:color w:val="auto"/>
        </w:rPr>
        <w:t>Beginning in the second quarter of fiscal 2020, the Company included an additional segment for Pura Vida due to its acquisition. As a result, the Company has three reportable segments: Vera Bradley Direct (“VB Direct”), Vera Bradley Indirect (“VB Indirect”), and Pura Vida.</w:t>
      </w:r>
    </w:p>
    <w:p>
      <w:pPr>
        <w:ind w:left="980" w:hanging="324"/>
        <w:spacing w:after="0" w:line="259" w:lineRule="auto"/>
        <w:tabs>
          <w:tab w:leader="none" w:pos="97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VB Direct business consists of sales of Vera Bradley products through Vera Bradley full-line and factory outlet stores in the United States; verabradley.com; the Vera Bradley online outlet site; and the Vera Bradley annual outlet sale in Fort Wayne, Indiana. As of October 31, 2020, the Company operated 81 full-line stores and 69 factory outlet stores. In light of the COVID-19 pandemic, the Company cancelled its 2020 annual outlet sale.</w:t>
      </w:r>
    </w:p>
    <w:p>
      <w:pPr>
        <w:spacing w:after="0" w:line="65" w:lineRule="exact"/>
        <w:rPr>
          <w:rFonts w:ascii="Arial" w:cs="Arial" w:eastAsia="Arial" w:hAnsi="Arial"/>
          <w:sz w:val="18"/>
          <w:szCs w:val="18"/>
          <w:color w:val="auto"/>
        </w:rPr>
      </w:pPr>
    </w:p>
    <w:p>
      <w:pPr>
        <w:ind w:left="980" w:right="320" w:hanging="324"/>
        <w:spacing w:after="0" w:line="286" w:lineRule="auto"/>
        <w:tabs>
          <w:tab w:leader="none" w:pos="975"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VB Indirect business consists of sales of Vera Bradley products to approximately 2,000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43" w:lineRule="exact"/>
        <w:rPr>
          <w:rFonts w:ascii="Arial" w:cs="Arial" w:eastAsia="Arial" w:hAnsi="Arial"/>
          <w:sz w:val="17"/>
          <w:szCs w:val="17"/>
          <w:color w:val="auto"/>
        </w:rPr>
      </w:pPr>
    </w:p>
    <w:p>
      <w:pPr>
        <w:ind w:left="980" w:right="100" w:hanging="324"/>
        <w:spacing w:after="0" w:line="263" w:lineRule="auto"/>
        <w:tabs>
          <w:tab w:leader="none" w:pos="97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spacing w:after="0" w:line="49"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1, 2020, filed with the SEC.</w:t>
      </w:r>
    </w:p>
    <w:p>
      <w:pPr>
        <w:spacing w:after="0" w:line="71"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October 31, 2020, are not necessarily indicative of the results to be expected for the full fiscal year. Further, the COVID-19 pandemic had a material impact on the Company's current-year period results.</w:t>
      </w:r>
    </w:p>
    <w:p>
      <w:pPr>
        <w:spacing w:after="0" w:line="65"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The COVID-19 pandemic resulted in travel restrictions both domestically and internationally, community and self-quarantines, certain factory closures or reduced operations, as well as mall closures and reduced mall operating hours during the first nine months of fiscal 2021. Although the Vera Bradley and Pura Vida e-commerce operations remained open, the aforementioned items had a material adverse impact on overall consumer demand, traffic, and sales. Furthermore, the pandemic materially impacted the Company's operating results. Beginning in mid-March 2020, the Company began taking several actions to navigate the COVID-19 pandemic, protect its financial position, maximize its liquidity, and to position the Company for a strong reopening and future. These actions included:</w:t>
      </w:r>
    </w:p>
    <w:p>
      <w:pPr>
        <w:spacing w:after="0" w:line="4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Temporarily closing all Vera Bradley store locations on March 19;</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Temporarily furloughing approximately 80% of its workforce mid first quarter;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980" w:right="1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Temporarily reducing base compensation for remaining salaried associates, with reductions on a graduated scale ranging from 15% to 30%, and 75% for the Company's Chief Executive Officer;</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Temporarily suspending cash compensation to the Company's Board of Directors;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Temporarily suspending the share repurchase program;</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Drawing $60.0 million of its $75.0 million Credit Agreement;</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Temporarily eliminating the Company 401(k) and associate charitable contribution matches;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Tightly managing inventory levels through the cancellation of purchase orders, delay of receipts, or seeking price concessions where possible;</w:t>
      </w:r>
    </w:p>
    <w:p>
      <w:pPr>
        <w:spacing w:after="0" w:line="126" w:lineRule="exact"/>
        <w:rPr>
          <w:rFonts w:ascii="Arial" w:cs="Arial" w:eastAsia="Arial" w:hAnsi="Arial"/>
          <w:sz w:val="16"/>
          <w:szCs w:val="16"/>
          <w:color w:val="auto"/>
        </w:rPr>
      </w:pPr>
    </w:p>
    <w:p>
      <w:pPr>
        <w:ind w:left="980" w:right="6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Actively working with landlords on addressing rent abatement, payment terms, accelerating store closures, and delaying or cancelling certain planned new store openings;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non-payroll operating expenses, including but not limited to, marketing and travel;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Extending vendor payment terms.</w:t>
      </w:r>
    </w:p>
    <w:p>
      <w:pPr>
        <w:spacing w:after="0" w:line="104" w:lineRule="exact"/>
        <w:rPr>
          <w:sz w:val="20"/>
          <w:szCs w:val="20"/>
          <w:color w:val="auto"/>
        </w:rPr>
      </w:pPr>
    </w:p>
    <w:p>
      <w:pPr>
        <w:ind w:left="660" w:right="220"/>
        <w:spacing w:after="0" w:line="262" w:lineRule="auto"/>
        <w:rPr>
          <w:sz w:val="20"/>
          <w:szCs w:val="20"/>
          <w:color w:val="auto"/>
        </w:rPr>
      </w:pPr>
      <w:r>
        <w:rPr>
          <w:rFonts w:ascii="Arial" w:cs="Arial" w:eastAsia="Arial" w:hAnsi="Arial"/>
          <w:sz w:val="17"/>
          <w:szCs w:val="17"/>
          <w:color w:val="auto"/>
        </w:rPr>
        <w:t>The Company has brought back substantially all associates from furlough; reinstated a majority of the base compensation reductions; reinstated the cash compensation to the Board of Directors; and paid back $30.0 million of the $60.0 million borrowing under the Credit Agreement. The Company continued to manage operating expenses and inventory levels, and work with landlords on rent abatements and payment terms. All factory stores and all but two full line stores were opened as of the end of the third quarter.</w:t>
      </w:r>
    </w:p>
    <w:p>
      <w:pPr>
        <w:spacing w:after="0" w:line="37" w:lineRule="exact"/>
        <w:rPr>
          <w:sz w:val="20"/>
          <w:szCs w:val="20"/>
          <w:color w:val="auto"/>
        </w:rPr>
      </w:pPr>
    </w:p>
    <w:p>
      <w:pPr>
        <w:jc w:val="both"/>
        <w:ind w:left="660" w:right="240"/>
        <w:spacing w:after="0" w:line="263" w:lineRule="auto"/>
        <w:rPr>
          <w:sz w:val="20"/>
          <w:szCs w:val="20"/>
          <w:color w:val="auto"/>
        </w:rPr>
      </w:pPr>
      <w:r>
        <w:rPr>
          <w:rFonts w:ascii="Arial" w:cs="Arial" w:eastAsia="Arial" w:hAnsi="Arial"/>
          <w:sz w:val="18"/>
          <w:szCs w:val="18"/>
          <w:color w:val="auto"/>
        </w:rPr>
        <w:t>In addition, the Company is leveraging elements of the Coronavirus Aid Relief and Economic Security (CARES) Act to enhance the financial well-being of associates and to maximize the financial health of the Company. The CARES Act tax provisions include retention credits and the deferral of the employer portion of certain payroll taxes.</w:t>
      </w:r>
    </w:p>
    <w:p>
      <w:pPr>
        <w:spacing w:after="0" w:line="62"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Company cannot currently predict the extent that COVID-19 will impact its future liquidity, operating results, and financial condition, but it could have a significant adverse effect on these metrics.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660" w:right="360"/>
        <w:spacing w:after="0" w:line="342" w:lineRule="auto"/>
        <w:rPr>
          <w:sz w:val="20"/>
          <w:szCs w:val="20"/>
          <w:color w:val="auto"/>
        </w:rPr>
      </w:pPr>
      <w:r>
        <w:rPr>
          <w:rFonts w:ascii="Arial" w:cs="Arial" w:eastAsia="Arial" w:hAnsi="Arial"/>
          <w:sz w:val="16"/>
          <w:szCs w:val="16"/>
          <w:color w:val="auto"/>
        </w:rPr>
        <w:t>The condensed consolidated financial statements include the accounts of the Company, its wholly owned subsidiaries, and its majority owned subsidiary, Pura Vida beginning on July 17, 2019. The Company has eliminated intercompany balances and transactions in consolidation.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108"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Company’s fiscal year ends on the Saturday closest to January 31. References to the fiscal quarters ended October 31, 2020 and November 2, 2019 refer to the thirteen-week periods ended on those dates.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 Measurements</w:t>
      </w:r>
      <w:r>
        <w:rPr>
          <w:rFonts w:ascii="Arial" w:cs="Arial" w:eastAsia="Arial" w:hAnsi="Arial"/>
          <w:sz w:val="18"/>
          <w:szCs w:val="18"/>
          <w:color w:val="auto"/>
        </w:rPr>
        <w:t xml:space="preserve">. The amendments in this update remove, modify, and add certain disclosure requirements to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adoption of this standard in the first quarter of fiscal 2021 did not have a material impact on the Company's consolidated financial statements.</w:t>
      </w:r>
    </w:p>
    <w:p>
      <w:pPr>
        <w:spacing w:after="0" w:line="71"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This standard replaces the incurred loss impairment methodology in current GAAP with a methodology that uses a forward-looking approach to recording credit losses for certain financial instruments including debt securities, trade receivables, and other financial assets. This guidance is effective for fiscal years beginning after December 15, 2019, including interim periods within those fiscal years, for SEC filers, which is the Company's fiscal 2021. Early adoption is permitted. The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380"/>
        <w:spacing w:after="0" w:line="352" w:lineRule="auto"/>
        <w:rPr>
          <w:sz w:val="20"/>
          <w:szCs w:val="20"/>
          <w:color w:val="auto"/>
        </w:rPr>
      </w:pPr>
      <w:r>
        <w:rPr>
          <w:rFonts w:ascii="Arial" w:cs="Arial" w:eastAsia="Arial" w:hAnsi="Arial"/>
          <w:sz w:val="18"/>
          <w:szCs w:val="18"/>
          <w:color w:val="auto"/>
        </w:rPr>
        <w:t xml:space="preserve">adoption of this standard in the first quarter of fiscal 2021 did not have a material impact on the Company's consolidated financial statements. </w:t>
      </w:r>
      <w:r>
        <w:rPr>
          <w:rFonts w:ascii="Arial" w:cs="Arial" w:eastAsia="Arial" w:hAnsi="Arial"/>
          <w:sz w:val="18"/>
          <w:szCs w:val="18"/>
          <w:i w:val="1"/>
          <w:iCs w:val="1"/>
          <w:color w:val="auto"/>
        </w:rPr>
        <w:t>Recently Issued Accounting Pronouncements Not Yet Adopted</w:t>
      </w:r>
    </w:p>
    <w:p>
      <w:pPr>
        <w:jc w:val="both"/>
        <w:ind w:left="660" w:right="120"/>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this update remove certain exceptions to the general principals in Topic 740, as well as simplify GAAP for certain areas and improve consistency within the topic. This guidance is effective for interim and annual periods beginning on or after December 15, 2020 (fiscal 2022). Early adoption is permitted, with all amendments required to be adopted in the same period. The Company is currently evaluating the impact of the guidance on its consolidated financial statements.</w:t>
      </w:r>
    </w:p>
    <w:p>
      <w:pPr>
        <w:spacing w:after="0" w:line="21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5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Disaggregation of Revenue</w:t>
      </w:r>
    </w:p>
    <w:p>
      <w:pPr>
        <w:spacing w:after="0" w:line="1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following presents the Company's net revenues disaggregated by product category for the thirteen and thirty-nine weeks ended October 31,</w:t>
      </w:r>
    </w:p>
    <w:p>
      <w:pPr>
        <w:spacing w:after="0" w:line="4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2020 and November 2, 2019 (in thousands):</w:t>
      </w:r>
    </w:p>
    <w:p>
      <w:pPr>
        <w:spacing w:after="0" w:line="10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October 31, 2020</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28,536</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8,453</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36,989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4,758</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19,158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22,676</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Home</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78,177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22,344</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24,328</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124,849</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freight and stationery.</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and merchandising.</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840" w:hanging="6"/>
        <w:spacing w:after="0" w:line="234"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$21.2 million of net revenues related to product sales recognized at a point in time and $1.1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November 2, 2019</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33,178</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10,565</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43,743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19,191</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24,980</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17,575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4,785</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24,469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46,829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24,087</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4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25,017</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127,501</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and merchandising.</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120" w:hanging="6"/>
        <w:spacing w:after="0" w:line="234" w:lineRule="auto"/>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$23.1 million of net revenues related to product sales recognized at a point in time and $1.0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October 31, 2020</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74,087</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20,236</w:t>
            </w:r>
          </w:p>
        </w:tc>
        <w:tc>
          <w:tcPr>
            <w:tcW w:w="320" w:type="dxa"/>
            <w:vAlign w:val="bottom"/>
          </w:tcPr>
          <w:p>
            <w:pPr>
              <w:spacing w:after="0"/>
              <w:rPr>
                <w:sz w:val="19"/>
                <w:szCs w:val="19"/>
                <w:color w:val="auto"/>
              </w:rPr>
            </w:pP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94,323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37,594</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47,123</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34,626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6,167</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74,295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115,088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Apparel/Footwear</w:t>
            </w:r>
            <w:r>
              <w:rPr>
                <w:rFonts w:ascii="Arial" w:cs="Arial" w:eastAsia="Arial" w:hAnsi="Arial"/>
                <w:sz w:val="23"/>
                <w:szCs w:val="23"/>
                <w:color w:val="auto"/>
                <w:vertAlign w:val="superscript"/>
              </w:rPr>
              <w:t>(6)</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Home</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17,970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19,462</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196,247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51,303</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70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78,353</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325,903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and merchandising.</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120" w:hanging="6"/>
        <w:spacing w:after="0" w:line="234" w:lineRule="auto"/>
        <w:tabs>
          <w:tab w:leader="none" w:pos="9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$49.1 million of net revenues related to product sales recognized at a point in time and $2.2 million of net revenues related to sales-based royalties recognized over time.</w:t>
      </w:r>
    </w:p>
    <w:p>
      <w:pPr>
        <w:spacing w:after="0" w:line="1" w:lineRule="exact"/>
        <w:rPr>
          <w:rFonts w:ascii="Arial" w:cs="Arial" w:eastAsia="Arial" w:hAnsi="Arial"/>
          <w:sz w:val="18"/>
          <w:szCs w:val="18"/>
          <w:color w:val="auto"/>
        </w:rPr>
      </w:pPr>
    </w:p>
    <w:p>
      <w:pPr>
        <w:ind w:left="920" w:hanging="246"/>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121"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November 2, 2019</w:t>
            </w:r>
          </w:p>
        </w:tc>
        <w:tc>
          <w:tcPr>
            <w:tcW w:w="6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197"/>
              <w:spacing w:after="0" w:line="130" w:lineRule="exact"/>
              <w:rPr>
                <w:sz w:val="20"/>
                <w:szCs w:val="20"/>
                <w:color w:val="auto"/>
              </w:rPr>
            </w:pPr>
            <w:r>
              <w:rPr>
                <w:rFonts w:ascii="Arial" w:cs="Arial" w:eastAsia="Arial" w:hAnsi="Arial"/>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Bags</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100,527</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31,549</w:t>
            </w:r>
          </w:p>
        </w:tc>
        <w:tc>
          <w:tcPr>
            <w:tcW w:w="320" w:type="dxa"/>
            <w:vAlign w:val="bottom"/>
          </w:tcPr>
          <w:p>
            <w:pPr>
              <w:spacing w:after="0"/>
              <w:rPr>
                <w:sz w:val="19"/>
                <w:szCs w:val="19"/>
                <w:color w:val="auto"/>
              </w:rPr>
            </w:pP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132,076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75,493</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54,622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12,952</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29,689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97,263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19,769</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Apparel/Footwear</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243,913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63,971</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70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30,405</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338,289</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46"/>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includes net revenues from stationery, freight. and gift card breakage.</w:t>
      </w:r>
    </w:p>
    <w:p>
      <w:pPr>
        <w:spacing w:after="0" w:line="23" w:lineRule="exact"/>
        <w:rPr>
          <w:rFonts w:ascii="Arial" w:cs="Arial" w:eastAsia="Arial" w:hAnsi="Arial"/>
          <w:sz w:val="18"/>
          <w:szCs w:val="18"/>
          <w:color w:val="auto"/>
        </w:rPr>
      </w:pPr>
    </w:p>
    <w:p>
      <w:pPr>
        <w:ind w:left="920" w:hanging="246"/>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and merchandising.</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22" w:lineRule="exact"/>
        <w:rPr>
          <w:rFonts w:ascii="Arial" w:cs="Arial" w:eastAsia="Arial" w:hAnsi="Arial"/>
          <w:sz w:val="18"/>
          <w:szCs w:val="18"/>
          <w:color w:val="auto"/>
        </w:rPr>
      </w:pPr>
    </w:p>
    <w:p>
      <w:pPr>
        <w:ind w:left="920" w:hanging="246"/>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22" w:lineRule="exact"/>
        <w:rPr>
          <w:rFonts w:ascii="Arial" w:cs="Arial" w:eastAsia="Arial" w:hAnsi="Arial"/>
          <w:sz w:val="18"/>
          <w:szCs w:val="18"/>
          <w:color w:val="auto"/>
        </w:rPr>
      </w:pPr>
    </w:p>
    <w:p>
      <w:pPr>
        <w:ind w:left="680" w:right="840" w:hanging="6"/>
        <w:spacing w:after="0" w:line="234" w:lineRule="auto"/>
        <w:tabs>
          <w:tab w:leader="none" w:pos="9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$61.1 million of net revenues related to product sales recognized at a point in time and $2.9 million of net revenues related to sales-based royalties recognized over time.</w:t>
      </w: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108"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color w:val="auto"/>
        </w:rPr>
        <w:t>Contract liabilities as of October 31, 2020 and February 1, 2020, were $3.7 million and $3.9 million, respectively. The balance as of October 31, 2020 consisted of unearned revenue related to the monthly bracelet and jewelry clubs of the Pura Vida segment, unredeemed gift cards, Pura Vida loyalty club points, Pura Vida customer deposits and payments collected before shipment, and an immaterial amount of unearned revenue for pre-payments of royalties in certain of the Company’s licensing arrangements. The balance as of February 1, 2020 consisted of unearned revenue related to the monthly bracelet and jewelry clubs of the Pura Vida segment, unredeemed gift cards, Pura Vida payments collected before shipment, and an immaterial amount of unearned revenue for pre-payments of royalties in certain of the Company’s licensing arrangements. These contract liabilities are recognized within other accrued liabilities on the Company’s Condensed Consolidated Balance Sheets. The Company did not have contract assets as of October 31, 2020 and February 1, 2020.</w:t>
      </w:r>
    </w:p>
    <w:p>
      <w:pPr>
        <w:spacing w:after="0" w:line="43" w:lineRule="exact"/>
        <w:rPr>
          <w:sz w:val="20"/>
          <w:szCs w:val="20"/>
          <w:color w:val="auto"/>
        </w:rPr>
      </w:pPr>
    </w:p>
    <w:p>
      <w:pPr>
        <w:ind w:left="660" w:right="140"/>
        <w:spacing w:after="0" w:line="279" w:lineRule="auto"/>
        <w:rPr>
          <w:sz w:val="20"/>
          <w:szCs w:val="20"/>
          <w:color w:val="auto"/>
        </w:rPr>
      </w:pPr>
      <w:r>
        <w:rPr>
          <w:rFonts w:ascii="Arial" w:cs="Arial" w:eastAsia="Arial" w:hAnsi="Arial"/>
          <w:sz w:val="17"/>
          <w:szCs w:val="17"/>
          <w:color w:val="auto"/>
        </w:rPr>
        <w:t>The balance for accounts receivable from contracts with customers, net of allowances, as of October 31, 2020 and February 1, 2020, was $31.6 million and $16.3 million, respectively, which is recognized within accounts receivable, net, on the Company’s Condensed Consolidated Balance Sheets. The provision for doubtful accounts was $1.8 million and $0.5 million as of October 31, 2020 and February 1, 2020, respectively. The provision for doubtful accounts is based upon the likelihood of default expected during the life of the receivable.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10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Remaining Performance Obligations</w:t>
      </w:r>
    </w:p>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October 31, 2020.</w:t>
      </w:r>
    </w:p>
    <w:p>
      <w:pPr>
        <w:spacing w:after="0" w:line="19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7" w:lineRule="exact"/>
        <w:rPr>
          <w:rFonts w:ascii="Arial" w:cs="Arial" w:eastAsia="Arial" w:hAnsi="Arial"/>
          <w:sz w:val="18"/>
          <w:szCs w:val="18"/>
          <w:b w:val="1"/>
          <w:bCs w:val="1"/>
          <w:color w:val="auto"/>
        </w:rPr>
      </w:pPr>
    </w:p>
    <w:p>
      <w:pPr>
        <w:ind w:left="6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temporarily closed its full-line and factory outlet stores on March 19, 2020, due to the COVID-19 pandemic. As of the end of October, all but two full-line stores and all factory stores have been reopened, further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discussed in Note 1 herein. As a result of the temporary closures, certain rent payments have been deferred. An immaterial amount of rent abatements were received as of October 31, 2020.</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Discount Rate</w:t>
      </w:r>
    </w:p>
    <w:p>
      <w:pPr>
        <w:spacing w:after="0" w:line="104"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The weighted-average discount rate as of October 31, 2020, was 5.0%.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 Not Yet Commenced</w:t>
      </w:r>
    </w:p>
    <w:p>
      <w:pPr>
        <w:spacing w:after="0" w:line="108"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As of October 31, 2020, the Company had one retail store lease which was executed, but did not have control of the underlying asset; therefore, the lease liability and right-of-use asset are not recorded on the Condensed Consolidated Balance Sheet. This lease contains undiscounted lease payments, which will be included in the determination of the lease liability, totaling approximately $2.1 million and has an approximate term of 10 years commencing in fiscal 2022.</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Amounts Recognized in the Condensed Consolidated Financial Statements</w:t>
      </w:r>
    </w:p>
    <w:p>
      <w:pPr>
        <w:spacing w:after="0" w:line="94" w:lineRule="exact"/>
        <w:rPr>
          <w:sz w:val="20"/>
          <w:szCs w:val="20"/>
          <w:color w:val="auto"/>
        </w:rPr>
      </w:pPr>
    </w:p>
    <w:p>
      <w:pPr>
        <w:jc w:val="both"/>
        <w:ind w:left="660" w:right="100"/>
        <w:spacing w:after="0" w:line="286" w:lineRule="auto"/>
        <w:rPr>
          <w:sz w:val="20"/>
          <w:szCs w:val="20"/>
          <w:color w:val="auto"/>
        </w:rPr>
      </w:pPr>
      <w:r>
        <w:rPr>
          <w:rFonts w:ascii="Arial" w:cs="Arial" w:eastAsia="Arial" w:hAnsi="Arial"/>
          <w:sz w:val="17"/>
          <w:szCs w:val="17"/>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thirty-nine weeks ended October 31, 2020 and November 2, 2019 (in thousands):</w:t>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gridSpan w:val="5"/>
          </w:tcPr>
          <w:p>
            <w:pPr>
              <w:ind w:left="90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6"/>
                <w:szCs w:val="16"/>
                <w:color w:val="auto"/>
              </w:rPr>
            </w:pPr>
          </w:p>
        </w:tc>
        <w:tc>
          <w:tcPr>
            <w:tcW w:w="3460" w:type="dxa"/>
            <w:vAlign w:val="bottom"/>
            <w:gridSpan w:val="4"/>
          </w:tcPr>
          <w:p>
            <w:pPr>
              <w:jc w:val="right"/>
              <w:ind w:right="954"/>
              <w:spacing w:after="0"/>
              <w:rPr>
                <w:sz w:val="20"/>
                <w:szCs w:val="20"/>
                <w:color w:val="auto"/>
              </w:rPr>
            </w:pPr>
            <w:r>
              <w:rPr>
                <w:rFonts w:ascii="Arial" w:cs="Arial" w:eastAsia="Arial" w:hAnsi="Arial"/>
                <w:sz w:val="14"/>
                <w:szCs w:val="14"/>
                <w:b w:val="1"/>
                <w:bCs w:val="1"/>
                <w:color w:val="auto"/>
              </w:rPr>
              <w:t>Thirty-Nine Weeks Ended</w:t>
            </w:r>
          </w:p>
        </w:tc>
      </w:tr>
      <w:tr>
        <w:trPr>
          <w:trHeight w:val="187"/>
        </w:trPr>
        <w:tc>
          <w:tcPr>
            <w:tcW w:w="24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October 31, 2020</w:t>
            </w: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November 2, 2019</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October 31, 2020</w:t>
            </w: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November 2, 2019</w:t>
            </w:r>
          </w:p>
        </w:tc>
      </w:tr>
      <w:tr>
        <w:trPr>
          <w:trHeight w:val="224"/>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21,621</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6,954</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29,022</w:t>
            </w:r>
          </w:p>
        </w:tc>
      </w:tr>
      <w:tr>
        <w:trPr>
          <w:trHeight w:val="21"/>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remaining lease term as of October 31, 2020 was 5.6 years.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operating cash flow information was as follows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4"/>
          </w:tcPr>
          <w:p>
            <w:pPr>
              <w:jc w:val="right"/>
              <w:ind w:right="1236"/>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October 31, 2020</w:t>
            </w:r>
          </w:p>
        </w:tc>
        <w:tc>
          <w:tcPr>
            <w:tcW w:w="280" w:type="dxa"/>
            <w:vAlign w:val="bottom"/>
          </w:tcPr>
          <w:p>
            <w:pPr>
              <w:spacing w:after="0"/>
              <w:rPr>
                <w:sz w:val="16"/>
                <w:szCs w:val="16"/>
                <w:color w:val="auto"/>
              </w:rPr>
            </w:pPr>
          </w:p>
        </w:tc>
        <w:tc>
          <w:tcPr>
            <w:tcW w:w="1780" w:type="dxa"/>
            <w:vAlign w:val="bottom"/>
          </w:tcPr>
          <w:p>
            <w:pPr>
              <w:jc w:val="right"/>
              <w:ind w:right="396"/>
              <w:spacing w:after="0"/>
              <w:rPr>
                <w:sz w:val="20"/>
                <w:szCs w:val="20"/>
                <w:color w:val="auto"/>
              </w:rPr>
            </w:pPr>
            <w:r>
              <w:rPr>
                <w:rFonts w:ascii="Arial" w:cs="Arial" w:eastAsia="Arial" w:hAnsi="Arial"/>
                <w:sz w:val="14"/>
                <w:szCs w:val="14"/>
                <w:b w:val="1"/>
                <w:bCs w:val="1"/>
                <w:color w:val="auto"/>
              </w:rPr>
              <w:t>November 2, 2019</w:t>
            </w:r>
          </w:p>
        </w:tc>
        <w:tc>
          <w:tcPr>
            <w:tcW w:w="0" w:type="dxa"/>
            <w:vAlign w:val="bottom"/>
          </w:tcPr>
          <w:p>
            <w:pPr>
              <w:spacing w:after="0"/>
              <w:rPr>
                <w:sz w:val="1"/>
                <w:szCs w:val="1"/>
                <w:color w:val="auto"/>
              </w:rPr>
            </w:pPr>
          </w:p>
        </w:tc>
      </w:tr>
      <w:tr>
        <w:trPr>
          <w:trHeight w:val="157"/>
        </w:trPr>
        <w:tc>
          <w:tcPr>
            <w:tcW w:w="56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w w:val="99"/>
              </w:rPr>
              <w:t>Cash paid for amounts included in the measurement of operating lease</w:t>
            </w: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19,732</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w w:val="92"/>
              </w:rPr>
              <w:t>Right-of-use assets increase as a result of new and modified operating lease</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liabilities, net</w:t>
            </w:r>
          </w:p>
        </w:tc>
        <w:tc>
          <w:tcPr>
            <w:tcW w:w="30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7" w:lineRule="exact"/>
        <w:rPr>
          <w:rFonts w:ascii="Arial" w:cs="Arial" w:eastAsia="Arial" w:hAnsi="Arial"/>
          <w:sz w:val="18"/>
          <w:szCs w:val="18"/>
          <w:b w:val="1"/>
          <w:bCs w:val="1"/>
          <w:color w:val="auto"/>
        </w:rPr>
      </w:pPr>
    </w:p>
    <w:p>
      <w:pPr>
        <w:ind w:left="660" w:right="1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13" w:lineRule="exact"/>
        <w:rPr>
          <w:rFonts w:ascii="Arial" w:cs="Arial" w:eastAsia="Arial" w:hAnsi="Arial"/>
          <w:sz w:val="18"/>
          <w:szCs w:val="18"/>
          <w:b w:val="1"/>
          <w:bCs w:val="1"/>
          <w:color w:val="auto"/>
        </w:rPr>
      </w:pPr>
    </w:p>
    <w:p>
      <w:pPr>
        <w:ind w:left="66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w:t>
      </w:r>
    </w:p>
    <w:p>
      <w:pPr>
        <w:spacing w:after="0" w:line="59" w:lineRule="exact"/>
        <w:rPr>
          <w:rFonts w:ascii="Arial" w:cs="Arial" w:eastAsia="Arial" w:hAnsi="Arial"/>
          <w:sz w:val="18"/>
          <w:szCs w:val="18"/>
          <w:b w:val="1"/>
          <w:bCs w:val="1"/>
          <w:color w:val="auto"/>
        </w:rPr>
      </w:pPr>
    </w:p>
    <w:p>
      <w:pPr>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(loss) or net income (loss) attributable to Vera Bradley, Inc. When calculating earnings per share attributable to Vera Bradley, Inc., the Company adjusts the net income (loss) attributable to Vera Bradley, Inc. for the measurement period adjustment to the extent the redemption value exceeds the fair value of the noncontrolling interest on a cumulative basis.</w:t>
      </w:r>
    </w:p>
    <w:p>
      <w:pPr>
        <w:spacing w:after="0" w:line="4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basic and diluted earnings per share were as follows (in thousands, except per share data):</w:t>
      </w: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6"/>
                <w:szCs w:val="16"/>
                <w:color w:val="auto"/>
              </w:rPr>
            </w:pPr>
          </w:p>
        </w:tc>
        <w:tc>
          <w:tcPr>
            <w:tcW w:w="22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rPr>
              <w:t>October 31,</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74"/>
              <w:spacing w:after="0" w:line="135" w:lineRule="exact"/>
              <w:rPr>
                <w:sz w:val="20"/>
                <w:szCs w:val="20"/>
                <w:color w:val="auto"/>
              </w:rPr>
            </w:pPr>
            <w:r>
              <w:rPr>
                <w:rFonts w:ascii="Arial" w:cs="Arial" w:eastAsia="Arial" w:hAnsi="Arial"/>
                <w:sz w:val="14"/>
                <w:szCs w:val="14"/>
                <w:b w:val="1"/>
                <w:bCs w:val="1"/>
                <w:color w:val="auto"/>
                <w:w w:val="95"/>
              </w:rPr>
              <w:t>November 2,</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October 31,</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14"/>
              <w:spacing w:after="0" w:line="135" w:lineRule="exact"/>
              <w:rPr>
                <w:sz w:val="20"/>
                <w:szCs w:val="20"/>
                <w:color w:val="auto"/>
              </w:rPr>
            </w:pPr>
            <w:r>
              <w:rPr>
                <w:rFonts w:ascii="Arial" w:cs="Arial" w:eastAsia="Arial" w:hAnsi="Arial"/>
                <w:sz w:val="14"/>
                <w:szCs w:val="14"/>
                <w:b w:val="1"/>
                <w:bCs w:val="1"/>
                <w:color w:val="auto"/>
                <w:w w:val="97"/>
              </w:rPr>
              <w:t>November 2,</w:t>
            </w:r>
          </w:p>
        </w:tc>
        <w:tc>
          <w:tcPr>
            <w:tcW w:w="0" w:type="dxa"/>
            <w:vAlign w:val="bottom"/>
          </w:tcPr>
          <w:p>
            <w:pPr>
              <w:spacing w:after="0"/>
              <w:rPr>
                <w:sz w:val="1"/>
                <w:szCs w:val="1"/>
                <w:color w:val="auto"/>
              </w:rPr>
            </w:pPr>
          </w:p>
        </w:tc>
      </w:tr>
      <w:tr>
        <w:trPr>
          <w:trHeight w:val="188"/>
        </w:trPr>
        <w:tc>
          <w:tcPr>
            <w:tcW w:w="5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175"/>
        </w:trPr>
        <w:tc>
          <w:tcPr>
            <w:tcW w:w="5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Less: Net income (loss) attributable to redeemable noncontrolling</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00" w:type="dxa"/>
            <w:vAlign w:val="bottom"/>
          </w:tcPr>
          <w:p>
            <w:pPr>
              <w:ind w:left="140"/>
              <w:spacing w:after="0" w:line="196" w:lineRule="exact"/>
              <w:rPr>
                <w:sz w:val="20"/>
                <w:szCs w:val="20"/>
                <w:color w:val="auto"/>
              </w:rPr>
            </w:pPr>
            <w:r>
              <w:rPr>
                <w:rFonts w:ascii="Arial" w:cs="Arial" w:eastAsia="Arial" w:hAnsi="Arial"/>
                <w:sz w:val="18"/>
                <w:szCs w:val="18"/>
                <w:color w:val="auto"/>
              </w:rPr>
              <w:t>Net income attributable to Vera Bradley, Inc.</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8,874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i w:val="1"/>
                <w:iCs w:val="1"/>
                <w:color w:val="auto"/>
              </w:rPr>
              <w:t>Denominator: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stock-based awards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Net income per share available to Vera Bradley, Inc. common</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shareholders: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460"/>
        <w:spacing w:after="0" w:line="342" w:lineRule="auto"/>
        <w:rPr>
          <w:sz w:val="20"/>
          <w:szCs w:val="20"/>
          <w:color w:val="auto"/>
        </w:rPr>
      </w:pPr>
      <w:r>
        <w:rPr>
          <w:rFonts w:ascii="Arial" w:cs="Arial" w:eastAsia="Arial" w:hAnsi="Arial"/>
          <w:sz w:val="16"/>
          <w:szCs w:val="16"/>
          <w:color w:val="auto"/>
        </w:rPr>
        <w:t>For the thirteen and thirty-nine weeks ended October 31, 2020 and November 2, 2019, there were an immaterial number of additional shares issuable upon the vesting of restricted stock units that were excluded from the diluted share calculations because they were anti-dilutive.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7" w:lineRule="exact"/>
        <w:rPr>
          <w:rFonts w:ascii="Arial" w:cs="Arial" w:eastAsia="Arial" w:hAnsi="Arial"/>
          <w:sz w:val="18"/>
          <w:szCs w:val="18"/>
          <w:b w:val="1"/>
          <w:bCs w:val="1"/>
          <w:color w:val="auto"/>
        </w:rPr>
      </w:pPr>
    </w:p>
    <w:p>
      <w:pPr>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8" w:lineRule="exact"/>
        <w:rPr>
          <w:rFonts w:ascii="Arial" w:cs="Arial" w:eastAsia="Arial" w:hAnsi="Arial"/>
          <w:sz w:val="18"/>
          <w:szCs w:val="18"/>
          <w:b w:val="1"/>
          <w:bCs w:val="1"/>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27"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The carrying amounts reflected on the Condensed Consolidated Balance Sheets for cash and cash equivalents, accounts receivable, other current assets, and accounts payable as of October 31, 2020 and February 1, 2020, approximated their fair values.</w:t>
      </w:r>
    </w:p>
    <w:p>
      <w:pPr>
        <w:spacing w:after="0" w:line="25" w:lineRule="exact"/>
        <w:rPr>
          <w:sz w:val="20"/>
          <w:szCs w:val="20"/>
          <w:color w:val="auto"/>
        </w:rPr>
      </w:pPr>
    </w:p>
    <w:p>
      <w:pPr>
        <w:ind w:left="660" w:right="860"/>
        <w:spacing w:after="0" w:line="277" w:lineRule="auto"/>
        <w:rPr>
          <w:sz w:val="20"/>
          <w:szCs w:val="20"/>
          <w:color w:val="auto"/>
        </w:rPr>
      </w:pPr>
      <w:r>
        <w:rPr>
          <w:rFonts w:ascii="Arial" w:cs="Arial" w:eastAsia="Arial" w:hAnsi="Arial"/>
          <w:sz w:val="18"/>
          <w:szCs w:val="18"/>
          <w:color w:val="auto"/>
        </w:rPr>
        <w:t>The following table details the fair value measurements of the Company's investments as of October 31, 2020 and February 1, 2020 (in thousands):</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7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2080" w:type="dxa"/>
            <w:vAlign w:val="bottom"/>
            <w:gridSpan w:val="5"/>
          </w:tcPr>
          <w:p>
            <w:pPr>
              <w:ind w:left="7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1980" w:type="dxa"/>
            <w:vAlign w:val="bottom"/>
            <w:gridSpan w:val="4"/>
          </w:tcPr>
          <w:p>
            <w:pPr>
              <w:ind w:left="700"/>
              <w:spacing w:after="0"/>
              <w:rPr>
                <w:sz w:val="20"/>
                <w:szCs w:val="20"/>
                <w:color w:val="auto"/>
              </w:rPr>
            </w:pPr>
            <w:r>
              <w:rPr>
                <w:rFonts w:ascii="Arial" w:cs="Arial" w:eastAsia="Arial" w:hAnsi="Arial"/>
                <w:sz w:val="14"/>
                <w:szCs w:val="14"/>
                <w:b w:val="1"/>
                <w:bCs w:val="1"/>
                <w:color w:val="auto"/>
              </w:rPr>
              <w:t>Level 3</w:t>
            </w:r>
          </w:p>
        </w:tc>
      </w:tr>
      <w:tr>
        <w:trPr>
          <w:trHeight w:val="135"/>
        </w:trPr>
        <w:tc>
          <w:tcPr>
            <w:tcW w:w="3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rPr>
              <w:t>October 31,</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53"/>
              <w:spacing w:after="0" w:line="135" w:lineRule="exact"/>
              <w:rPr>
                <w:sz w:val="20"/>
                <w:szCs w:val="20"/>
                <w:color w:val="auto"/>
              </w:rPr>
            </w:pPr>
            <w:r>
              <w:rPr>
                <w:rFonts w:ascii="Arial" w:cs="Arial" w:eastAsia="Arial" w:hAnsi="Arial"/>
                <w:sz w:val="14"/>
                <w:szCs w:val="14"/>
                <w:b w:val="1"/>
                <w:bCs w:val="1"/>
                <w:color w:val="auto"/>
                <w:w w:val="95"/>
              </w:rPr>
              <w:t>February 1,</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right"/>
              <w:ind w:right="270"/>
              <w:spacing w:after="0" w:line="135" w:lineRule="exact"/>
              <w:rPr>
                <w:sz w:val="20"/>
                <w:szCs w:val="20"/>
                <w:color w:val="auto"/>
              </w:rPr>
            </w:pPr>
            <w:r>
              <w:rPr>
                <w:rFonts w:ascii="Arial" w:cs="Arial" w:eastAsia="Arial" w:hAnsi="Arial"/>
                <w:sz w:val="14"/>
                <w:szCs w:val="14"/>
                <w:b w:val="1"/>
                <w:bCs w:val="1"/>
                <w:color w:val="auto"/>
                <w:w w:val="90"/>
              </w:rPr>
              <w:t>October 31,</w:t>
            </w:r>
          </w:p>
        </w:tc>
        <w:tc>
          <w:tcPr>
            <w:tcW w:w="880" w:type="dxa"/>
            <w:vAlign w:val="bottom"/>
            <w:tcBorders>
              <w:top w:val="single" w:sz="8" w:color="auto"/>
            </w:tcBorders>
          </w:tcPr>
          <w:p>
            <w:pPr>
              <w:jc w:val="right"/>
              <w:ind w:right="53"/>
              <w:spacing w:after="0" w:line="135" w:lineRule="exact"/>
              <w:rPr>
                <w:sz w:val="20"/>
                <w:szCs w:val="20"/>
                <w:color w:val="auto"/>
              </w:rPr>
            </w:pPr>
            <w:r>
              <w:rPr>
                <w:rFonts w:ascii="Arial" w:cs="Arial" w:eastAsia="Arial" w:hAnsi="Arial"/>
                <w:sz w:val="14"/>
                <w:szCs w:val="14"/>
                <w:b w:val="1"/>
                <w:bCs w:val="1"/>
                <w:color w:val="auto"/>
                <w:w w:val="95"/>
              </w:rPr>
              <w:t>February 1,</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ind w:left="20"/>
              <w:spacing w:after="0" w:line="135" w:lineRule="exact"/>
              <w:rPr>
                <w:sz w:val="20"/>
                <w:szCs w:val="20"/>
                <w:color w:val="auto"/>
              </w:rPr>
            </w:pPr>
            <w:r>
              <w:rPr>
                <w:rFonts w:ascii="Arial" w:cs="Arial" w:eastAsia="Arial" w:hAnsi="Arial"/>
                <w:sz w:val="14"/>
                <w:szCs w:val="14"/>
                <w:b w:val="1"/>
                <w:bCs w:val="1"/>
                <w:color w:val="auto"/>
              </w:rPr>
              <w:t>October 31,</w:t>
            </w:r>
          </w:p>
        </w:tc>
        <w:tc>
          <w:tcPr>
            <w:tcW w:w="880" w:type="dxa"/>
            <w:vAlign w:val="bottom"/>
            <w:tcBorders>
              <w:top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rPr>
              <w:t>February 1,</w:t>
            </w:r>
          </w:p>
        </w:tc>
      </w:tr>
      <w:tr>
        <w:trPr>
          <w:trHeight w:val="188"/>
        </w:trPr>
        <w:tc>
          <w:tcPr>
            <w:tcW w:w="3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r>
      <w:tr>
        <w:trPr>
          <w:trHeight w:val="224"/>
        </w:trPr>
        <w:tc>
          <w:tcPr>
            <w:tcW w:w="32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corporate debt securities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Non-U.S. corporate debt securities</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asset-backed securities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Long-term investments: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corporate debt securities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U.S. asset-backed securities</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Non-U.S. corporate debt securities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Other foreign securities</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Non-U.S. asset-backed securities</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bl>
    <w:p>
      <w:pPr>
        <w:spacing w:after="0" w:line="53" w:lineRule="exact"/>
        <w:rPr>
          <w:sz w:val="20"/>
          <w:szCs w:val="20"/>
          <w:color w:val="auto"/>
        </w:rPr>
      </w:pPr>
    </w:p>
    <w:p>
      <w:pPr>
        <w:ind w:left="680" w:right="1140" w:hanging="6"/>
        <w:spacing w:after="0" w:line="235" w:lineRule="auto"/>
        <w:tabs>
          <w:tab w:leader="none" w:pos="9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equivalents include a money market fund and commercial paper that have a maturity of three months or less at the date of purchase. Due to their short maturity, the Company believes the carrying value approximates fair value.</w:t>
      </w:r>
    </w:p>
    <w:p>
      <w:pPr>
        <w:spacing w:after="0" w:line="94"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The Company assesses potential impairments to its long-lived assets, which include property, plant, and equipment and lease right-of-use assets, on a quarterly basis or whenever events or circumstances indicate that the carrying amount of an asset may not be recoverable. Store-level assets, including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$3.8 million in impairment charges for the thirty-nine weeks ended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October 31, 2020 related to store assets including property, plant, and equipment and lease right-of-use assets. There were no impairment charges recorded for the thirteen weeks ended October 31, 2020 and November 2, 2019 and the thirty-nine weeks ended November 2, 2019. The Company is unable to predict the extent of the impact that the COVID-19 pandemic will have on its operations, the economy, or other factors; therefore, it is possible additional impairments could be identified in future periods, and such amounts could be material.</w:t>
      </w:r>
    </w:p>
    <w:p>
      <w:pPr>
        <w:spacing w:after="0" w:line="36"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Assets recognized or disclosed at fair value on the consolidated financial statements on a nonrecurring basis include items such as property, plant, and equipment, including leasehold improvements, and lease right-of-use assets, as well as assets related to the Pura Vida acquisition including goodwill and intangible assets. These assets are measured at fair value if determined to be impaired. Although the Company determined that no impairment exists for its goodwill and intangible assets, the assets could be at risk for impairment should economic conditions continue to deteriorate as a result of COVID-19 or other factors. Refer to Note 12 herein for additional information on the methods used in the valuation of acquired intangible assets.</w:t>
      </w:r>
    </w:p>
    <w:p>
      <w:pPr>
        <w:spacing w:after="0" w:line="71"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29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660" w:right="1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September 7, 2018,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55" w:lineRule="exact"/>
        <w:rPr>
          <w:rFonts w:ascii="Arial" w:cs="Arial" w:eastAsia="Arial" w:hAnsi="Arial"/>
          <w:sz w:val="18"/>
          <w:szCs w:val="18"/>
          <w:b w:val="1"/>
          <w:bCs w:val="1"/>
          <w:color w:val="auto"/>
        </w:rPr>
      </w:pPr>
    </w:p>
    <w:p>
      <w:pPr>
        <w:ind w:left="66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44" w:lineRule="exact"/>
        <w:rPr>
          <w:rFonts w:ascii="Arial" w:cs="Arial" w:eastAsia="Arial" w:hAnsi="Arial"/>
          <w:sz w:val="18"/>
          <w:szCs w:val="18"/>
          <w:b w:val="1"/>
          <w:bCs w:val="1"/>
          <w:color w:val="auto"/>
        </w:rPr>
      </w:pPr>
    </w:p>
    <w:p>
      <w:pPr>
        <w:ind w:left="66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8" w:lineRule="exact"/>
        <w:rPr>
          <w:rFonts w:ascii="Arial" w:cs="Arial" w:eastAsia="Arial" w:hAnsi="Arial"/>
          <w:sz w:val="18"/>
          <w:szCs w:val="18"/>
          <w:b w:val="1"/>
          <w:bCs w:val="1"/>
          <w:color w:val="auto"/>
        </w:rPr>
      </w:pPr>
    </w:p>
    <w:p>
      <w:pPr>
        <w:ind w:left="66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2" w:lineRule="exact"/>
        <w:rPr>
          <w:sz w:val="20"/>
          <w:szCs w:val="20"/>
          <w:color w:val="auto"/>
        </w:rPr>
      </w:pPr>
    </w:p>
    <w:p>
      <w:pPr>
        <w:ind w:left="660" w:right="120"/>
        <w:spacing w:after="0" w:line="287" w:lineRule="auto"/>
        <w:rPr>
          <w:sz w:val="20"/>
          <w:szCs w:val="20"/>
          <w:color w:val="auto"/>
        </w:rPr>
      </w:pPr>
      <w:r>
        <w:rPr>
          <w:rFonts w:ascii="Arial" w:cs="Arial" w:eastAsia="Arial" w:hAnsi="Arial"/>
          <w:sz w:val="16"/>
          <w:szCs w:val="16"/>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sz w:val="20"/>
          <w:szCs w:val="20"/>
          <w:color w:val="auto"/>
        </w:rPr>
      </w:pPr>
    </w:p>
    <w:p>
      <w:pPr>
        <w:ind w:left="660" w:right="460" w:hanging="4"/>
        <w:spacing w:after="0" w:line="255" w:lineRule="auto"/>
        <w:tabs>
          <w:tab w:leader="none" w:pos="9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104"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color w:val="auto"/>
        </w:rPr>
        <w:t>As of October 31, 2020 the Company had outstanding borrowings of $30.0 million and availability of $45.0 million under the Credit Agreement, compared to no borrowings outstanding and availability of $75.0 million as of February 1, 2020 under the Credit Agreement.</w:t>
      </w:r>
    </w:p>
    <w:p>
      <w:pPr>
        <w:spacing w:after="0" w:line="16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6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4" w:lineRule="exact"/>
        <w:rPr>
          <w:rFonts w:ascii="Arial" w:cs="Arial" w:eastAsia="Arial" w:hAnsi="Arial"/>
          <w:sz w:val="18"/>
          <w:szCs w:val="18"/>
          <w:b w:val="1"/>
          <w:bCs w:val="1"/>
          <w:color w:val="auto"/>
        </w:rPr>
      </w:pPr>
    </w:p>
    <w:p>
      <w:pPr>
        <w:ind w:left="660" w:right="22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thirteen weeks ended October 31, 2020, was 24.4% compared to 26.9% for the thirteen weeks ended November 2, 2019. The year-over-year effective tax rate decrease was primarily due to the relative impact of permanent and discrete items in the current-year period compared to the prior-year period, primarily as a result of stock-based compensation.</w:t>
      </w:r>
    </w:p>
    <w:p>
      <w:pPr>
        <w:spacing w:after="0" w:line="60" w:lineRule="exact"/>
        <w:rPr>
          <w:rFonts w:ascii="Arial" w:cs="Arial" w:eastAsia="Arial" w:hAnsi="Arial"/>
          <w:sz w:val="18"/>
          <w:szCs w:val="18"/>
          <w:b w:val="1"/>
          <w:bCs w:val="1"/>
          <w:color w:val="auto"/>
        </w:rPr>
      </w:pPr>
    </w:p>
    <w:p>
      <w:pPr>
        <w:ind w:left="660" w:right="18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thirty-nine weeks ended October 31, 2020, was 45.5%, compared to 26.7% for the thirty-nine weeks ended November 2, 2019. The year-over-year effective tax rate increase was primarily due to the relative impact of permanent and discrete items in the current-year period compared to the prior-year period, primarily as a result of stock-based compensation.</w:t>
      </w:r>
    </w:p>
    <w:p>
      <w:pPr>
        <w:spacing w:after="0" w:line="285" w:lineRule="exact"/>
        <w:rPr>
          <w:rFonts w:ascii="Arial" w:cs="Arial" w:eastAsia="Arial" w:hAnsi="Arial"/>
          <w:sz w:val="18"/>
          <w:szCs w:val="18"/>
          <w:b w:val="1"/>
          <w:bCs w:val="1"/>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8" w:lineRule="exact"/>
        <w:rPr>
          <w:rFonts w:ascii="Arial" w:cs="Arial" w:eastAsia="Arial" w:hAnsi="Arial"/>
          <w:sz w:val="18"/>
          <w:szCs w:val="18"/>
          <w:b w:val="1"/>
          <w:bCs w:val="1"/>
          <w:color w:val="auto"/>
        </w:rPr>
      </w:pPr>
    </w:p>
    <w:p>
      <w:pPr>
        <w:jc w:val="both"/>
        <w:ind w:left="660"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reserved 3,000,000 shares of common stock for issuance or transfer under the 2020 Equity and Incentive Plan, which allows for grants of restricted stock units, as well as other equity awards. The Company maintains the 2010 Equity and Incentive Plan for awards granted prior to the effectiveness of the 2020 Equity and Incentive Plan.</w:t>
      </w:r>
    </w:p>
    <w:p>
      <w:pPr>
        <w:spacing w:after="0" w:line="21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252" w:lineRule="exact"/>
        <w:rPr>
          <w:rFonts w:ascii="Arial" w:cs="Arial" w:eastAsia="Arial" w:hAnsi="Arial"/>
          <w:sz w:val="18"/>
          <w:szCs w:val="18"/>
          <w:b w:val="1"/>
          <w:bCs w:val="1"/>
          <w:color w:val="auto"/>
        </w:rPr>
      </w:pPr>
    </w:p>
    <w:p>
      <w:pPr>
        <w:ind w:left="66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the thirteen weeks ended October 31, 2020 the Company granted 48,106 time-based restricted stock units with an aggregate fair value of $0.3 million to certain employees under the 2010 Equity and Incentive Plan compared to 9,680 time-based restricted stock units with an aggregate fair value of $0.1 million in the same period of the prior year.</w:t>
      </w:r>
    </w:p>
    <w:p>
      <w:pPr>
        <w:spacing w:after="0" w:line="210" w:lineRule="exact"/>
        <w:rPr>
          <w:rFonts w:ascii="Arial" w:cs="Arial" w:eastAsia="Arial" w:hAnsi="Arial"/>
          <w:sz w:val="18"/>
          <w:szCs w:val="18"/>
          <w:b w:val="1"/>
          <w:bCs w:val="1"/>
          <w:color w:val="auto"/>
        </w:rPr>
      </w:pPr>
    </w:p>
    <w:p>
      <w:pPr>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thirty-nine weeks ended October 31, 2020, the Company granted 1,460,130 time-based and performance-based restricted stock units with an aggregate fair value of $6.1 million to certain employees and non-employee directors under the 2010 Equity and Incentive Plan compared to 416,944 time-based and performance-based restricted stock units with an aggregate fair value of $5.4 million in the same period of the prior year.</w:t>
      </w:r>
    </w:p>
    <w:p>
      <w:pPr>
        <w:spacing w:after="0" w:line="213"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were no restricted stock units granted under the 2020 Equity and Incentive Plan during the thirteen and thirty-nine weeks ended October 31,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33" w:lineRule="exact"/>
        <w:rPr>
          <w:sz w:val="20"/>
          <w:szCs w:val="20"/>
          <w:color w:val="auto"/>
        </w:rPr>
      </w:pPr>
    </w:p>
    <w:p>
      <w:pPr>
        <w:ind w:left="660" w:right="140"/>
        <w:spacing w:after="0" w:line="279" w:lineRule="auto"/>
        <w:rPr>
          <w:sz w:val="20"/>
          <w:szCs w:val="20"/>
          <w:color w:val="auto"/>
        </w:rPr>
      </w:pPr>
      <w:r>
        <w:rPr>
          <w:rFonts w:ascii="Arial" w:cs="Arial" w:eastAsia="Arial" w:hAnsi="Arial"/>
          <w:sz w:val="17"/>
          <w:szCs w:val="17"/>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restricted stock unit activity for the thirty-nine weeks ended October 31, 2020 (units in thousands):</w:t>
      </w:r>
    </w:p>
    <w:p>
      <w:pPr>
        <w:spacing w:after="0" w:line="34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740" w:type="dxa"/>
            <w:vAlign w:val="bottom"/>
            <w:gridSpan w:val="3"/>
          </w:tcPr>
          <w:p>
            <w:pPr>
              <w:jc w:val="center"/>
              <w:ind w:left="938"/>
              <w:spacing w:after="0"/>
              <w:rPr>
                <w:sz w:val="20"/>
                <w:szCs w:val="20"/>
                <w:color w:val="auto"/>
              </w:rPr>
            </w:pPr>
            <w:r>
              <w:rPr>
                <w:rFonts w:ascii="Arial" w:cs="Arial" w:eastAsia="Arial" w:hAnsi="Arial"/>
                <w:sz w:val="14"/>
                <w:szCs w:val="14"/>
                <w:b w:val="1"/>
                <w:bCs w:val="1"/>
                <w:color w:val="auto"/>
                <w:w w:val="92"/>
              </w:rPr>
              <w:t>Time-based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2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Restricted Stock Units</w:t>
            </w:r>
          </w:p>
        </w:tc>
        <w:tc>
          <w:tcPr>
            <w:tcW w:w="2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30"/>
        </w:trPr>
        <w:tc>
          <w:tcPr>
            <w:tcW w:w="436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0"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0"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6"/>
              </w:rPr>
              <w:t>Grant</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5"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6"/>
              </w:rPr>
              <w:t>Value</w:t>
            </w: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280" w:type="dxa"/>
            <w:vAlign w:val="bottom"/>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(per unit)</w:t>
            </w:r>
          </w:p>
        </w:tc>
        <w:tc>
          <w:tcPr>
            <w:tcW w:w="1280" w:type="dxa"/>
            <w:vAlign w:val="bottom"/>
          </w:tcPr>
          <w:p>
            <w:pPr>
              <w:jc w:val="right"/>
              <w:ind w:right="398"/>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60"/>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24"/>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1, 2020</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October 31, 2020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right="660"/>
        <w:spacing w:after="0" w:line="263" w:lineRule="auto"/>
        <w:rPr>
          <w:sz w:val="20"/>
          <w:szCs w:val="20"/>
          <w:color w:val="auto"/>
        </w:rPr>
      </w:pPr>
      <w:r>
        <w:rPr>
          <w:rFonts w:ascii="Arial" w:cs="Arial" w:eastAsia="Arial" w:hAnsi="Arial"/>
          <w:sz w:val="18"/>
          <w:szCs w:val="18"/>
          <w:color w:val="auto"/>
        </w:rPr>
        <w:t>As of October 31, 2020, there was $6.3 million of total unrecognized compensation cost, net of estimated forfeitures, related to nonvested restricted stock units. That cost is expected to be recognized over a weighted-average period of 1.8 years, subject to meeting performance conditions.</w:t>
      </w:r>
    </w:p>
    <w:p>
      <w:pPr>
        <w:spacing w:after="0" w:line="28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07"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70" w:lineRule="exact"/>
        <w:rPr>
          <w:rFonts w:ascii="Arial" w:cs="Arial" w:eastAsia="Arial" w:hAnsi="Arial"/>
          <w:sz w:val="18"/>
          <w:szCs w:val="18"/>
          <w:b w:val="1"/>
          <w:bCs w:val="1"/>
          <w:color w:val="auto"/>
        </w:rPr>
      </w:pPr>
    </w:p>
    <w:p>
      <w:pPr>
        <w:ind w:left="6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30" w:lineRule="exact"/>
        <w:rPr>
          <w:rFonts w:ascii="Arial" w:cs="Arial" w:eastAsia="Arial" w:hAnsi="Arial"/>
          <w:sz w:val="18"/>
          <w:szCs w:val="18"/>
          <w:b w:val="1"/>
          <w:bCs w:val="1"/>
          <w:color w:val="auto"/>
        </w:rPr>
      </w:pPr>
    </w:p>
    <w:p>
      <w:pPr>
        <w:ind w:left="6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alleges various violations of the California Labor Code related to wages, overtime,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meal and rest breaks, non-compliant wage statements and records and other similar allegations related to employment. The Plaintiff has also filed a Private Attorney General Act claim with the state of California regarding the same allegations. The Company denies all liability and intends to vigorously defend itself in the case. The case is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18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94" w:lineRule="exact"/>
        <w:rPr>
          <w:rFonts w:ascii="Arial" w:cs="Arial" w:eastAsia="Arial" w:hAnsi="Arial"/>
          <w:sz w:val="18"/>
          <w:szCs w:val="18"/>
          <w:b w:val="1"/>
          <w:bCs w:val="1"/>
          <w:color w:val="auto"/>
        </w:rPr>
      </w:pP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November 29, 2018, the Company's board of directors approved a share repurchase plan (the “2018 Share Repurchase Program”) authorizing up to $50.0 million of repurchases of shares of the Company's common stock. The 2018 Share Repurchase Program is scheduled to expire on December 14, 2020. On March 20, 2020, the Company temporarily suspended the share repurchase program to conserve cash as a result of the COVID-19 pandemic.</w:t>
      </w:r>
    </w:p>
    <w:p>
      <w:pPr>
        <w:spacing w:after="0" w:line="65" w:lineRule="exact"/>
        <w:rPr>
          <w:rFonts w:ascii="Arial" w:cs="Arial" w:eastAsia="Arial" w:hAnsi="Arial"/>
          <w:sz w:val="18"/>
          <w:szCs w:val="18"/>
          <w:b w:val="1"/>
          <w:bCs w:val="1"/>
          <w:color w:val="auto"/>
        </w:rPr>
      </w:pPr>
    </w:p>
    <w:p>
      <w:pPr>
        <w:jc w:val="both"/>
        <w:ind w:left="660" w:right="20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Subsequent to the end of the quarter, on December 3, 2020, the Company’s board of directors authorized the Company to extend the 2018 Share Repurchase Program through December 11, 2021. The program remains temporarily suspended pending resumption by the Company’s board of directors.</w:t>
      </w:r>
    </w:p>
    <w:p>
      <w:pPr>
        <w:spacing w:after="0" w:line="60" w:lineRule="exact"/>
        <w:rPr>
          <w:rFonts w:ascii="Arial" w:cs="Arial" w:eastAsia="Arial" w:hAnsi="Arial"/>
          <w:sz w:val="18"/>
          <w:szCs w:val="18"/>
          <w:b w:val="1"/>
          <w:bCs w:val="1"/>
          <w:color w:val="auto"/>
        </w:rPr>
      </w:pPr>
    </w:p>
    <w:p>
      <w:pPr>
        <w:ind w:left="6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purchased 381,835 shares at an average price of $7.60 per share, excluding commissions, for an aggregate amount of $2.9 million during the thirty-nine weeks ended October 31, 2020, there was $32.9 million remaining available to repurchase shares of the Company's common stock under the 2018 Share Repurchase Program.</w:t>
      </w:r>
    </w:p>
    <w:p>
      <w:pPr>
        <w:spacing w:after="0" w:line="48" w:lineRule="exact"/>
        <w:rPr>
          <w:rFonts w:ascii="Arial" w:cs="Arial" w:eastAsia="Arial" w:hAnsi="Arial"/>
          <w:sz w:val="18"/>
          <w:szCs w:val="18"/>
          <w:b w:val="1"/>
          <w:bCs w:val="1"/>
          <w:color w:val="auto"/>
        </w:rPr>
      </w:pPr>
    </w:p>
    <w:p>
      <w:pPr>
        <w:ind w:left="660"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As of October 31, 2020, the Company held as treasury shares 8,393,207 shares of its common stock at an average price of $12.76 per share, excluding commissions, for an aggregate carrying amount of $107.1 million. The Company’s treasury shares may be issued under the 2010 Equity and Incentive Plan (with respect to outstanding awards under that plan), under the 2020 Equity and Incentive Plan, or for other corporate purposes.</w:t>
      </w:r>
    </w:p>
    <w:p>
      <w:pPr>
        <w:spacing w:after="0" w:line="266" w:lineRule="exact"/>
        <w:rPr>
          <w:rFonts w:ascii="Arial" w:cs="Arial" w:eastAsia="Arial" w:hAnsi="Arial"/>
          <w:sz w:val="18"/>
          <w:szCs w:val="18"/>
          <w:b w:val="1"/>
          <w:bCs w:val="1"/>
          <w:color w:val="auto"/>
        </w:rPr>
      </w:pPr>
    </w:p>
    <w:p>
      <w:pPr>
        <w:ind w:left="660" w:right="9320" w:hanging="652"/>
        <w:spacing w:after="0" w:line="398" w:lineRule="auto"/>
        <w:tabs>
          <w:tab w:leader="none" w:pos="64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i w:val="1"/>
          <w:iCs w:val="1"/>
          <w:color w:val="auto"/>
        </w:rPr>
        <w:t>Cash Equivalents</w:t>
      </w:r>
    </w:p>
    <w:p>
      <w:pPr>
        <w:spacing w:after="0" w:line="1" w:lineRule="exact"/>
        <w:rPr>
          <w:rFonts w:ascii="Arial" w:cs="Arial" w:eastAsia="Arial" w:hAnsi="Arial"/>
          <w:sz w:val="16"/>
          <w:szCs w:val="16"/>
          <w:b w:val="1"/>
          <w:bCs w:val="1"/>
          <w:color w:val="auto"/>
        </w:rPr>
      </w:pPr>
    </w:p>
    <w:p>
      <w:pPr>
        <w:ind w:left="660" w:right="8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Investments classified as cash equivalents relate to highly-liquid investments with a maturity of three months or less at the date of purchase. As of October 31, 2020 and February 1, 2020, these investments in the Company's portfolio consisted of a money market fund. The balance as of February 1, 2020 also included commercial paper.</w:t>
      </w:r>
    </w:p>
    <w:p>
      <w:pPr>
        <w:spacing w:after="0" w:line="62"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Short-Term Investments</w:t>
      </w:r>
    </w:p>
    <w:p>
      <w:pPr>
        <w:spacing w:after="0" w:line="103" w:lineRule="exact"/>
        <w:rPr>
          <w:rFonts w:ascii="Arial" w:cs="Arial" w:eastAsia="Arial" w:hAnsi="Arial"/>
          <w:sz w:val="16"/>
          <w:szCs w:val="16"/>
          <w:b w:val="1"/>
          <w:bCs w:val="1"/>
          <w:color w:val="auto"/>
        </w:rPr>
      </w:pPr>
    </w:p>
    <w:p>
      <w:pPr>
        <w:ind w:left="660" w:right="18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As of October 31, 2020 and February 1, 2020 short-term investments consisted of U.S. and non-U.S. corporate debt securities with a maturity within one year of the balance sheet date. The balance as of February 1, 2020 also included commercial paper, municipal securities, and U.S. asset-backed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52" w:lineRule="exact"/>
        <w:rPr>
          <w:rFonts w:ascii="Arial" w:cs="Arial" w:eastAsia="Arial" w:hAnsi="Arial"/>
          <w:sz w:val="16"/>
          <w:szCs w:val="16"/>
          <w:b w:val="1"/>
          <w:bCs w:val="1"/>
          <w:color w:val="auto"/>
        </w:rPr>
      </w:pPr>
    </w:p>
    <w:p>
      <w:pPr>
        <w:ind w:left="660" w:right="5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held $1.1 million and $9.0 million in short-term investments as of October 31, 2020 and February 1, 2020, respectively. The following table summarizes the Company's short-term investments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 2020</w:t>
            </w:r>
          </w:p>
        </w:tc>
        <w:tc>
          <w:tcPr>
            <w:tcW w:w="220" w:type="dxa"/>
            <w:vAlign w:val="bottom"/>
          </w:tcPr>
          <w:p>
            <w:pPr>
              <w:spacing w:after="0"/>
              <w:rPr>
                <w:sz w:val="16"/>
                <w:szCs w:val="16"/>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 2020</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25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2,489</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Non-U.S. corporate debt securities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1,136</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asset-backed securities</w:t>
            </w:r>
          </w:p>
        </w:tc>
        <w:tc>
          <w:tcPr>
            <w:tcW w:w="2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2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60" w:type="dxa"/>
            <w:vAlign w:val="bottom"/>
            <w:vMerge w:val="restart"/>
          </w:tcPr>
          <w:p>
            <w:pPr>
              <w:jc w:val="right"/>
              <w:ind w:right="111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Investments</w:t>
      </w:r>
    </w:p>
    <w:p>
      <w:pPr>
        <w:spacing w:after="0" w:line="90"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As of October 31, 2020 and February 1, 2020, long-term investments consisted of U.S. and non-U.S. corporate debt securities with a maturity greater than one year from the balance sheet date. The balance as of February 1, 2020 also included U.S. and non-U.S. asset-backed securities and other foreign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66"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The Company held $0.5 million and $14.9 million in long-term investments as of October 31, 2020 and February 1, 2020, respectively. The following table summarizes the Company's long-term investments (in thousands):</w:t>
      </w:r>
    </w:p>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2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2020</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February 1, 2020</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1380" w:type="dxa"/>
            <w:vAlign w:val="bottom"/>
            <w:shd w:val="clear" w:color="auto" w:fill="CCEEFF"/>
          </w:tcPr>
          <w:p>
            <w:pPr>
              <w:jc w:val="right"/>
              <w:ind w:right="119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U.S. asset-backed securities</w:t>
            </w:r>
          </w:p>
        </w:tc>
        <w:tc>
          <w:tcPr>
            <w:tcW w:w="13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5,498</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 debt securities</w:t>
            </w: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Other foreign securities</w:t>
            </w:r>
          </w:p>
        </w:tc>
        <w:tc>
          <w:tcPr>
            <w:tcW w:w="13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asset-backed securities</w:t>
            </w:r>
          </w:p>
        </w:tc>
        <w:tc>
          <w:tcPr>
            <w:tcW w:w="13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Total long-term investments</w:t>
            </w:r>
          </w:p>
        </w:tc>
        <w:tc>
          <w:tcPr>
            <w:tcW w:w="1380" w:type="dxa"/>
            <w:vAlign w:val="bottom"/>
            <w:tcBorders>
              <w:top w:val="single" w:sz="8" w:color="auto"/>
              <w:bottom w:val="single" w:sz="8" w:color="auto"/>
            </w:tcBorders>
          </w:tcPr>
          <w:p>
            <w:pPr>
              <w:jc w:val="right"/>
              <w:ind w:right="119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14,912</w:t>
            </w:r>
          </w:p>
        </w:tc>
      </w:tr>
      <w:tr>
        <w:trPr>
          <w:trHeight w:val="20"/>
        </w:trPr>
        <w:tc>
          <w:tcPr>
            <w:tcW w:w="6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There were no material gross unrealized gains or losses on available-for-sale debt securities as of October 31, 2020 and February 1, 2020.</w:t>
      </w:r>
    </w:p>
    <w:p>
      <w:pPr>
        <w:spacing w:after="0" w:line="32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Pura Vida</w:t>
      </w:r>
    </w:p>
    <w:p>
      <w:pPr>
        <w:spacing w:after="0" w:line="107" w:lineRule="exact"/>
        <w:rPr>
          <w:rFonts w:ascii="Arial" w:cs="Arial" w:eastAsia="Arial" w:hAnsi="Arial"/>
          <w:sz w:val="18"/>
          <w:szCs w:val="18"/>
          <w:b w:val="1"/>
          <w:bCs w:val="1"/>
          <w:color w:val="auto"/>
        </w:rPr>
      </w:pPr>
    </w:p>
    <w:p>
      <w:pPr>
        <w:ind w:left="6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July 16, 2019, the Company completed its acquisition of a seventy-five percent (75%) ownership interest in Creative Genius, Inc. or “Pura Vida” (the “Transaction”) in exchange for total cash consideration of approximately $75.0 million. During the third quarter of fiscal 2020, the Company provided additional cash consideration of approximately $3.0 million for a working capital adjustment. The Company also received a working capital reimbursement of $1.0 million during the first quarter of fiscal 2021. Additional measurement period adjustments were recorded for conditions that existed as of the acquisition date. Pura Vida, based in La Jolla, California, is a rapidly growing, digitally native, and highly engaging lifestyle brand that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w:t>
      </w:r>
    </w:p>
    <w:p>
      <w:pPr>
        <w:spacing w:after="0" w:line="43" w:lineRule="exact"/>
        <w:rPr>
          <w:rFonts w:ascii="Arial" w:cs="Arial" w:eastAsia="Arial" w:hAnsi="Arial"/>
          <w:sz w:val="18"/>
          <w:szCs w:val="18"/>
          <w:b w:val="1"/>
          <w:bCs w:val="1"/>
          <w:color w:val="auto"/>
        </w:rPr>
      </w:pPr>
    </w:p>
    <w:p>
      <w:pPr>
        <w:ind w:left="66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 There were no transaction costs during the thirteen and thirty-nine weeks ended October 31, 2020 and the thirteen weeks ended November 2, 2019. Pre-tax transaction costs totaled $2.7 million for the thirty-nine weeks ended November 2, 2019. These costs are recorded within selling, general, and administrative expenses in the Condensed Consolidated Statements of Operations and within corporate unallocated expenses.</w:t>
      </w:r>
    </w:p>
    <w:p>
      <w:pPr>
        <w:spacing w:after="0" w:line="31" w:lineRule="exact"/>
        <w:rPr>
          <w:rFonts w:ascii="Arial" w:cs="Arial" w:eastAsia="Arial" w:hAnsi="Arial"/>
          <w:sz w:val="18"/>
          <w:szCs w:val="18"/>
          <w:b w:val="1"/>
          <w:bCs w:val="1"/>
          <w:color w:val="auto"/>
        </w:rPr>
      </w:pPr>
    </w:p>
    <w:p>
      <w:pPr>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July 16, 2019, as contemplated by the Interest Purchase Agreement, the Company and certain of its subsidiaries and the owners of the remaining twenty-five percent (25%) ownership interest in Pura Vida which was not acquired by the Company entered into a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in control of the Company, the parties may exercise a portion of their put and call rights prior to the fifth anniversary of the closing date (as defined in the Put/Call Agreement).</w:t>
      </w:r>
    </w:p>
    <w:p>
      <w:pPr>
        <w:spacing w:after="0" w:line="3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following schedule summarizes the consideration paid for Pura Vida, the fair value of the assets acquired and liabilities assumed, the fair value of the noncontrolling interest, and the fair value of the contingent consideration related to the earn-out provision. The accounting for the acquisition is complete.</w:t>
      </w:r>
    </w:p>
    <w:p>
      <w:pPr>
        <w:spacing w:after="0" w:line="7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4"/>
                <w:szCs w:val="14"/>
                <w:color w:val="auto"/>
              </w:rPr>
            </w:pPr>
          </w:p>
        </w:tc>
        <w:tc>
          <w:tcPr>
            <w:tcW w:w="1380" w:type="dxa"/>
            <w:vAlign w:val="bottom"/>
          </w:tcPr>
          <w:p>
            <w:pPr>
              <w:jc w:val="right"/>
              <w:ind w:right="292"/>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89"/>
        </w:trPr>
        <w:tc>
          <w:tcPr>
            <w:tcW w:w="82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7"/>
              </w:rPr>
              <w:t>Acquisition Date</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line="230" w:lineRule="exact"/>
              <w:rPr>
                <w:sz w:val="20"/>
                <w:szCs w:val="20"/>
                <w:color w:val="auto"/>
              </w:rPr>
            </w:pPr>
            <w:r>
              <w:rPr>
                <w:rFonts w:ascii="Arial" w:cs="Arial" w:eastAsia="Arial" w:hAnsi="Arial"/>
                <w:sz w:val="18"/>
                <w:szCs w:val="18"/>
                <w:color w:val="auto"/>
              </w:rPr>
              <w:t>Accounts receivable, net</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7,680</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Inventories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 of use asset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line="230" w:lineRule="exact"/>
              <w:rPr>
                <w:sz w:val="20"/>
                <w:szCs w:val="20"/>
                <w:color w:val="auto"/>
              </w:rPr>
            </w:pPr>
            <w:r>
              <w:rPr>
                <w:rFonts w:ascii="Arial" w:cs="Arial" w:eastAsia="Arial" w:hAnsi="Arial"/>
                <w:sz w:val="18"/>
                <w:szCs w:val="18"/>
                <w:color w:val="auto"/>
              </w:rPr>
              <w:t>Intangible asset, brand</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intangible assets</w:t>
            </w:r>
            <w:r>
              <w:rPr>
                <w:rFonts w:ascii="Arial" w:cs="Arial" w:eastAsia="Arial" w:hAnsi="Arial"/>
                <w:sz w:val="23"/>
                <w:szCs w:val="23"/>
                <w:color w:val="auto"/>
                <w:vertAlign w:val="superscript"/>
              </w:rPr>
              <w:t>(4)</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24,996</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 acquired</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146,285</w:t>
            </w: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employment costs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line="230" w:lineRule="exact"/>
              <w:rPr>
                <w:sz w:val="20"/>
                <w:szCs w:val="20"/>
                <w:color w:val="auto"/>
              </w:rPr>
            </w:pPr>
            <w:r>
              <w:rPr>
                <w:rFonts w:ascii="Arial" w:cs="Arial" w:eastAsia="Arial" w:hAnsi="Arial"/>
                <w:sz w:val="18"/>
                <w:szCs w:val="18"/>
                <w:color w:val="auto"/>
              </w:rPr>
              <w:t>Other accrued liabilities</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6,637</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23"/>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 assumed</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i w:val="1"/>
                <w:iCs w:val="1"/>
                <w:color w:val="auto"/>
              </w:rPr>
              <w:t>Less: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Contingent consideration related to earn-out provision</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(32,210)</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closing consideration amount, net of cash acquired </w:t>
            </w:r>
            <w:r>
              <w:rPr>
                <w:rFonts w:ascii="Arial" w:cs="Arial" w:eastAsia="Arial" w:hAnsi="Arial"/>
                <w:sz w:val="23"/>
                <w:szCs w:val="23"/>
                <w:color w:val="auto"/>
                <w:vertAlign w:val="superscript"/>
              </w:rPr>
              <w:t>(7)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80" w:right="1000" w:hanging="6"/>
        <w:spacing w:after="0" w:line="237" w:lineRule="auto"/>
        <w:tabs>
          <w:tab w:leader="none" w:pos="9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an $8.3 million step-up adjustment which was recognized in cost of sales within four months of the acquisition. Inventories were valued using the cost approach. The significant assumptions used for the valuation include inventory balances, projected gross and operating margins, and cost and time to dispose (sell) inventory on hand.</w:t>
      </w:r>
    </w:p>
    <w:p>
      <w:pPr>
        <w:spacing w:after="0" w:line="2" w:lineRule="exact"/>
        <w:rPr>
          <w:rFonts w:ascii="Arial" w:cs="Arial" w:eastAsia="Arial" w:hAnsi="Arial"/>
          <w:sz w:val="17"/>
          <w:szCs w:val="17"/>
          <w:color w:val="auto"/>
        </w:rPr>
      </w:pPr>
    </w:p>
    <w:p>
      <w:pPr>
        <w:ind w:left="920" w:hanging="24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 to Note 14 herein for additional information regarding goodwill.</w:t>
      </w:r>
    </w:p>
    <w:p>
      <w:pPr>
        <w:spacing w:after="0" w:line="22" w:lineRule="exact"/>
        <w:rPr>
          <w:rFonts w:ascii="Arial" w:cs="Arial" w:eastAsia="Arial" w:hAnsi="Arial"/>
          <w:sz w:val="18"/>
          <w:szCs w:val="18"/>
          <w:color w:val="auto"/>
        </w:rPr>
      </w:pPr>
    </w:p>
    <w:p>
      <w:pPr>
        <w:ind w:left="680" w:right="800" w:hanging="6"/>
        <w:spacing w:after="0" w:line="224" w:lineRule="auto"/>
        <w:tabs>
          <w:tab w:leader="none" w:pos="9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brand intangible asset was valued using the relief-from-royalty method. The significant assumptions used for the valuation include the royalty rate, estimated projected revenues, long-term growth rate, and the discount rate. Refer to Note 14 herein for additional information regarding intangible assets.</w:t>
      </w:r>
    </w:p>
    <w:p>
      <w:pPr>
        <w:ind w:left="680" w:right="560" w:hanging="6"/>
        <w:spacing w:after="0" w:line="228" w:lineRule="auto"/>
        <w:tabs>
          <w:tab w:leader="none" w:pos="9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intangible assets include customer relationships and non-competition agreements. Customer relationships were valued using the multi-period excess earnings method. Significant assumptions used for the valuation include projected cash flows, the discount rate, and customer attrition rate. The non-competition agreements were valued using the with-or-without method. Significant assumptions used for the valuation include projected cash flows, probability of competition, impact of competition on business, and the discount rate. Refer to Note 14 herein for additional information regarding intangible assets.</w:t>
      </w:r>
    </w:p>
    <w:p>
      <w:pPr>
        <w:spacing w:after="0" w:line="3" w:lineRule="exact"/>
        <w:rPr>
          <w:rFonts w:ascii="Arial" w:cs="Arial" w:eastAsia="Arial" w:hAnsi="Arial"/>
          <w:sz w:val="17"/>
          <w:szCs w:val="17"/>
          <w:color w:val="auto"/>
        </w:rPr>
      </w:pPr>
    </w:p>
    <w:p>
      <w:pPr>
        <w:ind w:left="920" w:hanging="24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$4.1 million related to an indemnified liability.</w:t>
      </w:r>
    </w:p>
    <w:p>
      <w:pPr>
        <w:spacing w:after="0" w:line="22" w:lineRule="exact"/>
        <w:rPr>
          <w:rFonts w:ascii="Arial" w:cs="Arial" w:eastAsia="Arial" w:hAnsi="Arial"/>
          <w:sz w:val="18"/>
          <w:szCs w:val="18"/>
          <w:color w:val="auto"/>
        </w:rPr>
      </w:pPr>
    </w:p>
    <w:p>
      <w:pPr>
        <w:ind w:left="680" w:right="500" w:hanging="6"/>
        <w:spacing w:after="0" w:line="224" w:lineRule="auto"/>
        <w:tabs>
          <w:tab w:leader="none" w:pos="9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Contingent consideration related to the earn-out provision was valued using a Monte Carlo simulation in order to forecast the value of the potential future payment. Significant assumptions used for the valuation include the discount rate, projected cash flows, and calculated volatility.</w:t>
      </w:r>
    </w:p>
    <w:p>
      <w:pPr>
        <w:ind w:left="680" w:right="480" w:hanging="6"/>
        <w:spacing w:after="0" w:line="245" w:lineRule="auto"/>
        <w:tabs>
          <w:tab w:leader="none" w:pos="9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the total $75.0 million closing consideration, $1.0 million was refunded to the Company through a working capital adjustment during the first quarter of fiscal 2021. Cash consideration paid during fiscal 2020 totaled $76.0 million.</w:t>
      </w:r>
    </w:p>
    <w:p>
      <w:pPr>
        <w:sectPr>
          <w:pgSz w:w="11900" w:h="16838" w:orient="portrait"/>
          <w:cols w:equalWidth="0" w:num="1">
            <w:col w:w="10880"/>
          </w:cols>
          <w:pgMar w:left="320" w:top="12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operations of Pura Vida are recorded in the Company's Condensed Consolidated Statements of Operations for the thirteen and thirty-nine weeks ending October 31, 2020, and only for the period beginning on July 17, 2019 in the prior year, which represents the first full day following the acquisition. As such, the Company's financial statements are not comparable with the prior-year period presented. Refer to Note 16 herein for segment-level financial information associated with Pura Vida.</w:t>
      </w:r>
    </w:p>
    <w:p>
      <w:pPr>
        <w:spacing w:after="0" w:line="52"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The following pro forma financial information is intended to provide a sense for what the Company's operating results may have been if the Pura Vida acquisition had occurred at the beginning of fiscal 2019. The pro forma financial information is not indicative of the results that would have been reflected had the transaction actually occurred as of that date, nor is it necessarily indicative of the Company’s future results. The financial information includes expense related to supplemental officer wages and fully indemnified state sales tax matters for time periods before the acquisition date. The Company does not expect these items to have a continuing impact on its consolidated financial statements. The following adjustments have been made:</w:t>
      </w:r>
    </w:p>
    <w:p>
      <w:pPr>
        <w:spacing w:after="0" w:line="7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Definite-lived intangible amortization that exceeds one year has been reflected as if it occurred at the beginning of fiscal 2019;</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Transaction costs have been excluded; and</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expense has been estimated at an effective tax rate of 25.0%.</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2020</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 2019</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 2020</w:t>
            </w:r>
          </w:p>
        </w:tc>
        <w:tc>
          <w:tcPr>
            <w:tcW w:w="16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November 2, 2019</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133,109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325,903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382,199</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 forma net income attributable to Vera</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Inc.</w:t>
            </w:r>
          </w:p>
        </w:tc>
        <w:tc>
          <w:tcPr>
            <w:tcW w:w="16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Pro forma basic net income per share available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Vera Bradley, Inc. shareholders</w:t>
            </w:r>
          </w:p>
        </w:tc>
        <w:tc>
          <w:tcPr>
            <w:tcW w:w="16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w w:val="90"/>
              </w:rPr>
              <w:t>Pro forma diluted net income per share available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to Vera Bradley, Inc. shareholders</w:t>
            </w:r>
          </w:p>
        </w:tc>
        <w:tc>
          <w:tcPr>
            <w:tcW w:w="16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10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Redeemable noncontrolling interest represents the remaining twenty-five percent (25%) interest in Pura Vida not acquired by the Company. Refer to Note 1 herein for additional information.</w:t>
      </w:r>
    </w:p>
    <w:p>
      <w:pPr>
        <w:spacing w:after="0" w:line="3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Changes in redeemable noncontrolling interest for the thirteen and thirty-nine weeks ended October 31, 2020, were as follows (in thousands):</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1, 2020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30,049</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redemption value</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May 2, 2020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38,858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to redemption value</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August 1, 2020</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redeemable noncontrolling interest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Balance at October 31, 2020</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29,146</w:t>
            </w: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redeemable noncontrolling interest for the thirteen and thirty-nine weeks ended November 2, 2019, were as follows (in thousands):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 2019 and May 4, 2019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Fair value of noncontrolling interest at acquisition</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31,786</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Balance at August 3, 2019</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31,650</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measurement period adjustment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Balance at November 2, 2019</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30,333</w:t>
            </w:r>
          </w:p>
        </w:tc>
      </w:tr>
      <w:tr>
        <w:trPr>
          <w:trHeight w:val="20"/>
        </w:trPr>
        <w:tc>
          <w:tcPr>
            <w:tcW w:w="8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107" w:lineRule="exact"/>
        <w:rPr>
          <w:rFonts w:ascii="Arial" w:cs="Arial" w:eastAsia="Arial" w:hAnsi="Arial"/>
          <w:sz w:val="18"/>
          <w:szCs w:val="18"/>
          <w:b w:val="1"/>
          <w:bCs w:val="1"/>
          <w:color w:val="auto"/>
        </w:rPr>
      </w:pPr>
    </w:p>
    <w:p>
      <w:pPr>
        <w:ind w:left="6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tables detail the carrying value of the Company's intangible assets other than goodwill related to the acquisition of a majority interest in Pura Vida.</w:t>
      </w:r>
    </w:p>
    <w:p>
      <w:pPr>
        <w:spacing w:after="0" w:line="6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31, 2020</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89"/>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Amortization</w:t>
            </w:r>
            <w:r>
              <w:rPr>
                <w:rFonts w:ascii="Arial" w:cs="Arial" w:eastAsia="Arial" w:hAnsi="Arial"/>
                <w:sz w:val="9"/>
                <w:szCs w:val="9"/>
                <w:b w:val="1"/>
                <w:bCs w:val="1"/>
                <w:color w:val="auto"/>
                <w:w w:val="97"/>
              </w:rPr>
              <w:t>(1)</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(12,143)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12,065</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12,650</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Amortization expense is recorded within the Pura Vida segment.</w:t>
      </w:r>
    </w:p>
    <w:p>
      <w:pPr>
        <w:spacing w:after="0" w:line="200" w:lineRule="exact"/>
        <w:rPr>
          <w:sz w:val="20"/>
          <w:szCs w:val="20"/>
          <w:color w:val="auto"/>
        </w:rPr>
      </w:pPr>
    </w:p>
    <w:p>
      <w:pPr>
        <w:spacing w:after="0" w:line="28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February 1, 2020</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Carrying Amount</w:t>
            </w:r>
          </w:p>
        </w:tc>
        <w:tc>
          <w:tcPr>
            <w:tcW w:w="0" w:type="dxa"/>
            <w:vAlign w:val="bottom"/>
          </w:tcPr>
          <w:p>
            <w:pPr>
              <w:spacing w:after="0"/>
              <w:rPr>
                <w:sz w:val="1"/>
                <w:szCs w:val="1"/>
                <w:color w:val="auto"/>
              </w:rPr>
            </w:pPr>
          </w:p>
        </w:tc>
      </w:tr>
      <w:tr>
        <w:trPr>
          <w:trHeight w:val="189"/>
        </w:trPr>
        <w:tc>
          <w:tcPr>
            <w:tcW w:w="4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line="189" w:lineRule="exact"/>
              <w:rPr>
                <w:sz w:val="20"/>
                <w:szCs w:val="20"/>
                <w:color w:val="auto"/>
              </w:rPr>
            </w:pPr>
            <w:r>
              <w:rPr>
                <w:rFonts w:ascii="Arial" w:cs="Arial" w:eastAsia="Arial" w:hAnsi="Arial"/>
                <w:sz w:val="14"/>
                <w:szCs w:val="14"/>
                <w:b w:val="1"/>
                <w:bCs w:val="1"/>
                <w:color w:val="auto"/>
                <w:w w:val="93"/>
              </w:rPr>
              <w:t>Amortization</w:t>
            </w:r>
            <w:r>
              <w:rPr>
                <w:rFonts w:ascii="Arial" w:cs="Arial" w:eastAsia="Arial" w:hAnsi="Arial"/>
                <w:sz w:val="18"/>
                <w:szCs w:val="18"/>
                <w:b w:val="1"/>
                <w:bCs w:val="1"/>
                <w:color w:val="auto"/>
                <w:w w:val="93"/>
                <w:vertAlign w:val="superscript"/>
              </w:rPr>
              <w:t>(1)</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Amortization expense is recorded within the Pura Vida segment.</w:t>
      </w:r>
    </w:p>
    <w:p>
      <w:pPr>
        <w:spacing w:after="0" w:line="18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weighted-average amortization period for the definite-lived intangible assets in total is 3.6 years. The weighted-average amortization period is 3.6 years and 5.0 years for customer relationships and non-competition agreements, respectively. The amortization expense for intangible assets is as follows (in thousands):</w:t>
      </w:r>
    </w:p>
    <w:p>
      <w:pPr>
        <w:spacing w:after="0" w:line="94"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Amortization Expense</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 (remaining three months)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3,073</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3,073</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12,650</w:t>
            </w:r>
          </w:p>
        </w:tc>
      </w:tr>
      <w:tr>
        <w:trPr>
          <w:trHeight w:val="21"/>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total amount of the goodwill as of October 31, 2020, was $44.3 million recorded within the Pura Vida segment upon acquisition. Goodwill is expected to be deductible for tax purposes, limited to the Company's 75% majority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ownership interest. Refer to Note 12 herein for addition information regarding goodwill. There were no changes to goodwill for the thirteen and thirty-nine weeks ended October 31, 2020.</w:t>
      </w:r>
    </w:p>
    <w:p>
      <w:pPr>
        <w:spacing w:after="0" w:line="143" w:lineRule="exact"/>
        <w:rPr>
          <w:sz w:val="20"/>
          <w:szCs w:val="20"/>
          <w:color w:val="auto"/>
        </w:rPr>
      </w:pPr>
    </w:p>
    <w:p>
      <w:pPr>
        <w:jc w:val="both"/>
        <w:ind w:left="660" w:right="340"/>
        <w:spacing w:after="0" w:line="311" w:lineRule="auto"/>
        <w:rPr>
          <w:sz w:val="20"/>
          <w:szCs w:val="20"/>
          <w:color w:val="auto"/>
        </w:rPr>
      </w:pPr>
      <w:r>
        <w:rPr>
          <w:rFonts w:ascii="Arial" w:cs="Arial" w:eastAsia="Arial" w:hAnsi="Arial"/>
          <w:sz w:val="16"/>
          <w:szCs w:val="16"/>
          <w:color w:val="auto"/>
        </w:rPr>
        <w:t>Future impacts of COVID-19, including but not limited to the duration and magnitude of the pandemic, may have an impact on the triggering event assessment or future fair value estimate of the goodwill, brand intangible asset, and definite-lived intangible assets, which could lead to material impairment charges. Refer to Note 5 herein for additional information regarding the fair value measurement.</w:t>
      </w:r>
    </w:p>
    <w:p>
      <w:pPr>
        <w:spacing w:after="0" w:line="34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October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Pr>
          <w:p>
            <w:pPr>
              <w:jc w:val="right"/>
              <w:ind w:right="597"/>
              <w:spacing w:after="0"/>
              <w:rPr>
                <w:sz w:val="20"/>
                <w:szCs w:val="20"/>
                <w:color w:val="auto"/>
              </w:rPr>
            </w:pPr>
            <w:r>
              <w:rPr>
                <w:rFonts w:ascii="Arial" w:cs="Arial" w:eastAsia="Arial" w:hAnsi="Arial"/>
                <w:sz w:val="14"/>
                <w:szCs w:val="14"/>
                <w:b w:val="1"/>
                <w:bCs w:val="1"/>
                <w:color w:val="auto"/>
              </w:rPr>
              <w:t>February 1,</w:t>
            </w:r>
          </w:p>
        </w:tc>
      </w:tr>
      <w:tr>
        <w:trPr>
          <w:trHeight w:val="188"/>
        </w:trPr>
        <w:tc>
          <w:tcPr>
            <w:tcW w:w="55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2020</w:t>
            </w:r>
          </w:p>
        </w:tc>
      </w:tr>
      <w:tr>
        <w:trPr>
          <w:trHeight w:val="224"/>
        </w:trPr>
        <w:tc>
          <w:tcPr>
            <w:tcW w:w="55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Raw materials</w:t>
            </w:r>
            <w:r>
              <w:rPr>
                <w:rFonts w:ascii="Arial" w:cs="Arial" w:eastAsia="Arial" w:hAnsi="Arial"/>
                <w:sz w:val="23"/>
                <w:szCs w:val="23"/>
                <w:color w:val="auto"/>
                <w:vertAlign w:val="superscript"/>
              </w:rPr>
              <w:t>(1)</w:t>
            </w:r>
          </w:p>
        </w:tc>
        <w:tc>
          <w:tcPr>
            <w:tcW w:w="1400" w:type="dxa"/>
            <w:vAlign w:val="bottom"/>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140,478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122,550</w:t>
            </w:r>
          </w:p>
        </w:tc>
      </w:tr>
      <w:tr>
        <w:trPr>
          <w:trHeight w:val="23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141,588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123,606</w:t>
            </w:r>
          </w:p>
        </w:tc>
      </w:tr>
    </w:tbl>
    <w:p>
      <w:pPr>
        <w:ind w:left="920" w:hanging="246"/>
        <w:spacing w:after="0"/>
        <w:tabs>
          <w:tab w:leader="none" w:pos="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Relates solely to Pura Vida operations.</w:t>
      </w:r>
    </w:p>
    <w:p>
      <w:pPr>
        <w:spacing w:after="0" w:line="35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07" w:lineRule="exact"/>
        <w:rPr>
          <w:rFonts w:ascii="Arial" w:cs="Arial" w:eastAsia="Arial" w:hAnsi="Arial"/>
          <w:sz w:val="18"/>
          <w:szCs w:val="18"/>
          <w:b w:val="1"/>
          <w:bCs w:val="1"/>
          <w:color w:val="auto"/>
        </w:rPr>
      </w:pPr>
    </w:p>
    <w:p>
      <w:pPr>
        <w:ind w:left="6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Beginning in the second quarter of fiscal 2020, the Company included an additional segment for Pura Vida due to its acquisition. As a result, the Company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52" w:lineRule="exact"/>
        <w:rPr>
          <w:rFonts w:ascii="Arial" w:cs="Arial" w:eastAsia="Arial" w:hAnsi="Arial"/>
          <w:sz w:val="18"/>
          <w:szCs w:val="18"/>
          <w:b w:val="1"/>
          <w:bCs w:val="1"/>
          <w:color w:val="auto"/>
        </w:rPr>
      </w:pPr>
    </w:p>
    <w:p>
      <w:pPr>
        <w:jc w:val="both"/>
        <w:ind w:left="660"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VB Direct segment includes Vera Bradley full-line and factory outlet stores; the Vera Bradley website, verabradley.com; the Vera Bradley online outlet site; and the Vera Bradley annual outlet sale. Revenues generated from this segment are driven through the sale of Vera Bradley-branded products from Vera Bradley to end consumers.</w:t>
      </w:r>
    </w:p>
    <w:p>
      <w:pPr>
        <w:spacing w:after="0" w:line="62" w:lineRule="exact"/>
        <w:rPr>
          <w:rFonts w:ascii="Arial" w:cs="Arial" w:eastAsia="Arial" w:hAnsi="Arial"/>
          <w:sz w:val="18"/>
          <w:szCs w:val="18"/>
          <w:b w:val="1"/>
          <w:bCs w:val="1"/>
          <w:color w:val="auto"/>
        </w:rPr>
      </w:pPr>
    </w:p>
    <w:p>
      <w:pPr>
        <w:ind w:left="6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VB Indirect segment represents revenues generated through the distribution of Vera Bradley-branded products to specialty retailers representing approximately 2,000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65" w:lineRule="exact"/>
        <w:rPr>
          <w:rFonts w:ascii="Arial" w:cs="Arial" w:eastAsia="Arial" w:hAnsi="Arial"/>
          <w:sz w:val="18"/>
          <w:szCs w:val="18"/>
          <w:b w:val="1"/>
          <w:bCs w:val="1"/>
          <w:color w:val="auto"/>
        </w:rPr>
      </w:pPr>
    </w:p>
    <w:p>
      <w:pPr>
        <w:ind w:left="660"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Pura Vida segment represents revenues generated through the Pura Vida websites, www.puravidabracelets.com, www.puravidabracelets.eu, and www.puravidabracelets.ca, and through the distribution of Pura Vida-branded products to wholesale retailers, substantially all of which are located in the United States.</w:t>
      </w:r>
    </w:p>
    <w:p>
      <w:pPr>
        <w:spacing w:after="0" w:line="48"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-3395345</wp:posOffset>
            </wp:positionV>
            <wp:extent cx="2691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1" w:lineRule="exact"/>
        <w:rPr>
          <w:sz w:val="20"/>
          <w:szCs w:val="20"/>
          <w:color w:val="auto"/>
        </w:rPr>
      </w:pPr>
    </w:p>
    <w:p>
      <w:pPr>
        <w:ind w:left="660"/>
        <w:spacing w:after="0" w:line="311" w:lineRule="auto"/>
        <w:rPr>
          <w:sz w:val="20"/>
          <w:szCs w:val="20"/>
          <w:color w:val="auto"/>
        </w:rPr>
      </w:pPr>
      <w:r>
        <w:rPr>
          <w:rFonts w:ascii="Arial" w:cs="Arial" w:eastAsia="Arial" w:hAnsi="Arial"/>
          <w:sz w:val="16"/>
          <w:szCs w:val="16"/>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thirty-nine weeks ended October 31, 2020 and November 2, 2019, respectively, consisted of the following (in thousands):</w:t>
      </w:r>
    </w:p>
    <w:p>
      <w:pPr>
        <w:spacing w:after="0" w:line="7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5"/>
          </w:tcPr>
          <w:p>
            <w:pPr>
              <w:ind w:left="62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6"/>
                <w:szCs w:val="16"/>
                <w:color w:val="auto"/>
              </w:rPr>
            </w:pPr>
          </w:p>
        </w:tc>
        <w:tc>
          <w:tcPr>
            <w:tcW w:w="294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31,</w:t>
            </w: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93"/>
              <w:spacing w:after="0" w:line="135" w:lineRule="exact"/>
              <w:rPr>
                <w:sz w:val="20"/>
                <w:szCs w:val="20"/>
                <w:color w:val="auto"/>
              </w:rPr>
            </w:pPr>
            <w:r>
              <w:rPr>
                <w:rFonts w:ascii="Arial" w:cs="Arial" w:eastAsia="Arial" w:hAnsi="Arial"/>
                <w:sz w:val="14"/>
                <w:szCs w:val="14"/>
                <w:b w:val="1"/>
                <w:bCs w:val="1"/>
                <w:color w:val="auto"/>
              </w:rPr>
              <w:t>November 2,</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31,</w:t>
            </w: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93"/>
              <w:spacing w:after="0" w:line="135" w:lineRule="exact"/>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8"/>
        </w:trPr>
        <w:tc>
          <w:tcPr>
            <w:tcW w:w="3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VB Direct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78,177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78,397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196,247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243,913</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Indirect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63,971</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Pura Vida</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30,405</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338,289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operating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VB Direct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45,172</w:t>
            </w:r>
          </w:p>
        </w:tc>
        <w:tc>
          <w:tcPr>
            <w:tcW w:w="0" w:type="dxa"/>
            <w:vAlign w:val="bottom"/>
          </w:tcPr>
          <w:p>
            <w:pPr>
              <w:spacing w:after="0"/>
              <w:rPr>
                <w:sz w:val="1"/>
                <w:szCs w:val="1"/>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VB Indirect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24,193</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Pura Vida</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23"/>
        </w:trPr>
        <w:tc>
          <w:tcPr>
            <w:tcW w:w="3240" w:type="dxa"/>
            <w:vAlign w:val="bottom"/>
          </w:tcPr>
          <w:p>
            <w:pPr>
              <w:ind w:left="4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64,340</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Segment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29,521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19,516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54,255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64,340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Unallocated corporate expenses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(62,113)</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following discussion summarizes the significant factors affecting the condensed consolidated operating results, financial condition, liquidity, and cash flows of the Company as of and for the thirteen and thirty-nine weeks ended October 31, 2020 and November 2, 2019. The following discussion should be read in conjunction with our Annual Report on Form 10-K for the fiscal year ended February 1, 2020, and our unaudited condensed consolidated financial statements and the related notes included in Item 1 of this Quarterly Report. The results of operations for the thirteen and thirty-nine weeks ended October 31, 2020, are not necessarily indicative of the results to be expected for the full fiscal year.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COVID-19 pandemic resulted in travel restrictions both domestically and internationally, community and self-quarantines, certain factory closures or reduced operations, as well as mall closures and reduced mall operating hours during the first nine months of fiscal 2021. Although the Vera Bradley and Pura Vida e-commerce operations remained open, the aforementioned items had a material adverse impact on overall consumer demand, traffic, and sales. We cannot currently predict the extent that COVID-19 will impact our future liquidity, operating results, and financial condition of the Company, but it could have a significant adverse effect on these metrics. Beginning in mid-March 2020, we began taking several actions to navigate the COVID-19 pandemic, protect our financial position, maximize our liquidity, and to position the Company for a strong reopening and future. These actions included:</w:t>
      </w:r>
    </w:p>
    <w:p>
      <w:pPr>
        <w:spacing w:after="0" w:line="4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closing all Vera Bradley store locations on March 19;</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furloughing approximately 80% of our workforce mid first quarter;</w:t>
      </w:r>
    </w:p>
    <w:p>
      <w:pPr>
        <w:spacing w:after="0" w:line="10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reducing base compensation for remaining salaried associates, with reductions on a graduated scale ranging from 15% to 30%, and 75% for our Chief Executive Officer;</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suspending cash compensation to our Board of Directors;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suspending our share repurchase program;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Drawing $60.0 million of our $75.0 million Credit Agreement;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Temporarily eliminating the Company 401(k) and associate charitable contribution matches;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Tightly managing inventory levels through the cancellation of purchase orders, delay of receipts, or seeking price concessions where possible;</w:t>
      </w:r>
    </w:p>
    <w:p>
      <w:pPr>
        <w:spacing w:after="0" w:line="126" w:lineRule="exact"/>
        <w:rPr>
          <w:rFonts w:ascii="Arial" w:cs="Arial" w:eastAsia="Arial" w:hAnsi="Arial"/>
          <w:sz w:val="16"/>
          <w:szCs w:val="16"/>
          <w:color w:val="auto"/>
        </w:rPr>
      </w:pPr>
    </w:p>
    <w:p>
      <w:pPr>
        <w:ind w:left="660" w:right="4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Actively working with landlords on addressing rent abatement, payment terms, accelerating store closures, and delaying or cancelling certain planned new store openings;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non-payroll operating expenses, including but not limited to, marketing and travel;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Extending vendor payment terms.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 on COVID-19 Actions as of October 31, 2020</w:t>
      </w:r>
    </w:p>
    <w:p>
      <w:pPr>
        <w:spacing w:after="0" w:line="90"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On May 5, 2020, we began to open our Vera Bradley retail stores in a phased approach. All factory stores and all but two full line stores were opened as of the end of the third quarter, although with reduced hours, lower staffing levels, and greatly enhanced safety protocols.</w:t>
      </w:r>
    </w:p>
    <w:p>
      <w:pPr>
        <w:spacing w:after="0" w:line="36"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Third quarter Vera Bradley e-commerce revenues increased 48.8% over the comparable-prior year period and comparable store sales declined 19.1%. The sales of cotton face masks helped to offset the comparable store sales decline at Vera Bradley. Net revenues from masks represented approximately 10% of consolidated net revenues for the thirteen and thirty-nine weeks ended October 31, 2020.</w:t>
      </w:r>
    </w:p>
    <w:p>
      <w:pPr>
        <w:spacing w:after="0" w:line="6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have brought back substantially all of our associates from furlough; reinstated a majority of the base compensation reductions; reinstated the cash compensation to our Board of Directors; and paid back $30.0 million of our $60.0 million borrowing under our Credit Agreement. We continued to manage operating expenses and inventory levels, and work with landlords on rent abatement and payment terms, which helped in the achievement of expense leverage.</w:t>
      </w:r>
    </w:p>
    <w:p>
      <w:pPr>
        <w:spacing w:after="0" w:line="5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addition, the Company is leveraging elements of the Coronavirus Aid Relief and Economic Security (CARES) Act to enhance the financial well-being of associates and to maximize the financial health of the Company. The CARES Act tax provisions include retention credits and the deferral of the employer portion of certain payroll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results for the third quarter of fiscal 2021:</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Despite the COVID-19 situation, we remain focused on our core Vision 20/20 strategies of enhancing our brands and long-term growth through heightened customer engagement and continued product innovation while navigating through the crisis.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Vera Bradley, we:</w:t>
      </w:r>
    </w:p>
    <w:p>
      <w:pPr>
        <w:spacing w:after="0" w:line="9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Launched our new e-commerce site which allowed us to offer enhanced content to guide purchasing;</w:t>
      </w:r>
    </w:p>
    <w:p>
      <w:pPr>
        <w:spacing w:after="0" w:line="90"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Migrated our ERP, POS, Business Intelligence, and Order Management systems to cloud-based Microsoft D365 streamlining and simplifying our work and providing for additional capabilities such as mobile POS;</w:t>
      </w:r>
    </w:p>
    <w:p>
      <w:pPr>
        <w:spacing w:after="0" w:line="48"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to expand our mask offerings, with new features, styles, sizes, patterns, and solids;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Launched our newest Disney collection on verabradley.com in August and our second annual collaboration with Crocs; and</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Introduced our masks and 1982 backpack at Target stores and on target.com.</w:t>
      </w:r>
    </w:p>
    <w:p>
      <w:pPr>
        <w:spacing w:after="0" w:line="104" w:lineRule="exact"/>
        <w:rPr>
          <w:sz w:val="20"/>
          <w:szCs w:val="20"/>
          <w:color w:val="auto"/>
        </w:rPr>
      </w:pPr>
    </w:p>
    <w:p>
      <w:pPr>
        <w:ind w:left="660" w:right="300"/>
        <w:spacing w:after="0" w:line="261" w:lineRule="auto"/>
        <w:rPr>
          <w:sz w:val="20"/>
          <w:szCs w:val="20"/>
          <w:color w:val="auto"/>
        </w:rPr>
      </w:pPr>
      <w:r>
        <w:rPr>
          <w:rFonts w:ascii="Arial" w:cs="Arial" w:eastAsia="Arial" w:hAnsi="Arial"/>
          <w:sz w:val="18"/>
          <w:szCs w:val="18"/>
          <w:color w:val="auto"/>
        </w:rPr>
        <w:t>In addition, using our data-centric programmatic buying, we have significantly increased our paid media efficiency and revenue attributable to paid media during the quarter.</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Pura Vida, we:</w:t>
      </w:r>
    </w:p>
    <w:p>
      <w:pPr>
        <w:spacing w:after="0" w:line="9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to add to our signature cord bracelets, style packs, popular metal, “mood,” and semi-precious collections;</w:t>
      </w:r>
    </w:p>
    <w:p>
      <w:pPr>
        <w:spacing w:after="0" w:line="103" w:lineRule="exact"/>
        <w:rPr>
          <w:rFonts w:ascii="Arial" w:cs="Arial" w:eastAsia="Arial" w:hAnsi="Arial"/>
          <w:sz w:val="18"/>
          <w:szCs w:val="18"/>
          <w:color w:val="auto"/>
        </w:rPr>
      </w:pPr>
    </w:p>
    <w:p>
      <w:pPr>
        <w:ind w:left="1020" w:hanging="36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Launched our “celestial” collection;</w:t>
      </w:r>
    </w:p>
    <w:p>
      <w:pPr>
        <w:spacing w:after="0" w:line="103" w:lineRule="exact"/>
        <w:rPr>
          <w:rFonts w:ascii="Arial" w:cs="Arial" w:eastAsia="Arial" w:hAnsi="Arial"/>
          <w:sz w:val="18"/>
          <w:szCs w:val="18"/>
          <w:color w:val="auto"/>
        </w:rPr>
      </w:pPr>
    </w:p>
    <w:p>
      <w:pPr>
        <w:ind w:left="1020" w:hanging="36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Further expanded our “above the keyboard” offerings;</w:t>
      </w:r>
    </w:p>
    <w:p>
      <w:pPr>
        <w:spacing w:after="0" w:line="90" w:lineRule="exact"/>
        <w:rPr>
          <w:rFonts w:ascii="Arial" w:cs="Arial" w:eastAsia="Arial" w:hAnsi="Arial"/>
          <w:sz w:val="18"/>
          <w:szCs w:val="18"/>
          <w:color w:val="auto"/>
        </w:rPr>
      </w:pPr>
    </w:p>
    <w:p>
      <w:pPr>
        <w:ind w:left="1020" w:hanging="36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Expanded our mask offerings from one style in the second quarter to five styles in the third quarter; and</w:t>
      </w:r>
    </w:p>
    <w:p>
      <w:pPr>
        <w:spacing w:after="0" w:line="103" w:lineRule="exact"/>
        <w:rPr>
          <w:rFonts w:ascii="Arial" w:cs="Arial" w:eastAsia="Arial" w:hAnsi="Arial"/>
          <w:sz w:val="18"/>
          <w:szCs w:val="18"/>
          <w:color w:val="auto"/>
        </w:rPr>
      </w:pPr>
    </w:p>
    <w:p>
      <w:pPr>
        <w:ind w:left="1020" w:hanging="36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Began our wholesale distribution of products in Europe.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(all comparisons are to the third quarter of fiscal 2020)</w:t>
      </w:r>
    </w:p>
    <w:p>
      <w:pPr>
        <w:spacing w:after="0" w:line="108"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revenues decreased 2.1% to $124.8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Vera Bradley Direct (“VB Direct”) segment sales decreased 0.3% to $78.2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Vera Bradley Indirect segment (“VB Indirect”) sales decreased 7.2% to $22.3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Pura Vida segment sales decreased 2.8% to $24.3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profit was $73.8 million, or 59.1% of net revenue.</w:t>
      </w:r>
    </w:p>
    <w:p>
      <w:pPr>
        <w:spacing w:after="0" w:line="9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income was $12.2 million and net income attributable to Vera Bradley, Inc. was $8.9 million. Operating income included intangible asset amortization related to the Pura Vida acquisition of $2.3 million.</w:t>
      </w:r>
    </w:p>
    <w:p>
      <w:pPr>
        <w:spacing w:after="0" w:line="48"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expenditures for the thirteen weeks totaled $0.9 million.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and cash equivalents and investments were $77.3 million at October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Net revenues reflect sales of our merchandise and revenue from distribution and shipping and handling fees, less returns and discounts. Revenues for the VB Direct segment reflect sales through Vera Bradley full-line and factory outlet stores; verabradley.com; our Vera Bradley online outlet site; and our Vera Bradley annual outlet sale in Fort Wayne, Indiana.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Pura Vida websites, www.puravidabracelets.com, www.puravidabracelets.eu, and www.puravidabracelets.ca and through the distribution of Pura Vida-branded products to wholesale retailers.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Typically, comparable sales are calculated based upon our stores that have been open for at least 12 full fiscal months and net revenues from our Vera Bradley e-commerce operations. Pura Vida e-commerce operations are included within the Company's comparable sales beginning with the fiscal 2021 third quarter. Pura Vida e-commerce operations include sales from the subscription club.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w:t>
      </w:r>
    </w:p>
    <w:p>
      <w:pPr>
        <w:spacing w:after="0" w:line="6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substantially all of our Vera Bradley stores were opened during the third quarter, albeit with reduced hours in some locations, we reported third quarter comparable store sales. However, as a result of the temporary closure of all Vera Bradley stores due to COVID-19 during portions of the first and second quarters, the Company's fiscal 2021 year-to-date comparable store sales and comparable sales calculations are not meaningful and therefore are not provided.</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Typically, measuring the change in year-over-year comparable sales allows us to evaluate how our store base and e-commerce operations are performing.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Various factors affect our comparable sales, including:</w:t>
      </w:r>
    </w:p>
    <w:p>
      <w:pPr>
        <w:spacing w:after="0" w:line="8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 and to our on-line customers;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success of promotional and marketing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0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VB Direct business expenses, such as store expenses, employee compensation, and store occupancy and supply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VB Indirect business expenses consisting primarily of employee compensation and other expenses associated with sales to Indirect retailers; and</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Pura Vida business expenses primarily related to employee compensation.</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Other income includes certain legal settlements, proceeds from the sales of tickets to our annual outlet sale, and sales tax credits received for timely filings. In addition, 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(loss) is equal to gross profit less SG&amp;A expenses plus other income. Operating income (loss)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is equal to operating income (loss) plus interest income less interest expense and income taxes.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Redeemable Noncontrolling Interest</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income (loss) attributable to redeemable noncontrolling interest represents the operating results of Pura Vida that are not attributable to Vera Bradley,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Vera Bradley,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Vera Bradley, Inc. is equal to net income less net income (loss) attributable to redeemable noncontrolling interest.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Pura Vida Acquisition</w:t>
      </w:r>
    </w:p>
    <w:p>
      <w:pPr>
        <w:spacing w:after="0" w:line="10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July 16, 2019, the Company completed its acquisition of a seventy-five percent (75%) ownership interest in Creative Genius, Inc. or “Pura Vida” (the “Transaction”) in exchange for total cash consideration of approximately $75.0 million. During the third quarter of fiscal 2020, the Company provided additional cash consideration of approximately $3.0 million for a working capital adjustment. The Company also received a working capital reimbursement of $1.0 million during the first quarter of fiscal 2021. Additional measurement period adjustments were recorded for conditions that existed as of the acquisition date. Pura Vida, based in La Jolla, California, is a rapidly growing, digitally native, and highly engaging lifestyle brand that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w:t>
      </w:r>
    </w:p>
    <w:p>
      <w:pPr>
        <w:spacing w:after="0" w:line="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was made during the first quarter of fiscal 2021 totaling $18.7 million. The Company’s existing available cash, cash equivalents, and investments funded the purchase price due at the closing of the Transaction and subsequent to the closing. There were no transaction costs during the thirteen and thirty-nine weeks ended October 31, 2020 and the thirteen weeks ended November 2, 2019. Pre-tax transaction costs totaled $2.7 million for the thirty-nine weeks ended November 2, 2019. These costs are recorded within selling, general, and administrative expenses in the Condensed Consolidated Statements of Operations and within corporate unallocated expenses.</w:t>
      </w:r>
    </w:p>
    <w:p>
      <w:pPr>
        <w:spacing w:after="0" w:line="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Pura Vida has been fully consolidated within our financial statements beginning on July 17, 2019, the first full day following the acquisition. Pura Vida was also added as a reportable segment as a result of the acquisition. Refer to Note 12 to the Notes to the Condensed Consolidated Financial Statements herein for additional information regarding the Pura Vida acquisition.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10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Impairment charges of $3.8 million were recognized during the thirty-nine weeks ended October 31, 2020, for property, plant, and equipment and lease right-of-use assets related to underperforming stores and are included in selling, general, and administrative expenses in the Condensed Consolidated Statements of Operations and in impairment charges in the Condensed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Consolidated Statements of Cash Flows. The impairment charges are included in the Direct segment. There were no impairment charges recorded during the thirteen weeks ended October 31, 2020 or November 2, 2019. The COVID-19 pandemic, including the temporary closure of Vera Bradley retail stores beginning in mid-March, significantly impacted the Company's operations and cash flows which was the main driver of the impairment charges. We are unable to predict the extent of the impact that the COVID-19 pandemic will have on our operations, the economy, or other factors; therefore, it is possible additional impairments could be identified in future periods, and such amounts could be material.</w:t>
      </w:r>
    </w:p>
    <w:p>
      <w:pPr>
        <w:spacing w:after="0" w:line="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and may be material.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6"/>
                <w:szCs w:val="16"/>
                <w:color w:val="auto"/>
              </w:rPr>
            </w:pPr>
          </w:p>
        </w:tc>
        <w:tc>
          <w:tcPr>
            <w:tcW w:w="28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31,</w:t>
            </w: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71"/>
              <w:spacing w:after="0" w:line="135" w:lineRule="exact"/>
              <w:rPr>
                <w:sz w:val="20"/>
                <w:szCs w:val="20"/>
                <w:color w:val="auto"/>
              </w:rPr>
            </w:pPr>
            <w:r>
              <w:rPr>
                <w:rFonts w:ascii="Arial" w:cs="Arial" w:eastAsia="Arial" w:hAnsi="Arial"/>
                <w:sz w:val="14"/>
                <w:szCs w:val="14"/>
                <w:b w:val="1"/>
                <w:bCs w:val="1"/>
                <w:color w:val="auto"/>
              </w:rPr>
              <w:t>November 2,</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October 31,</w:t>
            </w: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71"/>
              <w:spacing w:after="0" w:line="135" w:lineRule="exact"/>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124,849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338,289</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59,631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138,263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152,618</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187,640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185,671</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61,703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69,423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183,640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184,465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12,164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11,866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Net income attributable to Vera Bradley,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8,874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Percentage of Net Revenues: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54.9 %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(income),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Vera Bradley, Inc.</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8"/>
          </w:tcPr>
          <w:p>
            <w:pPr>
              <w:ind w:left="60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6"/>
          </w:tcPr>
          <w:p>
            <w:pPr>
              <w:jc w:val="right"/>
              <w:ind w:right="67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October 31,</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53"/>
              <w:spacing w:after="0" w:line="135" w:lineRule="exact"/>
              <w:rPr>
                <w:sz w:val="20"/>
                <w:szCs w:val="20"/>
                <w:color w:val="auto"/>
              </w:rPr>
            </w:pPr>
            <w:r>
              <w:rPr>
                <w:rFonts w:ascii="Arial" w:cs="Arial" w:eastAsia="Arial" w:hAnsi="Arial"/>
                <w:sz w:val="14"/>
                <w:szCs w:val="14"/>
                <w:b w:val="1"/>
                <w:bCs w:val="1"/>
                <w:color w:val="auto"/>
                <w:w w:val="92"/>
              </w:rPr>
              <w:t>November 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October 31,</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73"/>
              <w:spacing w:after="0" w:line="135" w:lineRule="exact"/>
              <w:rPr>
                <w:sz w:val="20"/>
                <w:szCs w:val="20"/>
                <w:color w:val="auto"/>
              </w:rPr>
            </w:pPr>
            <w:r>
              <w:rPr>
                <w:rFonts w:ascii="Arial" w:cs="Arial" w:eastAsia="Arial" w:hAnsi="Arial"/>
                <w:sz w:val="14"/>
                <w:szCs w:val="14"/>
                <w:b w:val="1"/>
                <w:bCs w:val="1"/>
                <w:color w:val="auto"/>
                <w:w w:val="92"/>
              </w:rPr>
              <w:t>November 2,</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Net Revenues by Segment: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78,177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78,397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196,247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243,913</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22,344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24,087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51,303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63,971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24,328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25,017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78,353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30,405</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124,849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127,501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325,903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338,289</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Percentage of Net Revenues by Segment: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VB Direct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62.6 %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72.1 %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Indirect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Pura Vida</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8"/>
          </w:tcPr>
          <w:p>
            <w:pPr>
              <w:ind w:left="62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6"/>
          </w:tcPr>
          <w:p>
            <w:pPr>
              <w:jc w:val="right"/>
              <w:ind w:right="67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October 31,</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November 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October 31,</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33"/>
              <w:spacing w:after="0" w:line="135" w:lineRule="exact"/>
              <w:rPr>
                <w:sz w:val="20"/>
                <w:szCs w:val="20"/>
                <w:color w:val="auto"/>
              </w:rPr>
            </w:pPr>
            <w:r>
              <w:rPr>
                <w:rFonts w:ascii="Arial" w:cs="Arial" w:eastAsia="Arial" w:hAnsi="Arial"/>
                <w:sz w:val="14"/>
                <w:szCs w:val="14"/>
                <w:b w:val="1"/>
                <w:bCs w:val="1"/>
                <w:color w:val="auto"/>
                <w:w w:val="92"/>
              </w:rPr>
              <w:t>November 2,</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 by Segment: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19,777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14,675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31,634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45,172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9,342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9,324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18,575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24,193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(4,483)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Corporate unallocated</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(17,357)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(20,992)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(50,166)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(62,113)</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12,164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(1,476)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4,089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91"/>
              </w:rPr>
              <w:t>Operating Income (Loss) as a Percentage of Net Revenues by</w:t>
            </w: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Segment: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VB Direct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VB Indirect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38.7 %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Pura Vida</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opened during period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Total stores closed during period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stores open at end of period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Comparable sales (including e-commerce) increase </w:t>
            </w:r>
            <w:r>
              <w:rPr>
                <w:rFonts w:ascii="Arial" w:cs="Arial" w:eastAsia="Arial" w:hAnsi="Arial"/>
                <w:sz w:val="23"/>
                <w:szCs w:val="23"/>
                <w:color w:val="auto"/>
                <w:vertAlign w:val="superscript"/>
              </w:rPr>
              <w:t>(2)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ind w:left="96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square footage at end of period (all stores)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394,776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391,888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394,776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391,888</w:t>
            </w:r>
          </w:p>
        </w:tc>
        <w:tc>
          <w:tcPr>
            <w:tcW w:w="0" w:type="dxa"/>
            <w:vAlign w:val="bottom"/>
          </w:tcPr>
          <w:p>
            <w:pPr>
              <w:spacing w:after="0"/>
              <w:rPr>
                <w:sz w:val="1"/>
                <w:szCs w:val="1"/>
                <w:color w:val="auto"/>
              </w:rPr>
            </w:pPr>
          </w:p>
        </w:tc>
      </w:tr>
      <w:tr>
        <w:trPr>
          <w:trHeight w:val="312"/>
        </w:trPr>
        <w:tc>
          <w:tcPr>
            <w:tcW w:w="4860" w:type="dxa"/>
            <w:vAlign w:val="bottom"/>
          </w:tcPr>
          <w:p>
            <w:pPr>
              <w:ind w:left="20"/>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3"/>
                <w:szCs w:val="23"/>
                <w:color w:val="auto"/>
                <w:vertAlign w:val="superscript"/>
              </w:rPr>
              <w:t>(3)</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ind w:left="960"/>
              <w:spacing w:after="0"/>
              <w:rPr>
                <w:sz w:val="20"/>
                <w:szCs w:val="20"/>
                <w:color w:val="auto"/>
              </w:rPr>
            </w:pPr>
            <w:r>
              <w:rPr>
                <w:rFonts w:ascii="Arial" w:cs="Arial" w:eastAsia="Arial" w:hAnsi="Arial"/>
                <w:sz w:val="18"/>
                <w:szCs w:val="18"/>
                <w:color w:val="auto"/>
              </w:rPr>
              <w:t>NM</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Vera Bradley full-line and factory outlet stores.</w:t>
      </w:r>
    </w:p>
    <w:p>
      <w:pPr>
        <w:spacing w:after="0" w:line="23" w:lineRule="exact"/>
        <w:rPr>
          <w:rFonts w:ascii="Arial" w:cs="Arial" w:eastAsia="Arial" w:hAnsi="Arial"/>
          <w:sz w:val="18"/>
          <w:szCs w:val="18"/>
          <w:color w:val="auto"/>
        </w:rPr>
      </w:pPr>
    </w:p>
    <w:p>
      <w:pPr>
        <w:ind w:left="580" w:right="40" w:hanging="572"/>
        <w:spacing w:after="0" w:line="253" w:lineRule="auto"/>
        <w:tabs>
          <w:tab w:leader="none" w:pos="5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substantially all of the Vera Bradley stores reopened and remained open for the current-year third quarter, the Company reported the comparable sales figure for the third quarter; however, as a result of the temporary closure of Vera Bradley stores due to COVID-19 during portions of the first and second quarters, the Company's fiscal 2021 year-to-date comparable store sales and comparable sales calculations were not meaningful and therefore were not provided.</w:t>
      </w:r>
    </w:p>
    <w:p>
      <w:pPr>
        <w:spacing w:after="0" w:line="219" w:lineRule="exact"/>
        <w:rPr>
          <w:rFonts w:ascii="Arial" w:cs="Arial" w:eastAsia="Arial" w:hAnsi="Arial"/>
          <w:sz w:val="18"/>
          <w:szCs w:val="18"/>
          <w:color w:val="auto"/>
        </w:rPr>
      </w:pPr>
    </w:p>
    <w:p>
      <w:pPr>
        <w:ind w:left="580" w:right="140"/>
        <w:spacing w:after="0" w:line="259" w:lineRule="auto"/>
        <w:rPr>
          <w:rFonts w:ascii="Arial" w:cs="Arial" w:eastAsia="Arial" w:hAnsi="Arial"/>
          <w:sz w:val="18"/>
          <w:szCs w:val="18"/>
          <w:color w:val="auto"/>
        </w:rPr>
      </w:pPr>
      <w:r>
        <w:rPr>
          <w:rFonts w:ascii="Arial" w:cs="Arial" w:eastAsia="Arial" w:hAnsi="Arial"/>
          <w:sz w:val="18"/>
          <w:szCs w:val="18"/>
          <w:color w:val="auto"/>
        </w:rPr>
        <w:t>Comparable sales are calculated based upon Vera Bradley stores that have been open for at least 12 full fiscal months and net revenues from our Vera Bradley e-commerce operations. Pura Vida e-commerce operations are included in the current-year third quarter comparable sales figure. Increase or decrease is reported as a percentage of the comparable sales for the same period in the prior fiscal year. Remodeled stores are included in comparable sales unless the store was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580" w:right="420"/>
        <w:spacing w:after="0" w:line="258" w:lineRule="auto"/>
        <w:rPr>
          <w:sz w:val="20"/>
          <w:szCs w:val="20"/>
          <w:color w:val="auto"/>
        </w:rPr>
      </w:pPr>
      <w:r>
        <w:rPr>
          <w:rFonts w:ascii="Arial" w:cs="Arial" w:eastAsia="Arial" w:hAnsi="Arial"/>
          <w:sz w:val="18"/>
          <w:szCs w:val="18"/>
          <w:color w:val="auto"/>
        </w:rPr>
        <w:t>closed for more than one week of the current or comparable prior period, in which case the non-comparable temporary closure periods are not included, or the remodel resulted in a significant change in square footage.</w:t>
      </w:r>
    </w:p>
    <w:p>
      <w:pPr>
        <w:spacing w:after="0" w:line="1" w:lineRule="exact"/>
        <w:rPr>
          <w:sz w:val="20"/>
          <w:szCs w:val="20"/>
          <w:color w:val="auto"/>
        </w:rPr>
      </w:pPr>
    </w:p>
    <w:p>
      <w:pPr>
        <w:ind w:left="580" w:hanging="572"/>
        <w:spacing w:after="0" w:line="290" w:lineRule="auto"/>
        <w:tabs>
          <w:tab w:leader="none" w:pos="574" w:val="left"/>
        </w:tabs>
        <w:numPr>
          <w:ilvl w:val="0"/>
          <w:numId w:val="36"/>
        </w:numPr>
        <w:rPr>
          <w:rFonts w:ascii="Arial" w:cs="Arial" w:eastAsia="Arial" w:hAnsi="Arial"/>
          <w:sz w:val="16"/>
          <w:szCs w:val="16"/>
          <w:color w:val="auto"/>
        </w:rPr>
      </w:pPr>
      <w:r>
        <w:rPr>
          <w:rFonts w:ascii="Arial" w:cs="Arial" w:eastAsia="Arial" w:hAnsi="Arial"/>
          <w:sz w:val="16"/>
          <w:szCs w:val="16"/>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As substantially all of the Vera Bradley stores reopened and remained open for the current-year third quarter, the Company reported average net revenues per square foot for the third quarter; however, as a result of the temporary closure of Vera Bradley stores due to COVID-19 during portions of the first and second quarters, the Company's fiscal 2021 year-to-date average net revenues per square foot were not meaningful and therefore were not provided.</w:t>
      </w:r>
    </w:p>
    <w:p>
      <w:pPr>
        <w:spacing w:after="0" w:line="200" w:lineRule="exact"/>
        <w:rPr>
          <w:sz w:val="20"/>
          <w:szCs w:val="20"/>
          <w:color w:val="auto"/>
        </w:rPr>
      </w:pPr>
    </w:p>
    <w:p>
      <w:pPr>
        <w:ind w:right="3780"/>
        <w:spacing w:after="0" w:line="354" w:lineRule="auto"/>
        <w:rPr>
          <w:sz w:val="20"/>
          <w:szCs w:val="20"/>
          <w:color w:val="auto"/>
        </w:rPr>
      </w:pPr>
      <w:r>
        <w:rPr>
          <w:rFonts w:ascii="Arial" w:cs="Arial" w:eastAsia="Arial" w:hAnsi="Arial"/>
          <w:sz w:val="18"/>
          <w:szCs w:val="18"/>
          <w:b w:val="1"/>
          <w:bCs w:val="1"/>
          <w:color w:val="auto"/>
        </w:rPr>
        <w:t xml:space="preserve">Thirteen Weeks Ended October 31, 2020, Compared to Thirteen Weeks Ended November 2, 2019 </w:t>
      </w:r>
      <w:r>
        <w:rPr>
          <w:rFonts w:ascii="Arial" w:cs="Arial" w:eastAsia="Arial" w:hAnsi="Arial"/>
          <w:sz w:val="18"/>
          <w:szCs w:val="18"/>
          <w:i w:val="1"/>
          <w:iCs w:val="1"/>
          <w:color w:val="auto"/>
        </w:rPr>
        <w:t>Net Revenues</w:t>
      </w:r>
    </w:p>
    <w:p>
      <w:pPr>
        <w:spacing w:after="0" w:line="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the thirteen weeks ended October 31, 2020, net revenues decreased $2.7 million, or 2.1%, to $124.8 million, from $127.5 million in the comparable prior-year period. Net revenues from masks represented approximately 10% of consolidated net revenues for the thirteen weeks ended October 31, 2020.</w:t>
      </w:r>
    </w:p>
    <w:p>
      <w:pPr>
        <w:spacing w:after="0" w:line="7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i w:val="1"/>
          <w:iCs w:val="1"/>
          <w:color w:val="auto"/>
        </w:rPr>
        <w:t>VB Direct</w:t>
      </w:r>
      <w:r>
        <w:rPr>
          <w:rFonts w:ascii="Arial" w:cs="Arial" w:eastAsia="Arial" w:hAnsi="Arial"/>
          <w:sz w:val="18"/>
          <w:szCs w:val="18"/>
          <w:color w:val="auto"/>
        </w:rPr>
        <w:t>. For the thirteen weeks ended October 31, 2020, net revenues in the VB Direct segment decreased $0.2 million, or 0.3%, to $78.2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$78.4 million in the comparable prior-year period. E-commerce sales growth of 48.8% was offset by the 19.1% decline in comparable store sales for the quarter, as store traffic continues to be negatively impacted by the pandemic. We closed 10 full-line stores and opened six factory outlet stores in the last twelve months</w:t>
      </w:r>
      <w:r>
        <w:rPr>
          <w:rFonts w:ascii="Arial" w:cs="Arial" w:eastAsia="Arial" w:hAnsi="Arial"/>
          <w:sz w:val="19"/>
          <w:szCs w:val="19"/>
          <w:color w:val="auto"/>
        </w:rPr>
        <w:t>.</w:t>
      </w:r>
    </w:p>
    <w:p>
      <w:pPr>
        <w:spacing w:after="0" w:line="12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the thirteen weeks ended October 31, 2020, net revenues in the VB Indirect segment decreased $1.8 million, or 7.2%, to $22.3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$24.1 million in the comparable prior-year period. The decline was primarily due to a reduction in orders primarily related to the pandemic and in the number of specialty and department store accounts.</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the thirteen weeks ended October 31, 2020, net revenues in the Pura Vida segment decreased $0.7 million, or 2.8%, to $24.3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$25.0 million in the comparable prior-year period. The Pura Vida e-commerce sales increase of 17.2% was more than offset by a decline in sales to wholesale accounts, which were negatively affected by the pandemic. Refer to Note 12 to the Notes to the Condensed Consolidated Financial Statements herein for additional information regarding the Pura Vida acquisition.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the thirteen weeks ended October 31, 2020, gross profit increased $5.9 million, or 8.8%, to $73.8 million, from $67.9 million in the comparable prior-year period. As a percentage of net revenues, gross profit increased to 59.1% for the thirteen weeks ended October 31, 2020, from 53.2% in the comparable prior-year period. The prior-year period gross profit was negatively impacted by the amortization of an inventory step-up adjustment relating to the Pura Vida acquisition of $6.2 million, or 4.9% of net revenues. The remaining gross profit expansion was primarily through the sales of cotton masks.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For the thirteen weeks ended October 31, 2020, SG&amp;A expenses decreased $7.7 million, or 11.1%, to $61.7 million, from $69.4 million in the comparable prior-year period. As a percentage of net revenues, SG&amp;A expenses decreased to 49.4% for the thirteen weeks ended October 31, 2020, from 54.4% in the comparable prior-year period. SG&amp;A expenses related to Vera Bradley and corporate unallocated were $48.2 million compared to $55.5 million in the comparable prior-year period. SG&amp;A expenses related to Pura Vida were $13.5 million compared to $13.9 million in the prior-year. The decrease in consolidated SG&amp;A expenses for the thirteen weeks ended October 31, 2020 was primarily due to:</w:t>
      </w:r>
    </w:p>
    <w:p>
      <w:pPr>
        <w:spacing w:after="0" w:line="40" w:lineRule="exact"/>
        <w:rPr>
          <w:sz w:val="20"/>
          <w:szCs w:val="20"/>
          <w:color w:val="auto"/>
        </w:rPr>
      </w:pPr>
    </w:p>
    <w:p>
      <w:pPr>
        <w:ind w:left="660" w:right="120" w:hanging="328"/>
        <w:spacing w:after="0" w:line="235"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Vera Bradley initiatives to reduce expenses in light of COVID-19 including temporarily reducing the base compensation for certain salaried associates; certain expense reductions associated with the CARES Act retention credit; and reducing other non-payroll expenses, including travel expenses;</w:t>
      </w:r>
    </w:p>
    <w:p>
      <w:pPr>
        <w:spacing w:after="0" w:line="53" w:lineRule="exact"/>
        <w:rPr>
          <w:rFonts w:ascii="Arial" w:cs="Arial" w:eastAsia="Arial" w:hAnsi="Arial"/>
          <w:sz w:val="18"/>
          <w:szCs w:val="18"/>
          <w:color w:val="auto"/>
        </w:rPr>
      </w:pPr>
    </w:p>
    <w:p>
      <w:pPr>
        <w:ind w:left="660" w:right="120" w:hanging="328"/>
        <w:spacing w:after="0" w:line="235"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reduction of $2.6 million in depreciation expense primarily as a result of legacy software depreciation in the prior-year period that did not recur in the current-year period and savings as a result of property, plant, and equipment impairments recorded in the first quarter of the current-year; and</w:t>
      </w:r>
    </w:p>
    <w:p>
      <w:pPr>
        <w:spacing w:after="0" w:line="53"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reduction in lease expense of approximately $1.0 million primarily as a result of lease right-of-use asset impairments recorded in the first quarter of the current-year, ten full-line store closures during the last 12 months, and lower contingent rent.</w:t>
      </w:r>
    </w:p>
    <w:p>
      <w:pPr>
        <w:spacing w:after="0" w:line="3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There was also $1.8 million of expense associated with accretion of the earn-out liability in the prior-year period that did not recur in the current-year period. The aforementioned savings were partially offset by an increase in incentive compensation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expense as a result of a change in performance estimates and front line bonuses. SG&amp;A expenses as a percentage of net revenues decreased primarily due to expense leverage associated with the aforementioned expense savings.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thirteen weeks ended October 31, 2020, other income decreased $41.0 thousand to $36.0 thousand compared to $77.0 thousand in the comparable prior-year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For the thirteen weeks ended October 31, 2020, operating income increased $13.7 million to $12.2 million in the current-year period, from an operating loss of $(1.5) million in the comparable prior-year period. As a percentage of net revenues, operating income (loss) was 9.7% and (1.2)% for the thirteen weeks ended October 31, 2020 and November 2, 2019, respectively. Operating income increased due to the factors described above.</w:t>
      </w:r>
    </w:p>
    <w:p>
      <w:pPr>
        <w:spacing w:after="0" w:line="9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VB Direct</w:t>
      </w:r>
      <w:r>
        <w:rPr>
          <w:rFonts w:ascii="Arial" w:cs="Arial" w:eastAsia="Arial" w:hAnsi="Arial"/>
          <w:sz w:val="17"/>
          <w:szCs w:val="17"/>
          <w:color w:val="auto"/>
        </w:rPr>
        <w:t>. For the thirteen weeks ended October 31, 2020, operating income in the VB Direct segment increased $5.1 million, to $19.8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income of $14.7 million in the comparable prior-year period. As a percentage of VB Direct segment net revenues, operating income in the VB Direct segment was 25.3% and 18.7% for the thirteen weeks ended October 31, 2020 and November 2, 2019, respectively. The increase in operating income as a percentage of VB Direct segment net revenues was primarily due to an increase in gross margin as a percentage of net revenues as described above and SG&amp;A expense leverage associated with the aforementioned expense savings.</w:t>
      </w:r>
    </w:p>
    <w:p>
      <w:pPr>
        <w:spacing w:after="0" w:line="12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VB Indirect</w:t>
      </w:r>
      <w:r>
        <w:rPr>
          <w:rFonts w:ascii="Arial" w:cs="Arial" w:eastAsia="Arial" w:hAnsi="Arial"/>
          <w:sz w:val="17"/>
          <w:szCs w:val="17"/>
          <w:color w:val="auto"/>
        </w:rPr>
        <w:t>. For the thirteen weeks ended October 31, 2020, operating income in the VB Indirect segment was consistent with the comparable prior-year</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at $9.3 million. As a percentage of VB Indirect segment net revenues, operating income in the VB Indirect segment was 41.8% and 38.7% for the thirteen weeks ended October 31, 2020 and November 2, 2019, respectively. The increase in operating income as a percentage of VB Indirect segment net revenues was primarily due to an increase in gross margin as a percentage of net revenues.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Pura Vida. </w:t>
      </w:r>
      <w:r>
        <w:rPr>
          <w:rFonts w:ascii="Arial" w:cs="Arial" w:eastAsia="Arial" w:hAnsi="Arial"/>
          <w:sz w:val="16"/>
          <w:szCs w:val="16"/>
          <w:color w:val="auto"/>
        </w:rPr>
        <w:t>For the thirteen weeks ended October 31, 2020, operating income in the Pura Vida segment was $0.4 million, or 1.7% of Pura Vida segment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compared to an operating loss of $(4.5) million, or (17.9)% for the comparable prior-year period. The increase in operating income as a percentage of Pura Vida segment net revenues was primarily due to $6.2 million of inventory step-up amortization in the prior-year period that did not recur in the current-year period. This increase was partially offset by a decline in gross margin as a percentage of net revenues for Pura Vida. Refer to Note 12 to the Notes to the Condensed Consolidated Financial Statements herein for additional information regarding the Pura Vida acquisition.</w:t>
      </w:r>
    </w:p>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October 31, 2020, unallocated expenses decreased $3.6 million, or 17.3%, to $17.4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$21.0 million in the comparable prior-year period. The decrease in unallocated expenses was primarily due to initiatives to reduce expenses in light of COVID-19, including temporarily reducing the base compensation for certain salaried associates and reducing other non-payroll expenses including marketing and travel, as well as a reduction in depreciation expense primarily as a result of legacy software depreciation in the prior-year period that did not recur in the current-year period. There was also $1.8 million of expense associated with accretion of the earn-out liability in the prior-year period that did not recur in the current-year period. These expense savings were partially offset by an increase in incentive compensation expense as a result of a change in performance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0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effective tax rate for the thirteen weeks ended October 31, 2020, was 24.4%, compared to 26.9% for the thirteen weeks ended November 2, 2019. The year-over year effective tax rate decrease was primarily due to the relative impact of permanent and discrete items in the current-year period compared to the prior-year period, primarily as a result of stock-based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thirteen weeks ended October 31, 2020, net income increased $10.0 million to $9.0 million from a net loss of $(1.0) million in the comparable prior-year period due to the factors described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Redeemable Noncontrolling Interest</w:t>
      </w:r>
    </w:p>
    <w:p>
      <w:pPr>
        <w:spacing w:after="0" w:line="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the thirteen weeks ended October 31, 2020, net income attributable to redeemable noncontrolling interest was $0.1 million compared to net loss attributable to redeemable noncontrolling interest of $(1.1) million in the comparable prior-year period.</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represents the allocation of the Pura Vida net income (loss) to the noncontrolling interest. The net income (loss) was due to the factors described above in the Pura Vida operating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Vera Bradley, Inc.</w:t>
      </w:r>
    </w:p>
    <w:p>
      <w:pPr>
        <w:spacing w:after="0" w:line="10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For the thirteen weeks ended October 31, 2020, net income attributable to Vera Bradley, Inc. increased $8.8 million to $8.9 million from $0.1 million in the comparable prior-year period due to the factors described above.</w:t>
      </w:r>
    </w:p>
    <w:p>
      <w:pPr>
        <w:spacing w:after="0" w:line="207" w:lineRule="exact"/>
        <w:rPr>
          <w:sz w:val="20"/>
          <w:szCs w:val="20"/>
          <w:color w:val="auto"/>
        </w:rPr>
      </w:pPr>
    </w:p>
    <w:p>
      <w:pPr>
        <w:ind w:right="3300"/>
        <w:spacing w:after="0" w:line="354" w:lineRule="auto"/>
        <w:rPr>
          <w:sz w:val="20"/>
          <w:szCs w:val="20"/>
          <w:color w:val="auto"/>
        </w:rPr>
      </w:pPr>
      <w:r>
        <w:rPr>
          <w:rFonts w:ascii="Arial" w:cs="Arial" w:eastAsia="Arial" w:hAnsi="Arial"/>
          <w:sz w:val="18"/>
          <w:szCs w:val="18"/>
          <w:b w:val="1"/>
          <w:bCs w:val="1"/>
          <w:color w:val="auto"/>
        </w:rPr>
        <w:t xml:space="preserve">Thirty-Nine Weeks Ended October 31, 2020, Compared to Thirty-Nine Weeks Ended November 2, 2019 </w:t>
      </w:r>
      <w:r>
        <w:rPr>
          <w:rFonts w:ascii="Arial" w:cs="Arial" w:eastAsia="Arial" w:hAnsi="Arial"/>
          <w:sz w:val="18"/>
          <w:szCs w:val="18"/>
          <w:i w:val="1"/>
          <w:iCs w:val="1"/>
          <w:color w:val="auto"/>
        </w:rPr>
        <w:t>Net Revenues</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thirty-nine weeks ended October 31, 2020, net revenues decreased $12.4 million, or 3.7%, to $325.9 million, from $338.3 million in the comparable prior-year period. Net revenues from masks represented approximately 10% of consolidated net revenues for the thirty-nine weeks ended October 31, 2020.</w:t>
      </w:r>
    </w:p>
    <w:p>
      <w:pPr>
        <w:spacing w:after="0" w:line="70" w:lineRule="exact"/>
        <w:rPr>
          <w:sz w:val="20"/>
          <w:szCs w:val="20"/>
          <w:color w:val="auto"/>
        </w:rPr>
      </w:pPr>
    </w:p>
    <w:p>
      <w:pPr>
        <w:jc w:val="both"/>
        <w:ind w:right="60"/>
        <w:spacing w:after="0" w:line="241" w:lineRule="auto"/>
        <w:rPr>
          <w:sz w:val="20"/>
          <w:szCs w:val="20"/>
          <w:color w:val="auto"/>
        </w:rPr>
      </w:pPr>
      <w:r>
        <w:rPr>
          <w:rFonts w:ascii="Arial" w:cs="Arial" w:eastAsia="Arial" w:hAnsi="Arial"/>
          <w:sz w:val="18"/>
          <w:szCs w:val="18"/>
          <w:i w:val="1"/>
          <w:iCs w:val="1"/>
          <w:color w:val="auto"/>
        </w:rPr>
        <w:t>VB Direct</w:t>
      </w:r>
      <w:r>
        <w:rPr>
          <w:rFonts w:ascii="Arial" w:cs="Arial" w:eastAsia="Arial" w:hAnsi="Arial"/>
          <w:sz w:val="18"/>
          <w:szCs w:val="18"/>
          <w:color w:val="auto"/>
        </w:rPr>
        <w:t>. For the thirty-nine weeks ended October 31, 2020, net revenues in the VB Direct segment decreased $47.7 million, or 19.5%, to $196.2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$243.9 million in the comparable prior-year period. The decline primarily resulted from the Company’s stores that were temporarily closed as a result of COVID-19 and lower traffic and sales as they reopened with reduced staffing, hours, and capacity, as well as the COVID-19-related cancellation of our annual outlet sale which typically occurs in April. This decline was partially offset by current-year period Vera Bradley e-commerce sales which increased 59.0% over the comparable period in the prior-year.</w:t>
      </w:r>
    </w:p>
    <w:p>
      <w:pPr>
        <w:spacing w:after="0" w:line="13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i w:val="1"/>
          <w:iCs w:val="1"/>
          <w:color w:val="auto"/>
        </w:rPr>
        <w:t>VB Indirect</w:t>
      </w:r>
      <w:r>
        <w:rPr>
          <w:rFonts w:ascii="Arial" w:cs="Arial" w:eastAsia="Arial" w:hAnsi="Arial"/>
          <w:sz w:val="16"/>
          <w:szCs w:val="16"/>
          <w:color w:val="auto"/>
        </w:rPr>
        <w:t>. For the thirty-nine weeks ended October 31, 2020, net revenues in the VB Indirect segment decreased $12.7 million, or 19.8%, to $51.3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$64.0 million in the comparable prior-year period. The decline was primarily due to a reduction in orders from specialty, department stores and other key accounts, largely related to COVID-19, as well as a reduction in the number of specialty and department store accounts.</w:t>
      </w:r>
    </w:p>
    <w:p>
      <w:pPr>
        <w:spacing w:after="0" w:line="9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the thirty-nine weeks ended October 31, 2020, net revenues in the Pura Vida segment were $78.4 million compared to $30.4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 period of the prior-year. Refer to Note 12 to the Notes to the Condensed Consolidated Financial Statements herein for additional information regarding the Pura Vida acquisition.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the thirty-nine weeks ended October 31, 2020, gross profit increased $1.9 million, or 1.1%, to $187.6 million, from $185.7 million in the comparable prior-year period. As a percentage of net revenues, gross profit increased to 57.6% for the thirty-nine weeks ended October 31, 2020, from 54.9% in the comparable prior-year period. Charges for the cancellation of certain purchase orders due to COVID-19 in the current-year totaled $1.3 million and negatively impacted gross margin as a percentage of net revenues by 0.4%. The prior-year period included $7.2 million of inventory step-up amortization related to the Pura Vida acquisition that negatively impacted gross margin as a percentage of net revenues by 2.1%. The remaining increase as a percentage of net revenues was primarily due to mask sales, product collaborations, inventory management, and controlled promotional activity.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For the thirty-nine weeks ended October 31, 2020, SG&amp;A expenses decreased $0.9 million, or 0.4%, to $183.6 million, from $184.5 million in the comparable prior-year period. As a percentage of net revenues, SG&amp;A expenses increased to 56.3% for the thirty-nine weeks ended October 31, 2020, from 54.5% in the comparable prior-year period. SG&amp;A expenses related to Vera Bradley and corporate unallocated were $141.7 million compared to</w:t>
      </w:r>
    </w:p>
    <w:p>
      <w:pPr>
        <w:spacing w:after="0" w:line="1"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$167.8 million in the comparable prior-year period. SG&amp;A expenses related to Pura Vida were $41.9 million compared to $16.7 million in the partial period of the prior-year. The decrease in consolidated SG&amp;A expenses for the thirty-nine weeks ended October 31, 2020 was primarily due to</w:t>
      </w:r>
    </w:p>
    <w:p>
      <w:pPr>
        <w:spacing w:after="0" w:line="5" w:lineRule="exact"/>
        <w:rPr>
          <w:sz w:val="20"/>
          <w:szCs w:val="20"/>
          <w:color w:val="auto"/>
        </w:rPr>
      </w:pPr>
    </w:p>
    <w:p>
      <w:pPr>
        <w:jc w:val="both"/>
        <w:ind w:left="660" w:right="20" w:hanging="328"/>
        <w:spacing w:after="0" w:line="235"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Vera Bradley initiatives to reduce expenses in light of COVID-19 including the temporary furlough of certain associates; temporarily reducing the base compensation for all other salaried associates; certain expense reductions associated with the CARES Act retention credit; and reducing other non-payroll expenses including marketing, professional fees, and travel;</w:t>
      </w:r>
    </w:p>
    <w:p>
      <w:pPr>
        <w:spacing w:after="0" w:line="53" w:lineRule="exact"/>
        <w:rPr>
          <w:rFonts w:ascii="Arial" w:cs="Arial" w:eastAsia="Arial" w:hAnsi="Arial"/>
          <w:sz w:val="18"/>
          <w:szCs w:val="18"/>
          <w:color w:val="auto"/>
        </w:rPr>
      </w:pPr>
    </w:p>
    <w:p>
      <w:pPr>
        <w:ind w:left="660" w:right="140" w:hanging="328"/>
        <w:spacing w:after="0" w:line="235"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reduction of $2.4 million in depreciation expense primarily as a result of legacy software depreciation in the prior-year period that did not recur in the current-year period and savings as a result of property, plant, and equipment impairments recorded in the first quarter of the current-year; and</w:t>
      </w:r>
    </w:p>
    <w:p>
      <w:pPr>
        <w:spacing w:after="0" w:line="53" w:lineRule="exact"/>
        <w:rPr>
          <w:rFonts w:ascii="Arial" w:cs="Arial" w:eastAsia="Arial" w:hAnsi="Arial"/>
          <w:sz w:val="18"/>
          <w:szCs w:val="18"/>
          <w:color w:val="auto"/>
        </w:rPr>
      </w:pPr>
    </w:p>
    <w:p>
      <w:pPr>
        <w:ind w:left="660" w:right="40" w:hanging="328"/>
        <w:spacing w:after="0" w:line="246"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reduction of approximately $4.0 million in lease expense primarily as a result of lease right-of-use asset impairments recorded in the first quarter of the current-year, ten full-line store closures during the last 12 months, and lower contingent rent.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There were also $2.7 million of Pura Vida transaction costs and $1.8 million of expense associated with accretion of the earn-out liability in the prior-year period that did not recur in the current-year period. These expense reductions were partially offset by incremental Pura Vida operating expenses of $21.0 million; Vera Bradley store impairment charges of $3.8 million; and incremental amortization of intangible assets associated with the Pura Vida acquisition of $4.1 million. SG&amp;A expenses as a percentage of net revenues increased primarily due to the aforementioned items, as well as SG&amp;A expense de-leverage associated with decreased sales.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0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For the thirty-nine weeks ended October 31, 2020, other income decreased $0.9 million to $0.1 million compared to $1.0 million in the comparable prior-year period. The decrease in other income was primarily due to outlet sale ticket sales not received in the current-year period due to the cancellation of our 2020 annual outlet sale as a result of COVID-19, as well as a legal settlement received in the prior-year period that did not recur in the current-year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For the thirty-nine weeks ended October 31, 2020, operating income increased $1.9 million to $4.1 million in the current-year period, from operating income of $2.2 million in the comparable prior-year period. As a percentage of net revenues, operating income was 1.3% and 0.7% for the thirty-nine weeks ended October 31, 2020 and November 2, 2019, respectively. Operating income increased due to the factors described above.</w:t>
      </w:r>
    </w:p>
    <w:p>
      <w:pPr>
        <w:spacing w:after="0" w:line="9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i w:val="1"/>
          <w:iCs w:val="1"/>
          <w:color w:val="auto"/>
        </w:rPr>
        <w:t>VB Direct</w:t>
      </w:r>
      <w:r>
        <w:rPr>
          <w:rFonts w:ascii="Arial" w:cs="Arial" w:eastAsia="Arial" w:hAnsi="Arial"/>
          <w:sz w:val="16"/>
          <w:szCs w:val="16"/>
          <w:color w:val="auto"/>
        </w:rPr>
        <w:t>. For the thirty-nine weeks ended October 31, 2020, operating income in the VB Direct segment decreased $13.6 million, to $31.6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$45.2 million in the comparable prior-year period. As a percentage of VB Direct segment net revenues, operating income in the VB Direct segment was</w:t>
      </w:r>
    </w:p>
    <w:p>
      <w:pPr>
        <w:ind w:right="60"/>
        <w:spacing w:after="0" w:line="273" w:lineRule="auto"/>
        <w:rPr>
          <w:sz w:val="20"/>
          <w:szCs w:val="20"/>
          <w:color w:val="auto"/>
        </w:rPr>
      </w:pPr>
      <w:r>
        <w:rPr>
          <w:rFonts w:ascii="Arial" w:cs="Arial" w:eastAsia="Arial" w:hAnsi="Arial"/>
          <w:sz w:val="17"/>
          <w:szCs w:val="17"/>
          <w:color w:val="auto"/>
        </w:rPr>
        <w:t>16.1% and 18.5% for the thirty-nine weeks ended October 31, 2020 and November 2, 2019, respectively. The decrease in operating income as a percentage of VB Direct segment net revenues was primarily due to SG&amp;A expense de-leverage associated with lower sales primarily as a result of temporary store closures due to COVID-19, store impairment charges, and an allocation of charges for the cancellation of certain purchase orders related to COVID-19. These decreases were partially offset by an increase in gross margin as a percentage of net revenues, as described above.</w:t>
      </w:r>
    </w:p>
    <w:p>
      <w:pPr>
        <w:spacing w:after="0" w:line="12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VB Indirect</w:t>
      </w:r>
      <w:r>
        <w:rPr>
          <w:rFonts w:ascii="Arial" w:cs="Arial" w:eastAsia="Arial" w:hAnsi="Arial"/>
          <w:sz w:val="17"/>
          <w:szCs w:val="17"/>
          <w:color w:val="auto"/>
        </w:rPr>
        <w:t>. For the thirty-nine weeks ended October 31, 2020, operating income in the VB Indirect segment decreased $5.6 million, or 23.2%, to $18.6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$24.2 million in the comparable prior-year period. As a percentage of VB Indirect segment net revenues, operating income in the VB Indirect segment was 36.2% and 37.8% for the thirty-nine weeks ended October 31, 2020 and November 2, 2019, respectively. The decrease in operating income as a percentage of VB Indirect segment net revenues was primarily due to SG&amp;A expense de-leverage associated with lower sales and an increase in the bad debt provision, partially offset by an increase in gross margin as a percentage of net revenues as described above.</w:t>
      </w:r>
    </w:p>
    <w:p>
      <w:pPr>
        <w:spacing w:after="0" w:line="12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the thirty-nine weeks ended October 31, 2020, operating income in the Pura Vida segment was $4.0 million, or 5.2% of Pura Vida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revenues compared to an operating loss of $(5.0) million, or (16.5)% in the partial prior-year period. The current-year operating results included $7.0 million of intangible asset amortization expense. The prior-year period included $7.2 million of inventory step-up amortization and $2.9 million of intangible asset amortization. Refer to Note 12 to the Notes to the Condensed Consolidated Financial Statements herein for additional information regarding the Pura Vida acquisition.</w:t>
      </w:r>
    </w:p>
    <w:p>
      <w:pPr>
        <w:spacing w:after="0" w:line="13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thirty-nine weeks ended October 31, 2020, unallocated expenses decreased $11.9 million, or 19.2%, to $50.2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$62.1 million in the comparable prior-year period. The decrease in unallocated expenses was primarily due to initiatives to reduce expenses in light of COVID-19 including the temporary furlough of certain associates; temporarily reducing the base compensation for all other salaried associates; and reducing other non-payroll expenses including marketing, professional fees, and travel, as well as a reduction in depreciation expense primarily as a result of legacy software depreciation in the prior-year period that did not recur in the current-year period. There was also $1.8 million of expense associated with accretion of the earn-out liability in the prior-year period that did not recur in the current-year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effective tax rate for the thirty-nine weeks ended October 31, 2020, was 45.5%, compared to 26.7% for the thirty-nine weeks ended November 2, 2019. The year-over year effective tax rate increase was primarily due to the relative impact of permanent and discrete items in the current-year period compared to the prior-year period, primarily as a result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thirty-nine weeks ended October 31, 2020, net income decreased $0.5 million to $1.8 million from $2.3 million in the comparable prior-year period due to the factors described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Redeemable Noncontrolling Interest</w:t>
      </w:r>
    </w:p>
    <w:p>
      <w:pPr>
        <w:spacing w:after="0" w:line="10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the thirty-nine weeks ended October 31, 2020, net income attributable to redeemable noncontrolling interest was $1.0 million compared to net loss of $(1.3) million in the partial prior-year period. This represents the allocation of the Pura Vida net income (loss) to the noncontrolling interest. The net income (loss) was due to the factors described above in the Pura Vida operating segment.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Vera Bradley, Inc.</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thirty-nine weeks ended October 31, 2020, net income attributable to Vera Bradley, Inc. decreased $2.8 million to $0.8 million from $3.6 million in the comparable prior-year period due to the factors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sources of liquidity are cash on hand and cash equivalents, investments, and cash flow from operations. We also have access to additional liquidity, if needed, through incremental borrowings under our $75.0 million asset-based revolving credit agreement (the “Credit Agreement”) which began on September 7, 2018. Net borrowings under the credit agreement totaled $30.0 million during the thirty-nine weeks ended October 31, 2020, and there was $30.0 million in debt outstanding as of October 31, 2020.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light of the COVID-19 pandemic, we anticipate that we will have increased needs for cash due to store closures and a general decline in sales related to the pandemic. While we believe that cash on hand and cash equivalents, investments, cash flows from operating activities, and the additional availability of borrowings under our Credit Agreement or other financing arrangements will be sufficient to meet working capital requirements and anticipated capital expenditures, other strategic uses of cash, if any, and debt payments for the foreseeable future, we cannot predict the full cash needs of the Company during the pandemic.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Investments classified as cash equivalents relate to highly-liquid investments with a maturity of three months or less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As of October 31, 2020 and February 1, 2020, these investments in the Company's portfolio consisted of a money market fund. The balance as of February 1, 2020 also included commercial paper.</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As of October 31, 2020 and February 1, 2020 short-term investments consisted of U.S. and non-U.S. corporate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a maturity within one year of the balance sheet date. The balance as of February 1, 2020 also included commercial paper, municipal securities, and U.S. asset-backed securities.</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As of October 31, 2020 and February 1, 2020, long-term investments consisted of U.S. and non-U.S. corporate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a maturity greater than one year from the balance sheet date. The balance as of February 1, 2020 also included U.S. and non-U.S. asset-backed securities and other foreign securities.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11 “Investments” within Item 1 “Financial Statements” of this Quarterly Report on Form 10-Q for additional detail regarding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Thirty-Nine Weeks Ended</w:t>
            </w:r>
          </w:p>
        </w:tc>
      </w:tr>
      <w:tr>
        <w:trPr>
          <w:trHeight w:val="134"/>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1"/>
                <w:szCs w:val="11"/>
                <w:color w:val="auto"/>
              </w:rPr>
            </w:pPr>
          </w:p>
        </w:tc>
        <w:tc>
          <w:tcPr>
            <w:tcW w:w="1220" w:type="dxa"/>
            <w:vAlign w:val="bottom"/>
          </w:tcPr>
          <w:p>
            <w:pPr>
              <w:jc w:val="right"/>
              <w:ind w:right="257"/>
              <w:spacing w:after="0" w:line="135" w:lineRule="exact"/>
              <w:rPr>
                <w:sz w:val="20"/>
                <w:szCs w:val="20"/>
                <w:color w:val="auto"/>
              </w:rPr>
            </w:pPr>
            <w:r>
              <w:rPr>
                <w:rFonts w:ascii="Arial" w:cs="Arial" w:eastAsia="Arial" w:hAnsi="Arial"/>
                <w:sz w:val="14"/>
                <w:szCs w:val="14"/>
                <w:b w:val="1"/>
                <w:bCs w:val="1"/>
                <w:color w:val="auto"/>
              </w:rPr>
              <w:t>November 2,</w:t>
            </w:r>
          </w:p>
        </w:tc>
      </w:tr>
      <w:tr>
        <w:trPr>
          <w:trHeight w:val="188"/>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(67,010)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Operating Activities</w:t>
      </w:r>
    </w:p>
    <w:p>
      <w:pPr>
        <w:spacing w:after="0" w:line="90"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Net cash provided by (used in)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3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Net cash provided by operating activities for the thirty-nine weeks ended October 31, 2020 was $1.6 million compared to cash used in operating activities of $9.2 million for the thirty-nine weeks ended November 2, 2019. The increase in cash provided by operating activities was primarily related to the change in assets and liabilities. Increases resulting in a source of cash were primarily related to the deferral of rent payments as a result of COVID-19, as well as timing of other payments. The increases that resulted in a use of cash were primarily related to a change in the timing of receipt of certain customer payments, payments made for Pura Vida operations not in the prior-year period, as well as certain Vera Bradley technology project expenditures.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investing activities was $18.0 million for the thirty-nine weeks ended October 31, 2020 compared to cash used in investing activities of $67.0 million for the thirty-nine weeks ended November 2, 2019. The increase in cash provided by investing activities was primarily a result of decreased spending related to property, plant, and equipment and net investment activity in the current year, as well as the July 2019 acquisition of Pura Vida that occurred in the prior-year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2021 are expected to be approximately $6.0 million to $7.0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provided by financing activities was $6.2 million for the thirty-nine weeks ended October 31, 2020 compared to cash used in financing activities of $11.2 million for the thirty-nine weeks ended November 2, 2019. The increase in cash provided by financing activities was primarily due to net borrowings of $30.0 million under our Credit Agreement and a decline of $6.1 million in repurchases of common stock, partially offset by the $18.7 million payment of the contingent consideration associated with the July 2019 acquisition of Pura Vida.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6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restrictions by meeting payment conditions defined in the Credit Agreement. The Company was in compliance with these covenants as of October 31, 2020.</w:t>
      </w:r>
    </w:p>
    <w:p>
      <w:pPr>
        <w:spacing w:after="0" w:line="35"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2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October 31, 2020 the Company had outstanding borrowings of $30.0 million and availability of $45.0 million under the Credit Agreement, compared to no borrowings outstanding and availability of $75.0 million as of February 1, 2020 under the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1, 2020.</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1, 2020. There were no significant changes to any of the critical accounting policies and estimates described in the Annual Report as of October 31,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October 31, 2020, there was no material change in the market risks described in “Quantitative and Qualitative Disclosures About Market Risks” in the Company’s Annual Report on Form 10-K for the fiscal year ended February 1, 2020.</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October 31, 2020.</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July 16, 2019, the Company completed its acquisition of a majority interest in Pura Vida. Pura Vida constitutes approximately 25% of total assets and 7% of total liabilities as of October 31, 2020, and approximately 20% and 24% of net revenues for the thirteen and thirty-nine weeks ended October 31, 2020, respectively. As of August 1, 2020, the Company integrated the acquired business into its system of internal control over financial reporting and has included it in the above assessment regarding the effectiveness of the Company's disclosure controls and procedures.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During the quarter ended October 31, 2020, the Company implemented a new Enterprise Resource Planning system and a new e-commerce platform (collectively the “information technology re-platforming”) resulting in certain changes to the Company's internal control over financial reporting. Other than the information technology re-platforming, 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0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of 2020, Chidimma Igboakaeze filed suit seeking class certification for all current and former hourly-paid employees who worked for the Company within the state of California during the four years preceding the filing until final judgement. The complaint alleges various violations of the California Labor Code related to wages, overtime, meal and rest breaks, non-compliant wage statements and records and other similar allegations related to employment. The Plaintiff has also filed a Private Attorney General Act claim with the state of California regarding the same allegations. The Company denies all liability and intends to vigorously defend itself in the case. The case is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Except as follows, there have been no material changes to the risk factors previously set forth in the Company’s Annual Report on Form 10-K for the fiscal year ended February 1, 2020.</w:t>
      </w:r>
    </w:p>
    <w:p>
      <w:pPr>
        <w:spacing w:after="0" w:line="3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The outbreak of the novel coronavirus (COVID-19), or other events, may continue to cause significant disruptions in our revenue streams, operations, global supply chain and other facets of our business, which may continue to adversely impact our results of operations, financial condition, and share price.</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operations are currently subject to significant disruptions as a result of the COVID-19 pandemic. The pandemic has resulted in travel restrictions both domestically and internationally, community and self-quarantines, certain factory closures or reduced operations, as well as mall closures and reduced mall operating hours. We temporarily closed our retail stores on March 19, 2020. On May 5, 2020, we began to reopen our retail stores in a phased approach, with all but two full-line stores open and all factory stores open as of the end of October. Despite the reopening of a majority of our retail stores, we have experienced, and may continue to experience, significantly reduced traffic, demand, and sales. Further, as guidance and mandates from governments and public health officials continue to evolve, additional closures to some, or all, of our retail stores, the stores of our Indirect segment partners, and other aspects of our operations may occur.</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Among other impacts, COVID-19 has led to temporary factory closures and production and logistics constraints due to workforce availability in China. Although we continue to reduce our reliance on production from China, we expect our China production to be approximately 20% during fiscal 2021. As a result of the aforementioned restrictions, we may experience delayed shipments and increased shipping costs for some of our fiscal 2021 merchandise. We may also be adversely impacted should the pandemic compromise operations at our corporate headquarters and distribution center located in Roanoke, Indiana.</w:t>
      </w:r>
    </w:p>
    <w:p>
      <w:pPr>
        <w:spacing w:after="0" w:line="5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extent of the pandemic’s continued impact on our results of operations, financial condition, and share price will likely depend on future developments including, but not limited to, the duration of the spread of the outbreak, including the potential for spikes in the number of COVID-19 cases in future periods; mitigation activities undertaken by governments and the general public; and the overall economic impacts of quarantines and business closures.</w:t>
      </w:r>
    </w:p>
    <w:p>
      <w:pPr>
        <w:spacing w:after="0" w:line="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 above-mentioned factors, the Company’s liquidity, results of operations, and financial condition have been, and are likely to continue to be, adversely impacted.</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Beginning in mid-March 2020, we began taking several actions to navigate the COVID-19 pandemic, protect our financial position, maximize our liquidity, and to position the Company for a strong reopening and future. In addition to the aforementioned store closures, these actions included: temporarily furloughing approximately 80% of our workforce during the first quarter; temporarily reducing compensation for remaining salaried associates based on a graduated scale; temporarily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suspending cash compensation to our board of directors; temporarily suspending our share repurchase program; drawing $60.0 million of our $75.0 million Credit Agreement; temporarily eliminating the Company 401(k) and associate charitable contribution matches; tightly managing inventory levels through the cancellation of purchase orders, delay of receipts, or seeking price concessions where possible; actively working with landlords on addressing rent abatements, payments terms, accelerating store closures, and delaying or cancelling certain planned new store openings; reducing non-payroll operating expenses; and extending vendor payment terms. During the second quarter, we brought back the majority of associates from furlough; began to reinstate portions of the base compensation reductions; and paid back $30.0 million of our $60.0 million borrowing under our Credit Agreement. As of the end of October, substantially all of our associates have returned from furlough.</w:t>
      </w:r>
    </w:p>
    <w:p>
      <w:pPr>
        <w:spacing w:after="0" w:line="4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are also leveraging the Coronavirus Aid Relief and Economic Security (CARES) Act to enhance the financial well-being of associates and to maximize the financial health of the Company. Measures to mitigate COVID-19 impacts to our business may result in additional risk exposure or prove ineffectual. For example, we have and may continue to incur additional interest costs associated with increased borrowings under our Credit Agreement.</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business depends on strong brands. If we are unable to execute our marketing strategies, intended to enhance our brands, then revenues and our results of operations could be adversely impacted.</w:t>
      </w:r>
    </w:p>
    <w:p>
      <w:pPr>
        <w:spacing w:after="0" w:line="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the brand images that we have developed have contributed significantly to the success of our business. We also believe that enhancing the Vera Bradley and Pura Vida brands through our marketing strategies is critical to maintaining and expanding our customer base. Enhancing our brands and implementing our marketing strategies may require us to make substantial investments in areas such as product design, store operations, store design, community relations, and marketing. These investments might not succeed. If we are unable to successfully execute our brand strategies, our results of operations could be adversely impacted.</w:t>
      </w:r>
    </w:p>
    <w:p>
      <w:pPr>
        <w:spacing w:after="0" w:line="5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Further, our businesses rely on effective digital marketing, including marketing across social media and other online platforms. If our digital marketing efforts are not effective, or if digital marketing costs increase, our results of operations, liquidity, and financial condition could be adversely impacted.</w:t>
      </w:r>
    </w:p>
    <w:p>
      <w:pPr>
        <w:spacing w:after="0" w:line="1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On November 29, 2018, the Company's board of directors approved a share repurchase plan (the “2018 Share Repurchase Program”) authorizing up</w:t>
      </w:r>
    </w:p>
    <w:p>
      <w:pPr>
        <w:spacing w:after="0" w:line="3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to $50.0 million of repurchases of shares of the Company's common stock. The 2018 Share Repurchase Program is scheduled to expire on December 14, 2020. To conserve cash as a result of COVID-19, the Company temporarily suspended the share repurchase program.</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under the program during the thirteen weeks ended October 31, 2020.</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1"/>
                <w:szCs w:val="11"/>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1"/>
                <w:szCs w:val="11"/>
                <w:color w:val="auto"/>
              </w:rPr>
            </w:pPr>
          </w:p>
        </w:tc>
        <w:tc>
          <w:tcPr>
            <w:tcW w:w="18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35"/>
        </w:trPr>
        <w:tc>
          <w:tcPr>
            <w:tcW w:w="352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Publicly Announced Plans or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88"/>
        </w:trPr>
        <w:tc>
          <w:tcPr>
            <w:tcW w:w="3520" w:type="dxa"/>
            <w:vAlign w:val="bottom"/>
            <w:vMerge w:val="continue"/>
          </w:tcPr>
          <w:p>
            <w:pPr>
              <w:spacing w:after="0"/>
              <w:rPr>
                <w:sz w:val="16"/>
                <w:szCs w:val="16"/>
                <w:color w:val="auto"/>
              </w:rPr>
            </w:pPr>
          </w:p>
        </w:tc>
        <w:tc>
          <w:tcPr>
            <w:tcW w:w="1940" w:type="dxa"/>
            <w:vAlign w:val="bottom"/>
            <w:gridSpan w:val="2"/>
          </w:tcPr>
          <w:p>
            <w:pPr>
              <w:ind w:left="580"/>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6"/>
                <w:szCs w:val="16"/>
                <w:color w:val="auto"/>
              </w:rPr>
            </w:pPr>
          </w:p>
        </w:tc>
        <w:tc>
          <w:tcPr>
            <w:tcW w:w="178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Under the Plans or Program</w:t>
            </w:r>
          </w:p>
        </w:tc>
        <w:tc>
          <w:tcPr>
            <w:tcW w:w="0" w:type="dxa"/>
            <w:vAlign w:val="bottom"/>
          </w:tcPr>
          <w:p>
            <w:pPr>
              <w:spacing w:after="0"/>
              <w:rPr>
                <w:sz w:val="1"/>
                <w:szCs w:val="1"/>
                <w:color w:val="auto"/>
              </w:rPr>
            </w:pPr>
          </w:p>
        </w:tc>
      </w:tr>
      <w:tr>
        <w:trPr>
          <w:trHeight w:val="224"/>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2, 2020 - August 29, 2020</w:t>
            </w:r>
          </w:p>
        </w:tc>
        <w:tc>
          <w:tcPr>
            <w:tcW w:w="184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August 30, 2020 - October 3, 2020</w:t>
            </w:r>
          </w:p>
        </w:tc>
        <w:tc>
          <w:tcPr>
            <w:tcW w:w="194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40" w:type="dxa"/>
            <w:vAlign w:val="bottom"/>
          </w:tcPr>
          <w:p>
            <w:pPr>
              <w:ind w:left="1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October 4, 2020 - October 31, 2020</w:t>
            </w:r>
          </w:p>
        </w:tc>
        <w:tc>
          <w:tcPr>
            <w:tcW w:w="19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32,939,607</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8419"/>
        <w:spacing w:after="0"/>
        <w:tabs>
          <w:tab w:leader="none" w:pos="160" w:val="left"/>
        </w:tabs>
        <w:rPr>
          <w:sz w:val="20"/>
          <w:szCs w:val="20"/>
          <w:color w:val="auto"/>
        </w:rPr>
      </w:pPr>
      <w:r>
        <w:rPr>
          <w:rFonts w:ascii="Arial" w:cs="Arial" w:eastAsia="Arial" w:hAnsi="Arial"/>
          <w:sz w:val="18"/>
          <w:szCs w:val="18"/>
          <w:b w:val="1"/>
          <w:bCs w:val="1"/>
          <w:color w:val="auto"/>
        </w:rPr>
        <w:t>ITEM 6.</w:t>
        <w:tab/>
        <w:t>EXHIBITS</w:t>
      </w:r>
    </w:p>
    <w:p>
      <w:pPr>
        <w:spacing w:after="0" w:line="108" w:lineRule="exact"/>
        <w:rPr>
          <w:sz w:val="20"/>
          <w:szCs w:val="20"/>
          <w:color w:val="auto"/>
        </w:rPr>
      </w:pPr>
    </w:p>
    <w:p>
      <w:pPr>
        <w:jc w:val="center"/>
        <w:ind w:right="8459"/>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20" w:type="dxa"/>
            <w:vAlign w:val="bottom"/>
            <w:gridSpan w:val="2"/>
          </w:tcPr>
          <w:p>
            <w:pPr>
              <w:ind w:left="4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86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40" w:type="dxa"/>
            <w:vAlign w:val="bottom"/>
            <w:tcBorders>
              <w:top w:val="single" w:sz="8" w:color="auto"/>
            </w:tcBorders>
          </w:tcPr>
          <w:p>
            <w:pPr>
              <w:ind w:left="2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10.1</w:t>
              </w:r>
            </w:hyperlink>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660" w:type="dxa"/>
            <w:vAlign w:val="bottom"/>
            <w:tcBorders>
              <w:top w:val="single" w:sz="8" w:color="auto"/>
            </w:tcBorders>
            <w:gridSpan w:val="3"/>
          </w:tcPr>
          <w:p>
            <w:pPr>
              <w:spacing w:after="0"/>
              <w:rPr>
                <w:rFonts w:ascii="Arial" w:cs="Arial" w:eastAsia="Arial" w:hAnsi="Arial"/>
                <w:sz w:val="18"/>
                <w:szCs w:val="18"/>
                <w:color w:val="0000FF"/>
                <w:w w:val="99"/>
              </w:rPr>
            </w:pPr>
            <w:hyperlink r:id="rId62">
              <w:r>
                <w:rPr>
                  <w:rFonts w:ascii="Arial" w:cs="Arial" w:eastAsia="Arial" w:hAnsi="Arial"/>
                  <w:sz w:val="18"/>
                  <w:szCs w:val="18"/>
                  <w:color w:val="0000FF"/>
                  <w:w w:val="99"/>
                </w:rPr>
                <w:t>Vera Bradley, Inc. 2020 Equity and Incentive Plan (incorporated by reference to Appendix A to the registrant’s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Definitive Proxy Statement filed April 30, 2020)</w:t>
              </w:r>
            </w:hyperlink>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31.1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top w:val="single" w:sz="8" w:color="0000FF"/>
            </w:tcBorders>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CEO Section 302 Certification</w:t>
              </w:r>
            </w:hyperlink>
          </w:p>
        </w:tc>
        <w:tc>
          <w:tcPr>
            <w:tcW w:w="5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4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31.2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gridSpan w:val="3"/>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CFO Section 302 Certification</w:t>
              </w:r>
            </w:hyperlink>
          </w:p>
        </w:tc>
        <w:tc>
          <w:tcPr>
            <w:tcW w:w="0" w:type="dxa"/>
            <w:vAlign w:val="bottom"/>
          </w:tcPr>
          <w:p>
            <w:pPr>
              <w:spacing w:after="0"/>
              <w:rPr>
                <w:sz w:val="1"/>
                <w:szCs w:val="1"/>
                <w:color w:val="auto"/>
              </w:rPr>
            </w:pPr>
          </w:p>
        </w:tc>
      </w:tr>
      <w:tr>
        <w:trPr>
          <w:trHeight w:val="283"/>
        </w:trPr>
        <w:tc>
          <w:tcPr>
            <w:tcW w:w="104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32.1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gridSpan w:val="3"/>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Section 906 Certifications*</w:t>
              </w:r>
            </w:hyperlink>
          </w:p>
        </w:tc>
        <w:tc>
          <w:tcPr>
            <w:tcW w:w="0" w:type="dxa"/>
            <w:vAlign w:val="bottom"/>
          </w:tcPr>
          <w:p>
            <w:pPr>
              <w:spacing w:after="0"/>
              <w:rPr>
                <w:sz w:val="1"/>
                <w:szCs w:val="1"/>
                <w:color w:val="auto"/>
              </w:rPr>
            </w:pP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9"/>
                <w:szCs w:val="19"/>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w w:val="91"/>
              </w:rPr>
              <w:t>Inline XBRL Instance Document (the instance document does not appear in the Interactive Data File because its XBRL</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8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20" w:hanging="694"/>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Vera Bradley, Inc.</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(Registrant)</w:t>
            </w:r>
          </w:p>
        </w:tc>
      </w:tr>
      <w:tr>
        <w:trPr>
          <w:trHeight w:val="499"/>
        </w:trPr>
        <w:tc>
          <w:tcPr>
            <w:tcW w:w="5640" w:type="dxa"/>
            <w:vAlign w:val="bottom"/>
          </w:tcPr>
          <w:p>
            <w:pPr>
              <w:spacing w:after="0"/>
              <w:rPr>
                <w:sz w:val="20"/>
                <w:szCs w:val="20"/>
                <w:color w:val="auto"/>
              </w:rPr>
            </w:pPr>
            <w:r>
              <w:rPr>
                <w:rFonts w:ascii="Arial" w:cs="Arial" w:eastAsia="Arial" w:hAnsi="Arial"/>
                <w:sz w:val="18"/>
                <w:szCs w:val="18"/>
                <w:color w:val="auto"/>
              </w:rPr>
              <w:t>Date: December 9, 2020</w:t>
            </w: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Enwright</w:t>
            </w:r>
          </w:p>
        </w:tc>
      </w:tr>
      <w:tr>
        <w:trPr>
          <w:trHeight w:val="222"/>
        </w:trPr>
        <w:tc>
          <w:tcPr>
            <w:tcW w:w="56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John Enwright</w:t>
            </w:r>
          </w:p>
        </w:tc>
      </w:tr>
      <w:tr>
        <w:trPr>
          <w:trHeight w:val="230"/>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21" w:right="3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10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7" w:lineRule="auto"/>
        <w:tabs>
          <w:tab w:leader="none" w:pos="12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December 9, 2020</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Wallstrom</w:t>
            </w:r>
          </w:p>
        </w:tc>
      </w:tr>
      <w:tr>
        <w:trPr>
          <w:trHeight w:val="222"/>
        </w:trPr>
        <w:tc>
          <w:tcPr>
            <w:tcW w:w="56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Robert Wallstrom</w:t>
            </w:r>
          </w:p>
        </w:tc>
      </w:tr>
      <w:tr>
        <w:trPr>
          <w:trHeight w:val="230"/>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104"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34" w:lineRule="auto"/>
        <w:tabs>
          <w:tab w:leader="none" w:pos="129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644"/>
        <w:spacing w:after="0" w:line="263"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300" w:right="460" w:hanging="644"/>
        <w:spacing w:after="0" w:line="334" w:lineRule="auto"/>
        <w:tabs>
          <w:tab w:leader="none" w:pos="1297"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140" w:hanging="644"/>
        <w:spacing w:after="0" w:line="277" w:lineRule="auto"/>
        <w:tabs>
          <w:tab w:leader="none" w:pos="12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December 9, 2020</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Enwright</w:t>
            </w:r>
          </w:p>
        </w:tc>
      </w:tr>
      <w:tr>
        <w:trPr>
          <w:trHeight w:val="222"/>
        </w:trPr>
        <w:tc>
          <w:tcPr>
            <w:tcW w:w="56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John Enwright</w:t>
            </w:r>
          </w:p>
        </w:tc>
      </w:tr>
      <w:tr>
        <w:trPr>
          <w:trHeight w:val="230"/>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160" w:firstLine="180"/>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quarterly report on Form 10-Q for the fiscal quarter ended October 31, 2020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6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Robert Wallstrom</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December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w:t>
      </w:r>
    </w:p>
    <w:p>
      <w:pPr>
        <w:spacing w:after="0" w:line="360" w:lineRule="exact"/>
        <w:rPr>
          <w:sz w:val="20"/>
          <w:szCs w:val="20"/>
          <w:color w:val="auto"/>
        </w:rPr>
      </w:pPr>
    </w:p>
    <w:p>
      <w:pPr>
        <w:ind w:right="160" w:firstLine="180"/>
        <w:spacing w:after="0" w:line="259" w:lineRule="auto"/>
        <w:rPr>
          <w:sz w:val="20"/>
          <w:szCs w:val="20"/>
          <w:color w:val="auto"/>
        </w:rPr>
      </w:pPr>
      <w:r>
        <w:rPr>
          <w:rFonts w:ascii="Arial" w:cs="Arial" w:eastAsia="Arial" w:hAnsi="Arial"/>
          <w:sz w:val="18"/>
          <w:szCs w:val="18"/>
          <w:color w:val="auto"/>
        </w:rPr>
        <w:t>I, John Enwright, the Chief Financial Officer of Vera Bradley, Inc., certify that (i) the quarterly report on Form 10-Q for the fiscal quarter ended October 31, 2020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6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John Enwright</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Financial Officer</w:t>
      </w:r>
    </w:p>
    <w:p>
      <w:pPr>
        <w:spacing w:after="0" w:line="29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December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31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lvl w:ilvl="1">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3"/>
    </w:lvl>
  </w:abstractNum>
  <w:abstractNum w:abstractNumId="12">
    <w:nsid w:val="54E49EB4"/>
    <w:multiLevelType w:val="hybridMultilevel"/>
    <w:lvl w:ilvl="0">
      <w:lvlJc w:val="left"/>
      <w:lvlText w:val="%1."/>
      <w:numFmt w:val="decimal"/>
      <w:start w:val="4"/>
    </w:lvl>
  </w:abstractNum>
  <w:abstractNum w:abstractNumId="13">
    <w:nsid w:val="71F32454"/>
    <w:multiLevelType w:val="hybridMultilevel"/>
    <w:lvl w:ilvl="0">
      <w:lvlJc w:val="left"/>
      <w:lvlText w:val="%1."/>
      <w:numFmt w:val="decimal"/>
      <w:start w:val="5"/>
    </w:lvl>
    <w:lvl w:ilvl="1">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6"/>
    </w:lvl>
  </w:abstractNum>
  <w:abstractNum w:abstractNumId="16">
    <w:nsid w:val="2901D82"/>
    <w:multiLevelType w:val="hybridMultilevel"/>
    <w:lvl w:ilvl="0">
      <w:lvlJc w:val="left"/>
      <w:lvlText w:val="(%1)"/>
      <w:numFmt w:val="lowerRoman"/>
      <w:start w:val="5"/>
    </w:lvl>
  </w:abstractNum>
  <w:abstractNum w:abstractNumId="17">
    <w:nsid w:val="3A95F874"/>
    <w:multiLevelType w:val="hybridMultilevel"/>
    <w:lvl w:ilvl="0">
      <w:lvlJc w:val="left"/>
      <w:lvlText w:val="%1."/>
      <w:numFmt w:val="decimal"/>
      <w:start w:val="7"/>
    </w:lvl>
  </w:abstractNum>
  <w:abstractNum w:abstractNumId="18">
    <w:nsid w:val="8138641"/>
    <w:multiLevelType w:val="hybridMultilevel"/>
    <w:lvl w:ilvl="0">
      <w:lvlJc w:val="left"/>
      <w:lvlText w:val="%1."/>
      <w:numFmt w:val="decimal"/>
      <w:start w:val="9"/>
    </w:lvl>
  </w:abstractNum>
  <w:abstractNum w:abstractNumId="19">
    <w:nsid w:val="1E7FF521"/>
    <w:multiLevelType w:val="hybridMultilevel"/>
    <w:lvl w:ilvl="0">
      <w:lvlJc w:val="left"/>
      <w:lvlText w:val="%1."/>
      <w:numFmt w:val="decimal"/>
      <w:start w:val="10"/>
    </w:lvl>
  </w:abstractNum>
  <w:abstractNum w:abstractNumId="20">
    <w:nsid w:val="7C3DBD3D"/>
    <w:multiLevelType w:val="hybridMultilevel"/>
    <w:lvl w:ilvl="0">
      <w:lvlJc w:val="left"/>
      <w:lvlText w:val="%1."/>
      <w:numFmt w:val="decimal"/>
      <w:start w:val="12"/>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3"/>
    </w:lvl>
  </w:abstractNum>
  <w:abstractNum w:abstractNumId="24">
    <w:nsid w:val="4516DDE9"/>
    <w:multiLevelType w:val="hybridMultilevel"/>
    <w:lvl w:ilvl="0">
      <w:lvlJc w:val="left"/>
      <w:lvlText w:val="%1."/>
      <w:numFmt w:val="decimal"/>
      <w:start w:val="14"/>
    </w:lvl>
  </w:abstractNum>
  <w:abstractNum w:abstractNumId="25">
    <w:nsid w:val="3006C83E"/>
    <w:multiLevelType w:val="hybridMultilevel"/>
    <w:lvl w:ilvl="0">
      <w:lvlJc w:val="left"/>
      <w:lvlText w:val="%1."/>
      <w:numFmt w:val="decimal"/>
      <w:start w:val="15"/>
    </w:lvl>
  </w:abstractNum>
  <w:abstractNum w:abstractNumId="26">
    <w:nsid w:val="614FD4A1"/>
    <w:multiLevelType w:val="hybridMultilevel"/>
    <w:lvl w:ilvl="0">
      <w:lvlJc w:val="left"/>
      <w:lvlText w:val="%1"/>
      <w:numFmt w:val="decimal"/>
      <w:start w:val="1"/>
    </w:lvl>
    <w:lvl w:ilvl="1">
      <w:lvlJc w:val="left"/>
      <w:lvlText w:val="(%2)"/>
      <w:numFmt w:val="decimal"/>
      <w:start w:val="1"/>
    </w:lvl>
  </w:abstractNum>
  <w:abstractNum w:abstractNumId="27">
    <w:nsid w:val="419AC241"/>
    <w:multiLevelType w:val="hybridMultilevel"/>
    <w:lvl w:ilvl="0">
      <w:lvlJc w:val="left"/>
      <w:lvlText w:val="%1."/>
      <w:numFmt w:val="decimal"/>
      <w:start w:val="16"/>
    </w:lvl>
    <w:lvl w:ilvl="1">
      <w:lvlJc w:val="left"/>
      <w:lvlText w:val="%2"/>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3"/>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2" Type="http://schemas.openxmlformats.org/officeDocument/2006/relationships/hyperlink" Target="https://www.sec.gov/Archives/edgar/data/1495320/000119312520128410/d862379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2020-12-09T14:27:16Z</dcterms:created>
  <dcterms:modified xsi:type="dcterms:W3CDTF">2020-12-09T14:27:16Z</dcterms:modified>
</cp:coreProperties>
</file>