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422910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388620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32"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 EXCHANGE ACT OF</w:t>
      </w:r>
    </w:p>
    <w:p>
      <w:pPr>
        <w:spacing w:after="0" w:line="3" w:lineRule="exact"/>
        <w:rPr>
          <w:sz w:val="24"/>
          <w:szCs w:val="24"/>
          <w:color w:val="auto"/>
        </w:rPr>
      </w:pPr>
    </w:p>
    <w:p>
      <w:pPr>
        <w:ind w:left="680" w:hanging="641"/>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1934</w:t>
      </w:r>
    </w:p>
    <w:p>
      <w:pPr>
        <w:spacing w:after="0" w:line="24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November 1, 2025</w:t>
      </w:r>
    </w:p>
    <w:p>
      <w:pPr>
        <w:spacing w:after="0" w:line="1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9"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21"/>
          <w:szCs w:val="21"/>
          <w:b w:val="1"/>
          <w:bCs w:val="1"/>
          <w:color w:val="auto"/>
        </w:rPr>
        <w:t>TRANSITION REPORT PURSUANT TO SECTION 13 OR 15(d) OF THE SECURITIES EXCHANGE ACT OF</w:t>
      </w:r>
    </w:p>
    <w:p>
      <w:pPr>
        <w:spacing w:after="0" w:line="3"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1934</w:t>
      </w:r>
    </w:p>
    <w:p>
      <w:pPr>
        <w:spacing w:after="0" w:line="241" w:lineRule="exact"/>
        <w:rPr>
          <w:sz w:val="24"/>
          <w:szCs w:val="24"/>
          <w:color w:val="auto"/>
        </w:rPr>
      </w:pPr>
    </w:p>
    <w:p>
      <w:pPr>
        <w:ind w:left="3360"/>
        <w:spacing w:after="0"/>
        <w:tabs>
          <w:tab w:leader="none" w:pos="67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3710305</wp:posOffset>
            </wp:positionH>
            <wp:positionV relativeFrom="paragraph">
              <wp:posOffset>-5080</wp:posOffset>
            </wp:positionV>
            <wp:extent cx="12947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1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001-34918</w:t>
      </w:r>
    </w:p>
    <w:p>
      <w:pPr>
        <w:spacing w:after="0" w:line="202"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2936875</wp:posOffset>
            </wp:positionH>
            <wp:positionV relativeFrom="paragraph">
              <wp:posOffset>17145</wp:posOffset>
            </wp:positionV>
            <wp:extent cx="1268730" cy="128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730" cy="12858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0"/>
          <w:szCs w:val="40"/>
          <w:b w:val="1"/>
          <w:bCs w:val="1"/>
          <w:color w:val="auto"/>
        </w:rPr>
        <w:t>VERA BRADLEY, INC.</w:t>
      </w:r>
    </w:p>
    <w:p>
      <w:pPr>
        <w:spacing w:after="0" w:line="5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84"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35" w:lineRule="exact"/>
        <w:rPr>
          <w:sz w:val="24"/>
          <w:szCs w:val="24"/>
          <w:color w:val="auto"/>
        </w:rPr>
      </w:pPr>
    </w:p>
    <w:tbl>
      <w:tblPr>
        <w:tblLayout w:type="fixed"/>
        <w:tblInd w:w="1540" w:type="dxa"/>
        <w:tblCellMar>
          <w:top w:w="0" w:type="dxa"/>
          <w:left w:w="0" w:type="dxa"/>
          <w:bottom w:w="0" w:type="dxa"/>
          <w:right w:w="0" w:type="dxa"/>
        </w:tblCellMar>
      </w:tblPr>
      <w:tr>
        <w:trPr>
          <w:trHeight w:val="227"/>
        </w:trPr>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Indiana</w:t>
            </w:r>
          </w:p>
        </w:tc>
        <w:tc>
          <w:tcPr>
            <w:tcW w:w="5100" w:type="dxa"/>
            <w:vAlign w:val="bottom"/>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27-2935063</w:t>
            </w:r>
          </w:p>
        </w:tc>
        <w:tc>
          <w:tcPr>
            <w:tcW w:w="0" w:type="dxa"/>
            <w:vAlign w:val="bottom"/>
          </w:tcPr>
          <w:p>
            <w:pPr>
              <w:spacing w:after="0"/>
              <w:rPr>
                <w:sz w:val="1"/>
                <w:szCs w:val="1"/>
                <w:color w:val="auto"/>
              </w:rPr>
            </w:pPr>
          </w:p>
        </w:tc>
      </w:tr>
      <w:tr>
        <w:trPr>
          <w:trHeight w:val="148"/>
        </w:trPr>
        <w:tc>
          <w:tcPr>
            <w:tcW w:w="2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100" w:type="dxa"/>
            <w:vAlign w:val="bottom"/>
          </w:tcPr>
          <w:p>
            <w:pPr>
              <w:jc w:val="center"/>
              <w:ind w:left="390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100" w:type="dxa"/>
            <w:vAlign w:val="bottom"/>
          </w:tcPr>
          <w:p>
            <w:pPr>
              <w:jc w:val="center"/>
              <w:ind w:left="388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460"/>
        </w:trPr>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12420 Stonebridge Road,</w:t>
            </w:r>
          </w:p>
        </w:tc>
        <w:tc>
          <w:tcPr>
            <w:tcW w:w="5100" w:type="dxa"/>
            <w:vAlign w:val="bottom"/>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46783</w:t>
            </w:r>
          </w:p>
        </w:tc>
        <w:tc>
          <w:tcPr>
            <w:tcW w:w="0" w:type="dxa"/>
            <w:vAlign w:val="bottom"/>
          </w:tcPr>
          <w:p>
            <w:pPr>
              <w:spacing w:after="0"/>
              <w:rPr>
                <w:sz w:val="1"/>
                <w:szCs w:val="1"/>
                <w:color w:val="auto"/>
              </w:rPr>
            </w:pPr>
          </w:p>
        </w:tc>
      </w:tr>
      <w:tr>
        <w:trPr>
          <w:trHeight w:val="227"/>
        </w:trPr>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Roanoke, Indiana</w:t>
            </w:r>
          </w:p>
        </w:tc>
        <w:tc>
          <w:tcPr>
            <w:tcW w:w="5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100" w:type="dxa"/>
            <w:vAlign w:val="bottom"/>
          </w:tcPr>
          <w:p>
            <w:pPr>
              <w:jc w:val="center"/>
              <w:ind w:left="388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471"/>
        </w:trPr>
        <w:tc>
          <w:tcPr>
            <w:tcW w:w="2420" w:type="dxa"/>
            <w:vAlign w:val="bottom"/>
          </w:tcPr>
          <w:p>
            <w:pPr>
              <w:spacing w:after="0"/>
              <w:rPr>
                <w:sz w:val="24"/>
                <w:szCs w:val="24"/>
                <w:color w:val="auto"/>
              </w:rPr>
            </w:pPr>
          </w:p>
        </w:tc>
        <w:tc>
          <w:tcPr>
            <w:tcW w:w="5100" w:type="dxa"/>
            <w:vAlign w:val="bottom"/>
          </w:tcPr>
          <w:p>
            <w:pPr>
              <w:jc w:val="right"/>
              <w:ind w:right="2800"/>
              <w:spacing w:after="0"/>
              <w:rPr>
                <w:sz w:val="20"/>
                <w:szCs w:val="20"/>
                <w:color w:val="auto"/>
              </w:rPr>
            </w:pPr>
            <w:r>
              <w:rPr>
                <w:rFonts w:ascii="Times New Roman" w:cs="Times New Roman" w:eastAsia="Times New Roman" w:hAnsi="Times New Roman"/>
                <w:sz w:val="18"/>
                <w:szCs w:val="18"/>
                <w:b w:val="1"/>
                <w:bCs w:val="1"/>
                <w:color w:val="auto"/>
              </w:rPr>
              <w:t>(877) 708-8372</w:t>
            </w:r>
          </w:p>
        </w:tc>
        <w:tc>
          <w:tcPr>
            <w:tcW w:w="0" w:type="dxa"/>
            <w:vAlign w:val="bottom"/>
          </w:tcPr>
          <w:p>
            <w:pPr>
              <w:spacing w:after="0"/>
              <w:rPr>
                <w:sz w:val="1"/>
                <w:szCs w:val="1"/>
                <w:color w:val="auto"/>
              </w:rPr>
            </w:pPr>
          </w:p>
        </w:tc>
      </w:tr>
      <w:tr>
        <w:trPr>
          <w:trHeight w:val="190"/>
        </w:trPr>
        <w:tc>
          <w:tcPr>
            <w:tcW w:w="2420" w:type="dxa"/>
            <w:vAlign w:val="bottom"/>
          </w:tcPr>
          <w:p>
            <w:pPr>
              <w:spacing w:after="0"/>
              <w:rPr>
                <w:sz w:val="16"/>
                <w:szCs w:val="16"/>
                <w:color w:val="auto"/>
              </w:rPr>
            </w:pPr>
          </w:p>
        </w:tc>
        <w:tc>
          <w:tcPr>
            <w:tcW w:w="5100" w:type="dxa"/>
            <w:vAlign w:val="bottom"/>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0" w:type="dxa"/>
            <w:vAlign w:val="bottom"/>
          </w:tcPr>
          <w:p>
            <w:pPr>
              <w:spacing w:after="0"/>
              <w:rPr>
                <w:sz w:val="1"/>
                <w:szCs w:val="1"/>
                <w:color w:val="auto"/>
              </w:rPr>
            </w:pPr>
          </w:p>
        </w:tc>
      </w:tr>
    </w:tbl>
    <w:p>
      <w:pPr>
        <w:spacing w:after="0" w:line="1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88"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without par value</w:t>
            </w:r>
          </w:p>
        </w:tc>
        <w:tc>
          <w:tcPr>
            <w:tcW w:w="2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VRA</w:t>
            </w:r>
          </w:p>
        </w:tc>
        <w:tc>
          <w:tcPr>
            <w:tcW w:w="4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225" w:lineRule="exact"/>
        <w:rPr>
          <w:sz w:val="24"/>
          <w:szCs w:val="24"/>
          <w:color w:val="auto"/>
        </w:rPr>
      </w:pPr>
    </w:p>
    <w:p>
      <w:pPr>
        <w:ind w:right="3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1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900" w:orient="portrait"/>
          <w:cols w:equalWidth="0" w:num="1">
            <w:col w:w="11260"/>
          </w:cols>
          <w:pgMar w:left="320" w:top="225" w:right="319" w:bottom="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303"/>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488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31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Accelerated filer</w:t>
            </w:r>
          </w:p>
        </w:tc>
        <w:tc>
          <w:tcPr>
            <w:tcW w:w="760" w:type="dxa"/>
            <w:vAlign w:val="bottom"/>
          </w:tcPr>
          <w:p>
            <w:pPr>
              <w:ind w:left="560"/>
              <w:spacing w:after="0"/>
              <w:rPr>
                <w:sz w:val="20"/>
                <w:szCs w:val="20"/>
                <w:color w:val="auto"/>
              </w:rPr>
            </w:pPr>
            <w:r>
              <w:rPr>
                <w:rFonts w:ascii="Wingdings" w:cs="Wingdings" w:eastAsia="Wingdings" w:hAnsi="Wingdings"/>
                <w:sz w:val="18"/>
                <w:szCs w:val="18"/>
                <w:b w:val="1"/>
                <w:bCs w:val="1"/>
                <w:color w:val="auto"/>
                <w:w w:val="94"/>
              </w:rPr>
              <w:t>x</w:t>
            </w:r>
          </w:p>
        </w:tc>
      </w:tr>
      <w:tr>
        <w:trPr>
          <w:trHeight w:val="500"/>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4880" w:type="dxa"/>
            <w:vAlign w:val="bottom"/>
          </w:tcPr>
          <w:p>
            <w:pPr>
              <w:ind w:left="7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31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6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99"/>
              </w:rPr>
              <w:t>☐</w:t>
            </w:r>
          </w:p>
        </w:tc>
      </w:tr>
      <w:tr>
        <w:trPr>
          <w:trHeight w:val="499"/>
        </w:trPr>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31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76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99"/>
              </w:rPr>
              <w:t>☐</w:t>
            </w:r>
          </w:p>
        </w:tc>
      </w:tr>
    </w:tbl>
    <w:p>
      <w:pPr>
        <w:spacing w:after="0" w:line="237" w:lineRule="exact"/>
        <w:rPr>
          <w:sz w:val="20"/>
          <w:szCs w:val="20"/>
          <w:color w:val="auto"/>
        </w:rPr>
      </w:pPr>
    </w:p>
    <w:p>
      <w:pPr>
        <w:jc w:val="both"/>
        <w:ind w:left="20" w:right="20"/>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1" w:lineRule="exact"/>
        <w:rPr>
          <w:sz w:val="20"/>
          <w:szCs w:val="20"/>
          <w:color w:val="auto"/>
        </w:rPr>
      </w:pPr>
    </w:p>
    <w:p>
      <w:pPr>
        <w:ind w:right="1580"/>
        <w:spacing w:after="0" w:line="3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The registrant had 27,955,022 shares of its common stock outstanding as of December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922020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120"/>
          </w:cols>
          <w:pgMar w:left="320" w:top="310"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102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2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720" w:type="dxa"/>
            <w:vAlign w:val="bottom"/>
            <w:gridSpan w:val="10"/>
          </w:tcPr>
          <w:p>
            <w:pPr>
              <w:ind w:left="13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100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00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4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November 1, 2025 and November 2, 2024</w:t>
            </w:r>
          </w:p>
        </w:tc>
        <w:tc>
          <w:tcPr>
            <w:tcW w:w="3680" w:type="dxa"/>
            <w:vAlign w:val="bottom"/>
            <w:gridSpan w:val="6"/>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Thirteen and Thirty-Nine Weeks Ended November 1, 2025 and</w:t>
            </w:r>
          </w:p>
        </w:tc>
        <w:tc>
          <w:tcPr>
            <w:tcW w:w="80" w:type="dxa"/>
            <w:vAlign w:val="bottom"/>
            <w:vMerge w:val="restart"/>
          </w:tcPr>
          <w:p>
            <w:pPr>
              <w:spacing w:after="0"/>
              <w:rPr>
                <w:sz w:val="22"/>
                <w:szCs w:val="2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Borders>
              <w:top w:val="single" w:sz="8" w:color="0000FF"/>
              <w:bottom w:val="single" w:sz="8" w:color="0000FF"/>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FF"/>
                <w:w w:val="98"/>
              </w:rPr>
              <w:t>November 2, 2024</w:t>
            </w:r>
          </w:p>
        </w:tc>
        <w:tc>
          <w:tcPr>
            <w:tcW w:w="7420" w:type="dxa"/>
            <w:vAlign w:val="bottom"/>
            <w:tcBorders>
              <w:top w:val="single" w:sz="8" w:color="0000FF"/>
            </w:tcBorders>
            <w:gridSpan w:val="1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100" w:type="dxa"/>
            <w:vAlign w:val="bottom"/>
            <w:tcBorders>
              <w:bottom w:val="single" w:sz="8" w:color="0000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Loss for the Thirteen and Thirty-Nine Weeks Ended November 1,</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780" w:type="dxa"/>
            <w:vAlign w:val="bottom"/>
            <w:tcBorders>
              <w:top w:val="single" w:sz="8" w:color="0000FF"/>
            </w:tcBorders>
            <w:gridSpan w:val="20"/>
          </w:tcPr>
          <w:p>
            <w:pPr>
              <w:spacing w:after="0" w:line="169" w:lineRule="exact"/>
              <w:rPr>
                <w:sz w:val="20"/>
                <w:szCs w:val="20"/>
                <w:color w:val="auto"/>
              </w:rPr>
            </w:pPr>
            <w:r>
              <w:rPr>
                <w:rFonts w:ascii="Times New Roman" w:cs="Times New Roman" w:eastAsia="Times New Roman" w:hAnsi="Times New Roman"/>
                <w:sz w:val="18"/>
                <w:szCs w:val="18"/>
                <w:color w:val="0000FF"/>
              </w:rPr>
              <w:t>2025 and November 2, 2024</w:t>
            </w:r>
          </w:p>
        </w:tc>
        <w:tc>
          <w:tcPr>
            <w:tcW w:w="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Shareholders' Equity for the Thirteen and Thirty-Nine Weeks Ended November 1,</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740" w:type="dxa"/>
            <w:vAlign w:val="bottom"/>
            <w:tcBorders>
              <w:top w:val="single" w:sz="8" w:color="0000FF"/>
            </w:tcBorders>
            <w:gridSpan w:val="18"/>
          </w:tcPr>
          <w:p>
            <w:pPr>
              <w:spacing w:after="0" w:line="169" w:lineRule="exact"/>
              <w:rPr>
                <w:sz w:val="20"/>
                <w:szCs w:val="20"/>
                <w:color w:val="auto"/>
              </w:rPr>
            </w:pPr>
            <w:r>
              <w:rPr>
                <w:rFonts w:ascii="Times New Roman" w:cs="Times New Roman" w:eastAsia="Times New Roman" w:hAnsi="Times New Roman"/>
                <w:sz w:val="18"/>
                <w:szCs w:val="18"/>
                <w:color w:val="0000FF"/>
              </w:rPr>
              <w:t>2025 and November 2, 2024</w:t>
            </w:r>
          </w:p>
        </w:tc>
        <w:tc>
          <w:tcPr>
            <w:tcW w:w="100" w:type="dxa"/>
            <w:vAlign w:val="bottom"/>
            <w:gridSpan w:val="3"/>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Thirty-Nine Weeks Ended November 1, 2025 and November 2,</w:t>
            </w:r>
          </w:p>
        </w:tc>
        <w:tc>
          <w:tcPr>
            <w:tcW w:w="80" w:type="dxa"/>
            <w:vAlign w:val="bottom"/>
            <w:vMerge w:val="restart"/>
          </w:tcPr>
          <w:p>
            <w:pPr>
              <w:spacing w:after="0"/>
              <w:rPr>
                <w:sz w:val="22"/>
                <w:szCs w:val="2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4"/>
              </w:rPr>
              <w:t>2024</w:t>
            </w:r>
          </w:p>
        </w:tc>
        <w:tc>
          <w:tcPr>
            <w:tcW w:w="6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8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3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100" w:type="dxa"/>
            <w:vAlign w:val="bottom"/>
            <w:tcBorders>
              <w:bottom w:val="single" w:sz="8" w:color="0000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Notes to the Condensed Consolidated Financial Statements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640" w:type="dxa"/>
            <w:vAlign w:val="bottom"/>
            <w:gridSpan w:val="5"/>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100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27</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2"/>
          </w:tcPr>
          <w:p>
            <w:pPr>
              <w:spacing w:after="0"/>
              <w:rPr>
                <w:sz w:val="22"/>
                <w:szCs w:val="22"/>
                <w:color w:val="auto"/>
              </w:rPr>
            </w:pPr>
          </w:p>
        </w:tc>
        <w:tc>
          <w:tcPr>
            <w:tcW w:w="3640" w:type="dxa"/>
            <w:vAlign w:val="bottom"/>
            <w:gridSpan w:val="5"/>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8320" w:type="dxa"/>
            <w:vAlign w:val="bottom"/>
            <w:gridSpan w:val="14"/>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00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184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8240" w:type="dxa"/>
            <w:vAlign w:val="bottom"/>
            <w:gridSpan w:val="13"/>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2"/>
          </w:tcPr>
          <w:p>
            <w:pPr>
              <w:spacing w:after="0"/>
              <w:rPr>
                <w:sz w:val="22"/>
                <w:szCs w:val="22"/>
                <w:color w:val="auto"/>
              </w:rPr>
            </w:pPr>
          </w:p>
        </w:tc>
        <w:tc>
          <w:tcPr>
            <w:tcW w:w="8760" w:type="dxa"/>
            <w:vAlign w:val="bottom"/>
            <w:gridSpan w:val="16"/>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740" w:type="dxa"/>
            <w:vAlign w:val="bottom"/>
            <w:gridSpan w:val="8"/>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00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tcBorders>
              <w:top w:val="single" w:sz="8" w:color="0000FF"/>
            </w:tcBorders>
            <w:gridSpan w:val="2"/>
          </w:tcPr>
          <w:p>
            <w:pPr>
              <w:spacing w:after="0"/>
              <w:rPr>
                <w:sz w:val="22"/>
                <w:szCs w:val="22"/>
                <w:color w:val="auto"/>
              </w:rPr>
            </w:pPr>
          </w:p>
        </w:tc>
        <w:tc>
          <w:tcPr>
            <w:tcW w:w="8780" w:type="dxa"/>
            <w:vAlign w:val="bottom"/>
            <w:gridSpan w:val="17"/>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report contains forward-looking statements that are subject to risks and uncertainties. All statements other than statements of historical or current fact included in this report are forward-looking statements. Forward-looking statements include references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“estimate,” “expect,” “project,” “plan,” “intend,” “believe,” “may,” “might,” “will,” “should,” “can have,” and “likely” and other words and terms of similar meaning in connection with any discussion of the timing or nature of future operating or financial performance or other events. For example, all statements we make relating to our estimated and projected earnings, revenues, costs, expenditures, cash flows, growth rates, and financial results, our plans and objectives for future operations, growth, initiatives, or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spacing w:after="0" w:line="73"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successfully implement our long-term strategic plans, as developed by the Strategy and Transformation Board Committee;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declines in our comparable sales;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maintain and enhance our brands;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failure of our multi-channel distribution model;</w:t>
      </w:r>
    </w:p>
    <w:p>
      <w:pPr>
        <w:spacing w:after="0" w:line="90"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adverse changes in general economic conditions and their impact on consumer confidence and consumer spending, including political unrest, social unrest, acts of war and terrorism, and other related matters;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predict and respond in a timely manner to changes in consumer demand;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successfully open new stores and/or operate current stores as planned;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loss of key management or design associates or inability to attract and retain the talent required for our business;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data security or privacy breaches or disruptions in our computer systems or websites;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disruptions in our supply chain;</w:t>
      </w:r>
    </w:p>
    <w:p>
      <w:pPr>
        <w:spacing w:after="0" w:line="90"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new or increased tariffs on our products and increases in inbound and outbound freight expense that could lead to increased product costs and lower profit margins; and</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pandemics and actions by governmental or other actors regarding containment.</w:t>
      </w:r>
    </w:p>
    <w:p>
      <w:pPr>
        <w:spacing w:after="0" w:line="17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derive many of our forward-looking statements from our operating plans and forecasts, which are based upon detailed assumptions. While we believe that our assumptions are reasonable, we caution that it is difficult to predict the impact of known factors, and it is impossible for us to anticipate all factors that could affect our actual results.</w:t>
      </w:r>
    </w:p>
    <w:p>
      <w:pPr>
        <w:spacing w:after="0" w:line="12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For a discussion of the above described risks and uncertainties and other risks and uncertainties that could cause actual results to differ materially from those contained in our forward-looking statements, please refer to “Risk Factors” in Item 1A of our Annual Report on Form 10-K for the fiscal year ended February 1, 2025, as well as in Item 1A herein.</w:t>
      </w:r>
    </w:p>
    <w:p>
      <w:pPr>
        <w:spacing w:after="0" w:line="12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caution you that the risks and uncertainties identified by us may not be all of the factors that are important to you. Furthermore, the forward-looking statements included in this report are made only as of the date hereof. We undertake no obligation to publicly update or revise any forward-looking statement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November 1,</w:t>
            </w:r>
          </w:p>
        </w:tc>
        <w:tc>
          <w:tcPr>
            <w:tcW w:w="220" w:type="dxa"/>
            <w:vAlign w:val="bottom"/>
          </w:tcPr>
          <w:p>
            <w:pPr>
              <w:spacing w:after="0"/>
              <w:rPr>
                <w:sz w:val="13"/>
                <w:szCs w:val="13"/>
                <w:color w:val="auto"/>
              </w:rPr>
            </w:pPr>
          </w:p>
        </w:tc>
        <w:tc>
          <w:tcPr>
            <w:tcW w:w="122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0" w:type="dxa"/>
            <w:vAlign w:val="bottom"/>
          </w:tcPr>
          <w:p>
            <w:pPr>
              <w:spacing w:after="0"/>
              <w:rPr>
                <w:sz w:val="1"/>
                <w:szCs w:val="1"/>
                <w:color w:val="auto"/>
              </w:rPr>
            </w:pPr>
          </w:p>
        </w:tc>
      </w:tr>
      <w:tr>
        <w:trPr>
          <w:trHeight w:val="195"/>
        </w:trPr>
        <w:tc>
          <w:tcPr>
            <w:tcW w:w="8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28,628</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 net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18,966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13,797</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91,430</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Short-term contingent consideration</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taxes receivable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8,072</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assets of discontinued operations</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22,361</w:t>
            </w:r>
          </w:p>
        </w:tc>
        <w:tc>
          <w:tcPr>
            <w:tcW w:w="0" w:type="dxa"/>
            <w:vAlign w:val="bottom"/>
          </w:tcPr>
          <w:p>
            <w:pPr>
              <w:spacing w:after="0"/>
              <w:rPr>
                <w:sz w:val="1"/>
                <w:szCs w:val="1"/>
                <w:color w:val="auto"/>
              </w:rPr>
            </w:pPr>
          </w:p>
        </w:tc>
      </w:tr>
      <w:tr>
        <w:trPr>
          <w:trHeight w:val="207"/>
        </w:trPr>
        <w:tc>
          <w:tcPr>
            <w:tcW w:w="82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122,336</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164,872</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right-of-use assets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74,841</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47,876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52,555</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contingent consideration</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9,048</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assets of discontinued operations</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5,374</w:t>
            </w:r>
          </w:p>
        </w:tc>
        <w:tc>
          <w:tcPr>
            <w:tcW w:w="0" w:type="dxa"/>
            <w:vAlign w:val="bottom"/>
          </w:tcPr>
          <w:p>
            <w:pPr>
              <w:spacing w:after="0"/>
              <w:rPr>
                <w:sz w:val="1"/>
                <w:szCs w:val="1"/>
                <w:color w:val="auto"/>
              </w:rPr>
            </w:pPr>
          </w:p>
        </w:tc>
      </w:tr>
      <w:tr>
        <w:trPr>
          <w:trHeight w:val="207"/>
        </w:trPr>
        <w:tc>
          <w:tcPr>
            <w:tcW w:w="82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243,684</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306,690</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17,198</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employment costs</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6,527</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Short-term operating lease 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19,024</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9,221</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liabilities of discontinued operations</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6,023</w:t>
            </w:r>
          </w:p>
        </w:tc>
        <w:tc>
          <w:tcPr>
            <w:tcW w:w="0" w:type="dxa"/>
            <w:vAlign w:val="bottom"/>
          </w:tcPr>
          <w:p>
            <w:pPr>
              <w:spacing w:after="0"/>
              <w:rPr>
                <w:sz w:val="1"/>
                <w:szCs w:val="1"/>
                <w:color w:val="auto"/>
              </w:rPr>
            </w:pPr>
          </w:p>
        </w:tc>
      </w:tr>
      <w:tr>
        <w:trPr>
          <w:trHeight w:val="207"/>
        </w:trPr>
        <w:tc>
          <w:tcPr>
            <w:tcW w:w="82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48,617</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57,993</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56,957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66,307</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liabilities of discontinued operations</w:t>
            </w:r>
          </w:p>
        </w:tc>
        <w:tc>
          <w:tcPr>
            <w:tcW w:w="2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3,388</w:t>
            </w:r>
          </w:p>
        </w:tc>
        <w:tc>
          <w:tcPr>
            <w:tcW w:w="0" w:type="dxa"/>
            <w:vAlign w:val="bottom"/>
          </w:tcPr>
          <w:p>
            <w:pPr>
              <w:spacing w:after="0"/>
              <w:rPr>
                <w:sz w:val="1"/>
                <w:szCs w:val="1"/>
                <w:color w:val="auto"/>
              </w:rPr>
            </w:pPr>
          </w:p>
        </w:tc>
      </w:tr>
      <w:tr>
        <w:trPr>
          <w:trHeight w:val="212"/>
        </w:trPr>
        <w:tc>
          <w:tcPr>
            <w:tcW w:w="824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115,621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127,735</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Preferred stock; 5,000 shares authorized, no shares issued or outstanding</w:t>
            </w:r>
          </w:p>
        </w:tc>
        <w:tc>
          <w:tcPr>
            <w:tcW w:w="2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824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Common stock, without par value; 200,000 shares authorized, 43,771 and 43,535 shares issued and 27,955 and 27,701</w:t>
            </w:r>
          </w:p>
        </w:tc>
        <w:tc>
          <w:tcPr>
            <w:tcW w:w="220" w:type="dxa"/>
            <w:vAlign w:val="bottom"/>
            <w:shd w:val="clear" w:color="auto" w:fill="CCEEFF"/>
          </w:tcPr>
          <w:p>
            <w:pPr>
              <w:spacing w:after="0"/>
              <w:rPr>
                <w:sz w:val="14"/>
                <w:szCs w:val="14"/>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shares outstanding, respectively</w:t>
            </w:r>
          </w:p>
        </w:tc>
        <w:tc>
          <w:tcPr>
            <w:tcW w:w="22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Additional paid-in-capital</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115,211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115,515</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169,782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220,279</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Treasury stock</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(156,820)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(156,820)</w:t>
            </w:r>
          </w:p>
        </w:tc>
        <w:tc>
          <w:tcPr>
            <w:tcW w:w="0" w:type="dxa"/>
            <w:vAlign w:val="bottom"/>
          </w:tcPr>
          <w:p>
            <w:pPr>
              <w:spacing w:after="0"/>
              <w:rPr>
                <w:sz w:val="1"/>
                <w:szCs w:val="1"/>
                <w:color w:val="auto"/>
              </w:rPr>
            </w:pPr>
          </w:p>
        </w:tc>
      </w:tr>
      <w:tr>
        <w:trPr>
          <w:trHeight w:val="207"/>
        </w:trPr>
        <w:tc>
          <w:tcPr>
            <w:tcW w:w="82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128,063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178,955</w:t>
            </w:r>
          </w:p>
        </w:tc>
        <w:tc>
          <w:tcPr>
            <w:tcW w:w="0" w:type="dxa"/>
            <w:vAlign w:val="bottom"/>
          </w:tcPr>
          <w:p>
            <w:pPr>
              <w:spacing w:after="0"/>
              <w:rPr>
                <w:sz w:val="1"/>
                <w:szCs w:val="1"/>
                <w:color w:val="auto"/>
              </w:rPr>
            </w:pPr>
          </w:p>
        </w:tc>
      </w:tr>
      <w:tr>
        <w:trPr>
          <w:trHeight w:val="234"/>
        </w:trPr>
        <w:tc>
          <w:tcPr>
            <w:tcW w:w="82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243,684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306,690</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20" w:type="dxa"/>
            <w:vAlign w:val="bottom"/>
          </w:tcPr>
          <w:p>
            <w:pPr>
              <w:spacing w:after="0"/>
              <w:rPr>
                <w:sz w:val="16"/>
                <w:szCs w:val="16"/>
                <w:color w:val="auto"/>
              </w:rPr>
            </w:pPr>
          </w:p>
        </w:tc>
        <w:tc>
          <w:tcPr>
            <w:tcW w:w="2760" w:type="dxa"/>
            <w:vAlign w:val="bottom"/>
            <w:gridSpan w:val="4"/>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23"/>
        </w:trPr>
        <w:tc>
          <w:tcPr>
            <w:tcW w:w="5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31"/>
        </w:trPr>
        <w:tc>
          <w:tcPr>
            <w:tcW w:w="52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November 1,</w:t>
            </w:r>
          </w:p>
        </w:tc>
        <w:tc>
          <w:tcPr>
            <w:tcW w:w="2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ind w:right="232"/>
              <w:spacing w:after="0" w:line="131" w:lineRule="exact"/>
              <w:rPr>
                <w:sz w:val="20"/>
                <w:szCs w:val="20"/>
                <w:color w:val="auto"/>
              </w:rPr>
            </w:pPr>
            <w:r>
              <w:rPr>
                <w:rFonts w:ascii="Times New Roman" w:cs="Times New Roman" w:eastAsia="Times New Roman" w:hAnsi="Times New Roman"/>
                <w:sz w:val="14"/>
                <w:szCs w:val="14"/>
                <w:b w:val="1"/>
                <w:bCs w:val="1"/>
                <w:color w:val="auto"/>
              </w:rPr>
              <w:t>November 2,</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November 1,</w:t>
            </w:r>
          </w:p>
        </w:tc>
        <w:tc>
          <w:tcPr>
            <w:tcW w:w="2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232"/>
              <w:spacing w:after="0" w:line="131" w:lineRule="exact"/>
              <w:rPr>
                <w:sz w:val="20"/>
                <w:szCs w:val="20"/>
                <w:color w:val="auto"/>
              </w:rPr>
            </w:pPr>
            <w:r>
              <w:rPr>
                <w:rFonts w:ascii="Times New Roman" w:cs="Times New Roman" w:eastAsia="Times New Roman" w:hAnsi="Times New Roman"/>
                <w:sz w:val="14"/>
                <w:szCs w:val="14"/>
                <w:b w:val="1"/>
                <w:bCs w:val="1"/>
                <w:color w:val="auto"/>
              </w:rPr>
              <w:t>November 2,</w:t>
            </w:r>
          </w:p>
        </w:tc>
      </w:tr>
      <w:tr>
        <w:trPr>
          <w:trHeight w:val="195"/>
        </w:trPr>
        <w:tc>
          <w:tcPr>
            <w:tcW w:w="5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232,434</w:t>
            </w:r>
          </w:p>
        </w:tc>
      </w:tr>
      <w:tr>
        <w:trPr>
          <w:trHeight w:val="230"/>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36,067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32,066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100,313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113,268</w:t>
            </w:r>
          </w:p>
        </w:tc>
      </w:tr>
      <w:tr>
        <w:trPr>
          <w:trHeight w:val="223"/>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119,166</w:t>
            </w: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136,247</w:t>
            </w: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r>
      <w:tr>
        <w:trPr>
          <w:trHeight w:val="223"/>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loss from continuing operations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(16,377)</w:t>
            </w: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r>
      <w:tr>
        <w:trPr>
          <w:trHeight w:val="223"/>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(15,673)</w:t>
            </w: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w:t>
            </w:r>
          </w:p>
        </w:tc>
      </w:tr>
      <w:tr>
        <w:trPr>
          <w:trHeight w:val="223"/>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(13,409)</w:t>
            </w:r>
          </w:p>
        </w:tc>
      </w:tr>
      <w:tr>
        <w:trPr>
          <w:trHeight w:val="230"/>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(loss) from discontinued operations, net of income tax</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w:t>
            </w:r>
          </w:p>
        </w:tc>
      </w:tr>
      <w:tr>
        <w:trPr>
          <w:trHeight w:val="223"/>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(50,497)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(15,215)</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5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29,339</w:t>
            </w: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29,339</w:t>
            </w:r>
          </w:p>
        </w:tc>
      </w:tr>
      <w:tr>
        <w:trPr>
          <w:trHeight w:val="270"/>
        </w:trPr>
        <w:tc>
          <w:tcPr>
            <w:tcW w:w="5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loss per share: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Continuing operations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r>
      <w:tr>
        <w:trPr>
          <w:trHeight w:val="230"/>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230"/>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 net loss per share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loss per share: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Continuing operations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r>
      <w:tr>
        <w:trPr>
          <w:trHeight w:val="230"/>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234"/>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 net loss per share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r>
    </w:tbl>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20" w:type="dxa"/>
            <w:vAlign w:val="bottom"/>
          </w:tcPr>
          <w:p>
            <w:pPr>
              <w:spacing w:after="0"/>
              <w:rPr>
                <w:sz w:val="16"/>
                <w:szCs w:val="16"/>
                <w:color w:val="auto"/>
              </w:rPr>
            </w:pPr>
          </w:p>
        </w:tc>
        <w:tc>
          <w:tcPr>
            <w:tcW w:w="2740" w:type="dxa"/>
            <w:vAlign w:val="bottom"/>
            <w:gridSpan w:val="4"/>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23"/>
        </w:trPr>
        <w:tc>
          <w:tcPr>
            <w:tcW w:w="5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31"/>
        </w:trPr>
        <w:tc>
          <w:tcPr>
            <w:tcW w:w="52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November 1,</w:t>
            </w:r>
          </w:p>
        </w:tc>
        <w:tc>
          <w:tcPr>
            <w:tcW w:w="2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ind w:right="237"/>
              <w:spacing w:after="0" w:line="131" w:lineRule="exact"/>
              <w:rPr>
                <w:sz w:val="20"/>
                <w:szCs w:val="20"/>
                <w:color w:val="auto"/>
              </w:rPr>
            </w:pPr>
            <w:r>
              <w:rPr>
                <w:rFonts w:ascii="Times New Roman" w:cs="Times New Roman" w:eastAsia="Times New Roman" w:hAnsi="Times New Roman"/>
                <w:sz w:val="14"/>
                <w:szCs w:val="14"/>
                <w:b w:val="1"/>
                <w:bCs w:val="1"/>
                <w:color w:val="auto"/>
              </w:rPr>
              <w:t>November 2,</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November 1,</w:t>
            </w:r>
          </w:p>
        </w:tc>
        <w:tc>
          <w:tcPr>
            <w:tcW w:w="2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237"/>
              <w:spacing w:after="0" w:line="131" w:lineRule="exact"/>
              <w:rPr>
                <w:sz w:val="20"/>
                <w:szCs w:val="20"/>
                <w:color w:val="auto"/>
              </w:rPr>
            </w:pPr>
            <w:r>
              <w:rPr>
                <w:rFonts w:ascii="Times New Roman" w:cs="Times New Roman" w:eastAsia="Times New Roman" w:hAnsi="Times New Roman"/>
                <w:sz w:val="14"/>
                <w:szCs w:val="14"/>
                <w:b w:val="1"/>
                <w:bCs w:val="1"/>
                <w:color w:val="auto"/>
              </w:rPr>
              <w:t>November 2,</w:t>
            </w:r>
          </w:p>
        </w:tc>
      </w:tr>
      <w:tr>
        <w:trPr>
          <w:trHeight w:val="195"/>
        </w:trPr>
        <w:tc>
          <w:tcPr>
            <w:tcW w:w="52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(12,365)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(15,215)</w:t>
            </w:r>
          </w:p>
        </w:tc>
      </w:tr>
      <w:tr>
        <w:trPr>
          <w:trHeight w:val="230"/>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48"/>
        </w:trPr>
        <w:tc>
          <w:tcPr>
            <w:tcW w:w="5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Comprehensive loss, net of tax</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(12,348)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(15,129)</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210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4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240" w:type="dxa"/>
            <w:vAlign w:val="bottom"/>
          </w:tcPr>
          <w:p>
            <w:pPr>
              <w:spacing w:after="0"/>
              <w:rPr>
                <w:sz w:val="12"/>
                <w:szCs w:val="12"/>
                <w:color w:val="auto"/>
              </w:rPr>
            </w:pP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9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2"/>
                <w:szCs w:val="12"/>
                <w:color w:val="auto"/>
              </w:rPr>
            </w:pPr>
          </w:p>
        </w:tc>
        <w:tc>
          <w:tcPr>
            <w:tcW w:w="88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8"/>
        </w:trPr>
        <w:tc>
          <w:tcPr>
            <w:tcW w:w="424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7"/>
                <w:szCs w:val="17"/>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7"/>
                <w:szCs w:val="17"/>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7"/>
                <w:szCs w:val="17"/>
                <w:color w:val="auto"/>
              </w:rPr>
            </w:pPr>
          </w:p>
        </w:tc>
        <w:tc>
          <w:tcPr>
            <w:tcW w:w="7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February 1, 2025</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27,700,900</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15,834,579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115,515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220,279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(156,820)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178,955</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(33,460)</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shares vested, net of repurchase for taxes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217,422</w:t>
            </w:r>
          </w:p>
        </w:tc>
        <w:tc>
          <w:tcPr>
            <w:tcW w:w="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May 3, 2025</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27,918,322</w:t>
            </w:r>
          </w:p>
        </w:tc>
        <w:tc>
          <w:tcPr>
            <w:tcW w:w="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15,834,579</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116,098</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186,819</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7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(156,820)</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146,034</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(4,672)</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shares vested, net of repurchase for taxes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18,382</w:t>
            </w: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August 2, 2025</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27,936,704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15,834,579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115,286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182,147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7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(156,820)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140,486</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Borders>
              <w:top w:val="single" w:sz="8" w:color="CCEEFF"/>
            </w:tcBorders>
            <w:gridSpan w:val="2"/>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40" w:type="dxa"/>
            <w:vAlign w:val="bottom"/>
            <w:tcBorders>
              <w:top w:val="single" w:sz="8" w:color="CCEEFF"/>
            </w:tcBorders>
            <w:vMerge w:val="continue"/>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(12,365)</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ind w:left="5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ind w:left="4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(12,365)</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shares vested, net of repurchase for taxes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18,500</w:t>
            </w:r>
          </w:p>
        </w:tc>
        <w:tc>
          <w:tcPr>
            <w:tcW w:w="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November 1, 2025</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27,955,204</w:t>
            </w:r>
          </w:p>
        </w:tc>
        <w:tc>
          <w:tcPr>
            <w:tcW w:w="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15,834,579</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115,211</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169,782</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7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(156,820)</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128,063</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210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4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240" w:type="dxa"/>
            <w:vAlign w:val="bottom"/>
          </w:tcPr>
          <w:p>
            <w:pPr>
              <w:spacing w:after="0"/>
              <w:rPr>
                <w:sz w:val="12"/>
                <w:szCs w:val="12"/>
                <w:color w:val="auto"/>
              </w:rPr>
            </w:pP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9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2"/>
                <w:szCs w:val="12"/>
                <w:color w:val="auto"/>
              </w:rPr>
            </w:pPr>
          </w:p>
        </w:tc>
        <w:tc>
          <w:tcPr>
            <w:tcW w:w="88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2"/>
            <w:vMerge w:val="continue"/>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8"/>
        </w:trPr>
        <w:tc>
          <w:tcPr>
            <w:tcW w:w="424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7"/>
                <w:szCs w:val="17"/>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9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7"/>
                <w:szCs w:val="17"/>
                <w:color w:val="auto"/>
              </w:rPr>
            </w:pPr>
          </w:p>
        </w:tc>
        <w:tc>
          <w:tcPr>
            <w:tcW w:w="7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February 3, 2024</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30,813,616</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12,439,244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112,590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282,467</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 (135,056)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259,929</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(8,121)</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shares vested, net of repurchase for taxes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194,033</w:t>
            </w:r>
          </w:p>
        </w:tc>
        <w:tc>
          <w:tcPr>
            <w:tcW w:w="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purchased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(959,186)</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959,186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(6,348)</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May 4, 2024</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30,048,463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13,398,430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113,038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274,346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5"/>
              </w:rPr>
              <w:t>$</w:t>
            </w:r>
            <w:r>
              <w:rPr>
                <w:rFonts w:ascii="Times New Roman" w:cs="Times New Roman" w:eastAsia="Times New Roman" w:hAnsi="Times New Roman"/>
                <w:sz w:val="18"/>
                <w:szCs w:val="18"/>
                <w:b w:val="1"/>
                <w:bCs w:val="1"/>
                <w:color w:val="auto"/>
                <w:w w:val="95"/>
              </w:rPr>
              <w:t xml:space="preserve"> (141,404)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245,916</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tcBorders>
              <w:top w:val="single" w:sz="8" w:color="CCEEFF"/>
            </w:tcBorders>
            <w:gridSpan w:val="2"/>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40" w:type="dxa"/>
            <w:vAlign w:val="bottom"/>
            <w:tcBorders>
              <w:top w:val="single" w:sz="8" w:color="CCEEFF"/>
            </w:tcBorders>
            <w:vMerge w:val="continue"/>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5,706</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860" w:type="dxa"/>
            <w:vAlign w:val="bottom"/>
            <w:tcBorders>
              <w:top w:val="single" w:sz="8" w:color="auto"/>
            </w:tcBorders>
          </w:tcPr>
          <w:p>
            <w:pPr>
              <w:ind w:left="6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5,706</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shares vested, net of repurchase for taxes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19,115</w:t>
            </w:r>
          </w:p>
        </w:tc>
        <w:tc>
          <w:tcPr>
            <w:tcW w:w="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purchased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(1,362,248)</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1,362,248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(9,545)</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August 3, 2024</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28,705,330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14,760,678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113,503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280,052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5"/>
              </w:rPr>
              <w:t>$</w:t>
            </w:r>
            <w:r>
              <w:rPr>
                <w:rFonts w:ascii="Times New Roman" w:cs="Times New Roman" w:eastAsia="Times New Roman" w:hAnsi="Times New Roman"/>
                <w:sz w:val="18"/>
                <w:szCs w:val="18"/>
                <w:b w:val="1"/>
                <w:bCs w:val="1"/>
                <w:color w:val="auto"/>
                <w:w w:val="95"/>
              </w:rPr>
              <w:t xml:space="preserve"> (150,949)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242,534</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Borders>
              <w:top w:val="single" w:sz="8" w:color="CCEEFF"/>
            </w:tcBorders>
            <w:gridSpan w:val="2"/>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40" w:type="dxa"/>
            <w:vAlign w:val="bottom"/>
            <w:tcBorders>
              <w:top w:val="single" w:sz="8" w:color="CCEEFF"/>
            </w:tcBorders>
            <w:vMerge w:val="continue"/>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(12,800)</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860" w:type="dxa"/>
            <w:vAlign w:val="bottom"/>
            <w:tcBorders>
              <w:top w:val="single" w:sz="8" w:color="auto"/>
            </w:tcBorders>
          </w:tcPr>
          <w:p>
            <w:pPr>
              <w:ind w:left="6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(12,800)</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shares vested, net of repurchase for taxes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56,848</w:t>
            </w:r>
          </w:p>
        </w:tc>
        <w:tc>
          <w:tcPr>
            <w:tcW w:w="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purchased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(960,487)</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960,487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(5,286)</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November 2, 2024</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27,801,691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15,721,165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114,167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267,252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5"/>
              </w:rPr>
              <w:t>$</w:t>
            </w:r>
            <w:r>
              <w:rPr>
                <w:rFonts w:ascii="Times New Roman" w:cs="Times New Roman" w:eastAsia="Times New Roman" w:hAnsi="Times New Roman"/>
                <w:sz w:val="18"/>
                <w:szCs w:val="18"/>
                <w:b w:val="1"/>
                <w:bCs w:val="1"/>
                <w:color w:val="auto"/>
                <w:w w:val="95"/>
              </w:rPr>
              <w:t xml:space="preserve"> (156,235)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225,198</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768"/>
        </w:trPr>
        <w:tc>
          <w:tcPr>
            <w:tcW w:w="1360" w:type="dxa"/>
            <w:vAlign w:val="bottom"/>
            <w:tcBorders>
              <w:top w:val="single" w:sz="8" w:color="0000FF"/>
            </w:tcBorders>
          </w:tcPr>
          <w:p>
            <w:pPr>
              <w:spacing w:after="0"/>
              <w:rPr>
                <w:sz w:val="24"/>
                <w:szCs w:val="24"/>
                <w:color w:val="auto"/>
              </w:rPr>
            </w:pPr>
          </w:p>
        </w:tc>
        <w:tc>
          <w:tcPr>
            <w:tcW w:w="6880" w:type="dxa"/>
            <w:vAlign w:val="bottom"/>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w w:val="98"/>
              </w:rPr>
              <w:t>Vera Bradley, Inc.</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1360" w:type="dxa"/>
            <w:vAlign w:val="bottom"/>
          </w:tcPr>
          <w:p>
            <w:pPr>
              <w:spacing w:after="0"/>
              <w:rPr>
                <w:sz w:val="18"/>
                <w:szCs w:val="18"/>
                <w:color w:val="auto"/>
              </w:rPr>
            </w:pPr>
          </w:p>
        </w:tc>
        <w:tc>
          <w:tcPr>
            <w:tcW w:w="6880" w:type="dxa"/>
            <w:vAlign w:val="bottom"/>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8"/>
        </w:trPr>
        <w:tc>
          <w:tcPr>
            <w:tcW w:w="1360" w:type="dxa"/>
            <w:vAlign w:val="bottom"/>
          </w:tcPr>
          <w:p>
            <w:pPr>
              <w:spacing w:after="0"/>
              <w:rPr>
                <w:sz w:val="20"/>
                <w:szCs w:val="20"/>
                <w:color w:val="auto"/>
              </w:rPr>
            </w:pPr>
          </w:p>
        </w:tc>
        <w:tc>
          <w:tcPr>
            <w:tcW w:w="6880" w:type="dxa"/>
            <w:vAlign w:val="bottom"/>
          </w:tcPr>
          <w:p>
            <w:pPr>
              <w:jc w:val="center"/>
              <w:ind w:left="15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78"/>
        </w:trPr>
        <w:tc>
          <w:tcPr>
            <w:tcW w:w="1360" w:type="dxa"/>
            <w:vAlign w:val="bottom"/>
          </w:tcPr>
          <w:p>
            <w:pPr>
              <w:spacing w:after="0"/>
              <w:rPr>
                <w:sz w:val="24"/>
                <w:szCs w:val="24"/>
                <w:color w:val="auto"/>
              </w:rPr>
            </w:pPr>
          </w:p>
        </w:tc>
        <w:tc>
          <w:tcPr>
            <w:tcW w:w="6880" w:type="dxa"/>
            <w:vAlign w:val="bottom"/>
          </w:tcPr>
          <w:p>
            <w:pPr>
              <w:jc w:val="center"/>
              <w:ind w:left="157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608"/>
        </w:trPr>
        <w:tc>
          <w:tcPr>
            <w:tcW w:w="136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174"/>
        </w:trPr>
        <w:tc>
          <w:tcPr>
            <w:tcW w:w="136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ind w:left="40"/>
              <w:spacing w:after="0" w:line="174" w:lineRule="exact"/>
              <w:rPr>
                <w:sz w:val="20"/>
                <w:szCs w:val="20"/>
                <w:color w:val="auto"/>
              </w:rPr>
            </w:pPr>
            <w:r>
              <w:rPr>
                <w:rFonts w:ascii="Times New Roman" w:cs="Times New Roman" w:eastAsia="Times New Roman" w:hAnsi="Times New Roman"/>
                <w:sz w:val="18"/>
                <w:szCs w:val="18"/>
                <w:b w:val="1"/>
                <w:bCs w:val="1"/>
                <w:color w:val="auto"/>
              </w:rPr>
              <w:t>November 1,</w:t>
            </w:r>
          </w:p>
        </w:tc>
        <w:tc>
          <w:tcPr>
            <w:tcW w:w="160" w:type="dxa"/>
            <w:vAlign w:val="bottom"/>
          </w:tcPr>
          <w:p>
            <w:pPr>
              <w:spacing w:after="0"/>
              <w:rPr>
                <w:sz w:val="15"/>
                <w:szCs w:val="15"/>
                <w:color w:val="auto"/>
              </w:rPr>
            </w:pPr>
          </w:p>
        </w:tc>
        <w:tc>
          <w:tcPr>
            <w:tcW w:w="1280" w:type="dxa"/>
            <w:vAlign w:val="bottom"/>
          </w:tcPr>
          <w:p>
            <w:pPr>
              <w:jc w:val="right"/>
              <w:ind w:right="150"/>
              <w:spacing w:after="0" w:line="174" w:lineRule="exact"/>
              <w:rPr>
                <w:sz w:val="20"/>
                <w:szCs w:val="20"/>
                <w:color w:val="auto"/>
              </w:rPr>
            </w:pPr>
            <w:r>
              <w:rPr>
                <w:rFonts w:ascii="Times New Roman" w:cs="Times New Roman" w:eastAsia="Times New Roman" w:hAnsi="Times New Roman"/>
                <w:sz w:val="18"/>
                <w:szCs w:val="18"/>
                <w:b w:val="1"/>
                <w:bCs w:val="1"/>
                <w:color w:val="auto"/>
              </w:rPr>
              <w:t>November 2,</w:t>
            </w:r>
          </w:p>
        </w:tc>
      </w:tr>
      <w:tr>
        <w:trPr>
          <w:trHeight w:val="238"/>
        </w:trPr>
        <w:tc>
          <w:tcPr>
            <w:tcW w:w="1360" w:type="dxa"/>
            <w:vAlign w:val="bottom"/>
            <w:tcBorders>
              <w:bottom w:val="single" w:sz="8" w:color="CCEEFF"/>
            </w:tcBorders>
          </w:tcPr>
          <w:p>
            <w:pPr>
              <w:spacing w:after="0"/>
              <w:rPr>
                <w:sz w:val="20"/>
                <w:szCs w:val="20"/>
                <w:color w:val="auto"/>
              </w:rPr>
            </w:pPr>
          </w:p>
        </w:tc>
        <w:tc>
          <w:tcPr>
            <w:tcW w:w="68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9"/>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(50,497)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(15,215)</w:t>
            </w:r>
          </w:p>
        </w:tc>
      </w:tr>
      <w:tr>
        <w:trPr>
          <w:trHeight w:val="229"/>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8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Depreciation of property, plant, and equipment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6,210</w:t>
            </w:r>
          </w:p>
        </w:tc>
      </w:tr>
      <w:tr>
        <w:trPr>
          <w:trHeight w:val="229"/>
        </w:trPr>
        <w:tc>
          <w:tcPr>
            <w:tcW w:w="8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operating right-of-use assets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14,850</w:t>
            </w:r>
          </w:p>
        </w:tc>
      </w:tr>
      <w:tr>
        <w:trPr>
          <w:trHeight w:val="230"/>
        </w:trPr>
        <w:tc>
          <w:tcPr>
            <w:tcW w:w="8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Impairment charges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w:t>
            </w:r>
          </w:p>
        </w:tc>
      </w:tr>
      <w:tr>
        <w:trPr>
          <w:trHeight w:val="229"/>
        </w:trPr>
        <w:tc>
          <w:tcPr>
            <w:tcW w:w="8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r>
      <w:tr>
        <w:trPr>
          <w:trHeight w:val="229"/>
        </w:trPr>
        <w:tc>
          <w:tcPr>
            <w:tcW w:w="8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8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w:t>
            </w:r>
          </w:p>
        </w:tc>
      </w:tr>
      <w:tr>
        <w:trPr>
          <w:trHeight w:val="229"/>
        </w:trPr>
        <w:tc>
          <w:tcPr>
            <w:tcW w:w="8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9"/>
        </w:trPr>
        <w:tc>
          <w:tcPr>
            <w:tcW w:w="8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on sale of business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non-cash loss, net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8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82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(7,182)</w:t>
            </w:r>
          </w:p>
        </w:tc>
      </w:tr>
      <w:tr>
        <w:trPr>
          <w:trHeight w:val="229"/>
        </w:trPr>
        <w:tc>
          <w:tcPr>
            <w:tcW w:w="82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(13,036)</w:t>
            </w:r>
          </w:p>
        </w:tc>
      </w:tr>
      <w:tr>
        <w:trPr>
          <w:trHeight w:val="230"/>
        </w:trPr>
        <w:tc>
          <w:tcPr>
            <w:tcW w:w="82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w:t>
            </w:r>
          </w:p>
        </w:tc>
      </w:tr>
      <w:tr>
        <w:trPr>
          <w:trHeight w:val="230"/>
        </w:trPr>
        <w:tc>
          <w:tcPr>
            <w:tcW w:w="82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w:t>
            </w:r>
          </w:p>
        </w:tc>
      </w:tr>
      <w:tr>
        <w:trPr>
          <w:trHeight w:val="229"/>
        </w:trPr>
        <w:tc>
          <w:tcPr>
            <w:tcW w:w="82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Income taxes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w:t>
            </w:r>
          </w:p>
        </w:tc>
      </w:tr>
      <w:tr>
        <w:trPr>
          <w:trHeight w:val="230"/>
        </w:trPr>
        <w:tc>
          <w:tcPr>
            <w:tcW w:w="82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Operating lease liabilities, net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(17,468)</w:t>
            </w:r>
          </w:p>
        </w:tc>
      </w:tr>
      <w:tr>
        <w:trPr>
          <w:trHeight w:val="230"/>
        </w:trPr>
        <w:tc>
          <w:tcPr>
            <w:tcW w:w="8240" w:type="dxa"/>
            <w:vAlign w:val="bottom"/>
            <w:tcBorders>
              <w:bottom w:val="single" w:sz="8" w:color="CCEEFF"/>
            </w:tcBorders>
            <w:gridSpan w:val="2"/>
          </w:tcPr>
          <w:p>
            <w:pPr>
              <w:ind w:left="48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(6,571)</w:t>
            </w:r>
          </w:p>
        </w:tc>
      </w:tr>
      <w:tr>
        <w:trPr>
          <w:trHeight w:val="223"/>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(35,757)</w:t>
            </w:r>
          </w:p>
        </w:tc>
      </w:tr>
      <w:tr>
        <w:trPr>
          <w:trHeight w:val="210"/>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9"/>
        </w:trPr>
        <w:tc>
          <w:tcPr>
            <w:tcW w:w="8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(6,050)</w:t>
            </w:r>
          </w:p>
        </w:tc>
      </w:tr>
      <w:tr>
        <w:trPr>
          <w:trHeight w:val="230"/>
        </w:trPr>
        <w:tc>
          <w:tcPr>
            <w:tcW w:w="82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Proceeds from sale of business, net of cash disposed</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(6,050)</w:t>
            </w:r>
          </w:p>
        </w:tc>
      </w:tr>
      <w:tr>
        <w:trPr>
          <w:trHeight w:val="210"/>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8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 withholdings for equity compensation</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r>
      <w:tr>
        <w:trPr>
          <w:trHeight w:val="230"/>
        </w:trPr>
        <w:tc>
          <w:tcPr>
            <w:tcW w:w="8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(21,179)</w:t>
            </w:r>
          </w:p>
        </w:tc>
      </w:tr>
      <w:tr>
        <w:trPr>
          <w:trHeight w:val="229"/>
        </w:trPr>
        <w:tc>
          <w:tcPr>
            <w:tcW w:w="8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Borrowings under asset-based revolving credit agreement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Repayment of borrowings under asset-based revolving credit agreement</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(21,871)</w:t>
            </w:r>
          </w:p>
        </w:tc>
      </w:tr>
      <w:tr>
        <w:trPr>
          <w:trHeight w:val="223"/>
        </w:trPr>
        <w:tc>
          <w:tcPr>
            <w:tcW w:w="8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3"/>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(63,592)</w:t>
            </w:r>
          </w:p>
        </w:tc>
      </w:tr>
      <w:tr>
        <w:trPr>
          <w:trHeight w:val="229"/>
        </w:trPr>
        <w:tc>
          <w:tcPr>
            <w:tcW w:w="8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30,366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77,303</w:t>
            </w:r>
          </w:p>
        </w:tc>
      </w:tr>
      <w:tr>
        <w:trPr>
          <w:trHeight w:val="248"/>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13,711</w:t>
            </w:r>
          </w:p>
        </w:tc>
      </w:tr>
      <w:tr>
        <w:trPr>
          <w:trHeight w:val="20"/>
        </w:trPr>
        <w:tc>
          <w:tcPr>
            <w:tcW w:w="1360" w:type="dxa"/>
            <w:vAlign w:val="bottom"/>
            <w:tcBorders>
              <w:top w:val="single" w:sz="8" w:color="CCEEFF"/>
            </w:tcBorders>
          </w:tcPr>
          <w:p>
            <w:pPr>
              <w:spacing w:after="0" w:line="20" w:lineRule="exact"/>
              <w:rPr>
                <w:sz w:val="1"/>
                <w:szCs w:val="1"/>
                <w:color w:val="auto"/>
              </w:rPr>
            </w:pPr>
          </w:p>
        </w:tc>
        <w:tc>
          <w:tcPr>
            <w:tcW w:w="6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8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8"/>
        </w:trPr>
        <w:tc>
          <w:tcPr>
            <w:tcW w:w="40" w:type="dxa"/>
            <w:vAlign w:val="bottom"/>
            <w:tcBorders>
              <w:top w:val="single" w:sz="8" w:color="0000FF"/>
            </w:tcBorders>
          </w:tcPr>
          <w:p>
            <w:pPr>
              <w:spacing w:after="0"/>
              <w:rPr>
                <w:sz w:val="24"/>
                <w:szCs w:val="24"/>
                <w:color w:val="auto"/>
              </w:rPr>
            </w:pPr>
          </w:p>
        </w:tc>
        <w:tc>
          <w:tcPr>
            <w:tcW w:w="1320" w:type="dxa"/>
            <w:vAlign w:val="bottom"/>
            <w:tcBorders>
              <w:top w:val="single" w:sz="8" w:color="0000FF"/>
            </w:tcBorders>
          </w:tcPr>
          <w:p>
            <w:pPr>
              <w:spacing w:after="0"/>
              <w:rPr>
                <w:sz w:val="24"/>
                <w:szCs w:val="24"/>
                <w:color w:val="auto"/>
              </w:rPr>
            </w:pPr>
          </w:p>
        </w:tc>
        <w:tc>
          <w:tcPr>
            <w:tcW w:w="6880" w:type="dxa"/>
            <w:vAlign w:val="bottom"/>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w w:val="98"/>
              </w:rPr>
              <w:t>Vera Bradley, Inc.</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880" w:type="dxa"/>
            <w:vAlign w:val="bottom"/>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880" w:type="dxa"/>
            <w:vAlign w:val="bottom"/>
          </w:tcPr>
          <w:p>
            <w:pPr>
              <w:jc w:val="center"/>
              <w:ind w:left="15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880" w:type="dxa"/>
            <w:vAlign w:val="bottom"/>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w w:val="99"/>
              </w:rPr>
              <w:t>(continued)</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880" w:type="dxa"/>
            <w:vAlign w:val="bottom"/>
          </w:tcPr>
          <w:p>
            <w:pPr>
              <w:jc w:val="center"/>
              <w:ind w:left="157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68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82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November 1,</w:t>
            </w:r>
          </w:p>
        </w:tc>
        <w:tc>
          <w:tcPr>
            <w:tcW w:w="160" w:type="dxa"/>
            <w:vAlign w:val="bottom"/>
          </w:tcPr>
          <w:p>
            <w:pPr>
              <w:spacing w:after="0"/>
              <w:rPr>
                <w:sz w:val="14"/>
                <w:szCs w:val="14"/>
                <w:color w:val="auto"/>
              </w:rPr>
            </w:pPr>
          </w:p>
        </w:tc>
        <w:tc>
          <w:tcPr>
            <w:tcW w:w="128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November 2,</w:t>
            </w: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1320" w:type="dxa"/>
            <w:vAlign w:val="bottom"/>
            <w:tcBorders>
              <w:bottom w:val="single" w:sz="8" w:color="CCEEFF"/>
            </w:tcBorders>
          </w:tcPr>
          <w:p>
            <w:pPr>
              <w:spacing w:after="0"/>
              <w:rPr>
                <w:sz w:val="20"/>
                <w:szCs w:val="20"/>
                <w:color w:val="auto"/>
              </w:rPr>
            </w:pPr>
          </w:p>
        </w:tc>
        <w:tc>
          <w:tcPr>
            <w:tcW w:w="68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0" w:type="dxa"/>
            <w:vAlign w:val="bottom"/>
          </w:tcPr>
          <w:p>
            <w:pPr>
              <w:spacing w:after="0"/>
              <w:rPr>
                <w:sz w:val="21"/>
                <w:szCs w:val="21"/>
                <w:color w:val="auto"/>
              </w:rPr>
            </w:pPr>
          </w:p>
        </w:tc>
        <w:tc>
          <w:tcPr>
            <w:tcW w:w="8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income taxes,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activity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Pr>
          <w:p>
            <w:pPr>
              <w:spacing w:after="0"/>
              <w:rPr>
                <w:sz w:val="15"/>
                <w:szCs w:val="15"/>
                <w:color w:val="auto"/>
              </w:rPr>
            </w:pPr>
          </w:p>
        </w:tc>
        <w:tc>
          <w:tcPr>
            <w:tcW w:w="82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operating, investing, and financing activities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Purchases of property, plant, and equipment incurred but not yet paid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0" w:type="dxa"/>
            <w:vAlign w:val="bottom"/>
          </w:tcPr>
          <w:p>
            <w:pPr>
              <w:spacing w:after="0"/>
              <w:rPr>
                <w:sz w:val="21"/>
                <w:szCs w:val="21"/>
                <w:color w:val="auto"/>
              </w:rPr>
            </w:pPr>
          </w:p>
        </w:tc>
        <w:tc>
          <w:tcPr>
            <w:tcW w:w="82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Contingent consideration related to sale of business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6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ind w:left="360" w:right="280"/>
        <w:spacing w:after="0" w:line="282" w:lineRule="auto"/>
        <w:rPr>
          <w:sz w:val="20"/>
          <w:szCs w:val="20"/>
          <w:color w:val="auto"/>
        </w:rPr>
      </w:pPr>
      <w:r>
        <w:rPr>
          <w:rFonts w:ascii="Times New Roman" w:cs="Times New Roman" w:eastAsia="Times New Roman" w:hAnsi="Times New Roman"/>
          <w:sz w:val="18"/>
          <w:szCs w:val="18"/>
          <w:color w:val="auto"/>
        </w:rPr>
        <w:t>Refer to Note 3 herein for supplemental cash flow information regarding the Company’s leases. Refer to Note 14 herein for supplemental cash flow information regarding the discontinued operations.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Company and Basis of Presentation</w:t>
      </w:r>
    </w:p>
    <w:p>
      <w:pPr>
        <w:spacing w:after="0" w:line="107" w:lineRule="exact"/>
        <w:rPr>
          <w:rFonts w:ascii="Times New Roman" w:cs="Times New Roman" w:eastAsia="Times New Roman" w:hAnsi="Times New Roman"/>
          <w:sz w:val="18"/>
          <w:szCs w:val="18"/>
          <w:b w:val="1"/>
          <w:bCs w:val="1"/>
          <w:color w:val="auto"/>
        </w:rPr>
      </w:pPr>
    </w:p>
    <w:p>
      <w:pPr>
        <w:ind w:left="660" w:right="6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 “Company” refers to Vera Bradley, Inc. and its wholly owned subsidiaries, except where the context requires otherwise or where otherwise indicated.</w:t>
      </w:r>
    </w:p>
    <w:p>
      <w:pPr>
        <w:spacing w:after="0" w:line="26" w:lineRule="exact"/>
        <w:rPr>
          <w:rFonts w:ascii="Times New Roman" w:cs="Times New Roman" w:eastAsia="Times New Roman" w:hAnsi="Times New Roman"/>
          <w:sz w:val="18"/>
          <w:szCs w:val="18"/>
          <w:b w:val="1"/>
          <w:bCs w:val="1"/>
          <w:color w:val="auto"/>
        </w:rPr>
      </w:pPr>
    </w:p>
    <w:p>
      <w:pPr>
        <w:ind w:left="660" w:right="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Vera Bradley is a leading designer of women’s handbags, luggage and travel items, fashion and home accessories, and unique gifts. Founded in 1982 by friends Barbara Bradley Baekgaard and Patricia R. Miller, the brand’s innovative designs, iconic patterns, and brilliant colors continue to inspire and connect women.</w:t>
      </w:r>
    </w:p>
    <w:p>
      <w:pPr>
        <w:spacing w:after="0" w:line="54" w:lineRule="exact"/>
        <w:rPr>
          <w:rFonts w:ascii="Times New Roman" w:cs="Times New Roman" w:eastAsia="Times New Roman" w:hAnsi="Times New Roman"/>
          <w:sz w:val="18"/>
          <w:szCs w:val="18"/>
          <w:b w:val="1"/>
          <w:bCs w:val="1"/>
          <w:color w:val="auto"/>
        </w:rPr>
      </w:pPr>
    </w:p>
    <w:p>
      <w:pPr>
        <w:ind w:left="660" w:right="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On March 11, 2025, the Company entered into an Interest Purchase Agreement (the “Agreement”) to sell one hundred percent (100%) of Creative Genius, Inc., (“Creative Genius”) which operates under the name Pura Vida Bracelets. The sale consummated on March 31, 2025. As a result, the operations of Pura Vida have been classified as discontinued operations in the consolidated financial statements in accordance with ASC 205-20,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Prior period amounts have been retrospectively adjusted to conform to the current period presentation. Unless otherwise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specified, disclosures in these condensed consolidated financial statements reflect continuing operations only. Certain prior period data, primarily related to discontinued operations, have been reclassified in the Consolidated Condensed Financial Statements and accompanying notes to conform to the current period presentation.</w:t>
      </w:r>
    </w:p>
    <w:p>
      <w:pPr>
        <w:spacing w:after="0" w:line="6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Following the sale, Pura Vida is no longer included in the Company’s consolidated financial results. Refer to Note 14 for additional information.</w:t>
      </w:r>
    </w:p>
    <w:p>
      <w:pPr>
        <w:spacing w:after="0" w:line="90" w:lineRule="exact"/>
        <w:rPr>
          <w:rFonts w:ascii="Times New Roman" w:cs="Times New Roman" w:eastAsia="Times New Roman" w:hAnsi="Times New Roman"/>
          <w:sz w:val="18"/>
          <w:szCs w:val="18"/>
          <w:b w:val="1"/>
          <w:bCs w:val="1"/>
          <w:color w:val="auto"/>
        </w:rPr>
      </w:pPr>
    </w:p>
    <w:p>
      <w:pPr>
        <w:ind w:left="660" w:right="3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two reportable segments: Vera Bradley Direct (“VB Direct”) and Vera Bradley Indirect (“VB Indirect”). During the thirteen weeks ended May 3, 2025, the Company completed the sale of Pura Vida, which was previously considered a reportable segment.</w:t>
      </w:r>
    </w:p>
    <w:p>
      <w:pPr>
        <w:spacing w:after="0" w:line="40" w:lineRule="exact"/>
        <w:rPr>
          <w:rFonts w:ascii="Times New Roman" w:cs="Times New Roman" w:eastAsia="Times New Roman" w:hAnsi="Times New Roman"/>
          <w:sz w:val="18"/>
          <w:szCs w:val="18"/>
          <w:b w:val="1"/>
          <w:bCs w:val="1"/>
          <w:color w:val="auto"/>
        </w:rPr>
      </w:pPr>
    </w:p>
    <w:p>
      <w:pPr>
        <w:ind w:left="980" w:right="40" w:hanging="324"/>
        <w:spacing w:after="0" w:line="266" w:lineRule="auto"/>
        <w:tabs>
          <w:tab w:leader="none" w:pos="97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VB Direct segment consists of sales of Vera Bradley products through Vera Bradley full-line and outlet stores in the United States; e-commerce sites (verabradley.com, outlet.verabradley.com, and international.verabradley.com); and the Vera Bradley annual outlet sale in Fort Wayne, Indiana. As of November 1, 2025, the Company operated 31 full-line stores and 86 outlet stores.</w:t>
      </w:r>
    </w:p>
    <w:p>
      <w:pPr>
        <w:spacing w:after="0" w:line="54" w:lineRule="exact"/>
        <w:rPr>
          <w:rFonts w:ascii="Times New Roman" w:cs="Times New Roman" w:eastAsia="Times New Roman" w:hAnsi="Times New Roman"/>
          <w:sz w:val="18"/>
          <w:szCs w:val="18"/>
          <w:color w:val="auto"/>
        </w:rPr>
      </w:pPr>
    </w:p>
    <w:p>
      <w:pPr>
        <w:ind w:left="980" w:right="300" w:hanging="324"/>
        <w:spacing w:after="0" w:line="261" w:lineRule="auto"/>
        <w:tabs>
          <w:tab w:leader="none" w:pos="97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VB Indirect segment consists of revenues generated through the distribution of Vera Bradley-branded products to specialty retailers representing approximately 1,000 locations, substantially all of which are located in the United States; key accounts, which include department stores, national accounts, third-party e-commerce sites, and third-party inventory liquidators; and royalties recognized through licensing agreements related to the Vera Bradley brand.</w:t>
      </w:r>
    </w:p>
    <w:p>
      <w:pPr>
        <w:spacing w:after="0" w:line="45" w:lineRule="exact"/>
        <w:rPr>
          <w:sz w:val="20"/>
          <w:szCs w:val="20"/>
          <w:color w:val="auto"/>
        </w:rPr>
      </w:pPr>
    </w:p>
    <w:p>
      <w:pPr>
        <w:ind w:left="660"/>
        <w:spacing w:after="0" w:line="256"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the rules and regulations of the Securities and Exchange Commission (“SEC”). Accordingly, certain information and footnote disclosures normally included in financial statements prepared in accordance with accounting principles generally accepted in the United States (“GAAP”) have been condensed or omitted as permitted by such rules and regulations. These interim condensed consolidated financial statements should be read in conjunction with the audited consolidated financial statements and notes included in the Company’s Annual Report on Form 10-K for the fiscal year ended February 1, 2025, filed with the SEC.</w:t>
      </w:r>
    </w:p>
    <w:p>
      <w:pPr>
        <w:spacing w:after="0" w:line="66" w:lineRule="exact"/>
        <w:rPr>
          <w:sz w:val="20"/>
          <w:szCs w:val="20"/>
          <w:color w:val="auto"/>
        </w:rPr>
      </w:pPr>
    </w:p>
    <w:p>
      <w:pPr>
        <w:ind w:left="660" w:right="80"/>
        <w:spacing w:after="0" w:line="261" w:lineRule="auto"/>
        <w:rPr>
          <w:sz w:val="20"/>
          <w:szCs w:val="20"/>
          <w:color w:val="auto"/>
        </w:rPr>
      </w:pPr>
      <w:r>
        <w:rPr>
          <w:rFonts w:ascii="Times New Roman" w:cs="Times New Roman" w:eastAsia="Times New Roman" w:hAnsi="Times New Roman"/>
          <w:sz w:val="18"/>
          <w:szCs w:val="18"/>
          <w:color w:val="auto"/>
        </w:rPr>
        <w:t>The interim financial statements reflect all adjustments that are, in the opinion of management, necessary to present fairly the results for the interim periods presented. All such adjustments are of a normal, recurring nature. The results of operations for the thirteen and thirty-nine weeks ended November 1, 2025, are not necessarily indicative of the results to be expected for the full fiscal year due to, in part, seasonal fluctuations in the business and the uncertainty of macroeconomic factors on future periods, including inflation and other related matters.</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Inventory Reserve</w:t>
      </w:r>
    </w:p>
    <w:p>
      <w:pPr>
        <w:spacing w:after="0" w:line="94" w:lineRule="exact"/>
        <w:rPr>
          <w:sz w:val="20"/>
          <w:szCs w:val="20"/>
          <w:color w:val="auto"/>
        </w:rPr>
      </w:pPr>
    </w:p>
    <w:p>
      <w:pPr>
        <w:ind w:left="660" w:right="200"/>
        <w:spacing w:after="0" w:line="266" w:lineRule="auto"/>
        <w:rPr>
          <w:sz w:val="20"/>
          <w:szCs w:val="20"/>
          <w:color w:val="auto"/>
        </w:rPr>
      </w:pPr>
      <w:r>
        <w:rPr>
          <w:rFonts w:ascii="Times New Roman" w:cs="Times New Roman" w:eastAsia="Times New Roman" w:hAnsi="Times New Roman"/>
          <w:sz w:val="18"/>
          <w:szCs w:val="18"/>
          <w:color w:val="auto"/>
        </w:rPr>
        <w:t>The Company maintains a reserve for slow-moving inventory and evaluates all inventory for potential write-downs. Inventories are stated at the lower of cost or net realizable value, with cost determined using the first-in, first-out (“FIFO”) method. In assessing net realizable value, we consider factors such as obsolescence, excess quantities, and the popularity of specific patterns or products.</w:t>
      </w:r>
    </w:p>
    <w:p>
      <w:pPr>
        <w:spacing w:after="0" w:line="54" w:lineRule="exact"/>
        <w:rPr>
          <w:sz w:val="20"/>
          <w:szCs w:val="20"/>
          <w:color w:val="auto"/>
        </w:rPr>
      </w:pPr>
    </w:p>
    <w:p>
      <w:pPr>
        <w:ind w:left="660" w:right="360"/>
        <w:spacing w:after="0" w:line="282" w:lineRule="auto"/>
        <w:rPr>
          <w:sz w:val="20"/>
          <w:szCs w:val="20"/>
          <w:color w:val="auto"/>
        </w:rPr>
      </w:pPr>
      <w:r>
        <w:rPr>
          <w:rFonts w:ascii="Times New Roman" w:cs="Times New Roman" w:eastAsia="Times New Roman" w:hAnsi="Times New Roman"/>
          <w:sz w:val="18"/>
          <w:szCs w:val="18"/>
          <w:color w:val="auto"/>
        </w:rPr>
        <w:t>When the cost of an inventory item exceeds the amount we expect to realize upon sale or disposal, we record a valuation adjustment, which is reflected in cost of sales. These adjustments require management judgment and are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left="660" w:right="560"/>
        <w:spacing w:after="0" w:line="282" w:lineRule="auto"/>
        <w:rPr>
          <w:sz w:val="20"/>
          <w:szCs w:val="20"/>
          <w:color w:val="auto"/>
        </w:rPr>
      </w:pPr>
      <w:r>
        <w:rPr>
          <w:rFonts w:ascii="Times New Roman" w:cs="Times New Roman" w:eastAsia="Times New Roman" w:hAnsi="Times New Roman"/>
          <w:sz w:val="18"/>
          <w:szCs w:val="18"/>
          <w:color w:val="auto"/>
        </w:rPr>
        <w:t>based on assumptions related to merchandise seasonality, historical trends, estimated sales, inventory levels, and anticipated sell-through of remaining units.</w:t>
      </w:r>
    </w:p>
    <w:p>
      <w:pPr>
        <w:spacing w:after="0" w:line="27" w:lineRule="exact"/>
        <w:rPr>
          <w:sz w:val="20"/>
          <w:szCs w:val="20"/>
          <w:color w:val="auto"/>
        </w:rPr>
      </w:pPr>
    </w:p>
    <w:p>
      <w:pPr>
        <w:ind w:left="660" w:right="320"/>
        <w:spacing w:after="0" w:line="282" w:lineRule="auto"/>
        <w:rPr>
          <w:sz w:val="20"/>
          <w:szCs w:val="20"/>
          <w:color w:val="auto"/>
        </w:rPr>
      </w:pPr>
      <w:r>
        <w:rPr>
          <w:rFonts w:ascii="Times New Roman" w:cs="Times New Roman" w:eastAsia="Times New Roman" w:hAnsi="Times New Roman"/>
          <w:sz w:val="18"/>
          <w:szCs w:val="18"/>
          <w:color w:val="auto"/>
        </w:rPr>
        <w:t>During the 13 weeks ended November 1,2025, we identified excess inventory. Based on this assessment, the Company recorded a $5.9 million charge included in Cost of Sales.</w:t>
      </w:r>
    </w:p>
    <w:p>
      <w:pPr>
        <w:spacing w:after="0" w:line="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Media Credits</w:t>
      </w:r>
    </w:p>
    <w:p>
      <w:pPr>
        <w:spacing w:after="0" w:line="108" w:lineRule="exact"/>
        <w:rPr>
          <w:sz w:val="20"/>
          <w:szCs w:val="20"/>
          <w:color w:val="auto"/>
        </w:rPr>
      </w:pPr>
    </w:p>
    <w:p>
      <w:pPr>
        <w:ind w:left="660" w:right="120"/>
        <w:spacing w:after="0" w:line="266" w:lineRule="auto"/>
        <w:rPr>
          <w:sz w:val="20"/>
          <w:szCs w:val="20"/>
          <w:color w:val="auto"/>
        </w:rPr>
      </w:pPr>
      <w:r>
        <w:rPr>
          <w:rFonts w:ascii="Times New Roman" w:cs="Times New Roman" w:eastAsia="Times New Roman" w:hAnsi="Times New Roman"/>
          <w:sz w:val="18"/>
          <w:szCs w:val="18"/>
          <w:color w:val="auto"/>
        </w:rPr>
        <w:t>Aged media credits acquired and included within Other Assets were written down by 50%, from $8.0 million to $4.0 million. The revised value was estimated based on discussions with media agencies regarding the potential resale amount. As a result, a $4.0 million charge was recorded in Selling, general, and administrative expenses during the 13 week period.</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08" w:lineRule="exact"/>
        <w:rPr>
          <w:sz w:val="20"/>
          <w:szCs w:val="20"/>
          <w:color w:val="auto"/>
        </w:rPr>
      </w:pPr>
    </w:p>
    <w:p>
      <w:pPr>
        <w:ind w:left="660" w:right="460"/>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 owned subsidiaries. The Company has eliminated intercompany balances and transactions in consolidation.</w:t>
      </w:r>
    </w:p>
    <w:p>
      <w:pPr>
        <w:spacing w:after="0" w:line="40" w:lineRule="exact"/>
        <w:rPr>
          <w:sz w:val="20"/>
          <w:szCs w:val="20"/>
          <w:color w:val="auto"/>
        </w:rPr>
      </w:pPr>
    </w:p>
    <w:p>
      <w:pPr>
        <w:jc w:val="both"/>
        <w:ind w:left="660" w:right="160"/>
        <w:spacing w:after="0" w:line="266" w:lineRule="auto"/>
        <w:rPr>
          <w:sz w:val="20"/>
          <w:szCs w:val="20"/>
          <w:color w:val="auto"/>
        </w:rPr>
      </w:pPr>
      <w:r>
        <w:rPr>
          <w:rFonts w:ascii="Times New Roman" w:cs="Times New Roman" w:eastAsia="Times New Roman" w:hAnsi="Times New Roman"/>
          <w:sz w:val="18"/>
          <w:szCs w:val="18"/>
          <w:color w:val="auto"/>
        </w:rPr>
        <w:t>During the thirteen weeks ended May 3, 2025, the Company completed the sale of its wholly owned subsidiary, Creative Genius, also referred to as Pura Vida. As a result, the operations of Pura Vida have been classified as discontinued operations in the consolidated financial statements in accordance with ASC 205-20. Prior period amounts have been retrospectively adjusted to conform to the current period presentation.</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Fiscal Periods</w:t>
      </w:r>
    </w:p>
    <w:p>
      <w:pPr>
        <w:spacing w:after="0" w:line="108"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Company’s fiscal year ends on the Saturday closest to January 31. References to the fiscal quarters ended November 1, 2025 and November 2, 2024 refer to the thirteen week periods ended on those dates.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94" w:lineRule="exact"/>
        <w:rPr>
          <w:sz w:val="20"/>
          <w:szCs w:val="20"/>
          <w:color w:val="auto"/>
        </w:rPr>
      </w:pPr>
    </w:p>
    <w:p>
      <w:pPr>
        <w:ind w:left="660" w:right="60"/>
        <w:spacing w:after="0" w:line="25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2023-09, "Improvements to Income Tax Disclosures". This ASU establishes new income tax disclosure requirements in addition to modifying and eliminating certain existing requirements. Under the new guidance, entities must consistently categorize and provide greater disaggregation of information in the rate reconciliation. They must also further disaggregate income taxes paid. The new standard is effective for fiscal years beginning after December 15, 2024 (the Company's fiscal year 2026), with retrospective application permitted. The Company is currently evaluating this guidance to determine the impact on its disclosures; however, adoption will not impact our consolidated financial statements.</w:t>
      </w:r>
    </w:p>
    <w:p>
      <w:pPr>
        <w:spacing w:after="0" w:line="66" w:lineRule="exact"/>
        <w:rPr>
          <w:sz w:val="20"/>
          <w:szCs w:val="20"/>
          <w:color w:val="auto"/>
        </w:rPr>
      </w:pPr>
    </w:p>
    <w:p>
      <w:pPr>
        <w:ind w:left="660" w:right="60"/>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Accounting Standards Update ASU 2024-03, "Disaggregation of Income Statement Expenses". The ASU requires financial statement footnote disclosure of specified information about certain costs and expenses, including purchases of inventory, employee compensation, depreciation, and intangible asset amortization. The ASU is effective for fiscal years beginning after December 15, 2026 (the Company’s fiscal year 2028) and interim reporting periods beginning after December 15, 2027 (interim periods for the Company’s fiscal year 2029). Public business entities are required to apply the guidance prospectively, however, retrospective application is permitted. The Company is currently evaluating the impact of this ASU, but expects the impact to be limited to financial statement footnote disclosures.</w:t>
      </w:r>
    </w:p>
    <w:p>
      <w:pPr>
        <w:spacing w:after="0" w:line="66" w:lineRule="exact"/>
        <w:rPr>
          <w:sz w:val="20"/>
          <w:szCs w:val="20"/>
          <w:color w:val="auto"/>
        </w:rPr>
      </w:pPr>
    </w:p>
    <w:p>
      <w:pPr>
        <w:ind w:left="660" w:right="40"/>
        <w:spacing w:after="0" w:line="258" w:lineRule="auto"/>
        <w:rPr>
          <w:sz w:val="20"/>
          <w:szCs w:val="20"/>
          <w:color w:val="auto"/>
        </w:rPr>
      </w:pPr>
      <w:r>
        <w:rPr>
          <w:rFonts w:ascii="Times New Roman" w:cs="Times New Roman" w:eastAsia="Times New Roman" w:hAnsi="Times New Roman"/>
          <w:sz w:val="18"/>
          <w:szCs w:val="18"/>
          <w:color w:val="auto"/>
        </w:rPr>
        <w:t>In September 2025, the FASB issued Accounting Standards Update (ASU) No. 2025-06, "Intangibles - Goodwill and Other-Internal-Use Software (Topic 350-40): Targeted Improvements to the Accounting for Internal-Use Software". This amendment modernizes and makes targeted improvements to the accounting for software costs found under Topic 350-40, effective for fiscal years and interim periods beginning after December 15, 2027, with early adoption permitted. The Company is currently evaluating the impact of adopting this standard on its consolidated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252"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Disaggregation of Revenue</w:t>
      </w:r>
    </w:p>
    <w:p>
      <w:pPr>
        <w:spacing w:after="0" w:line="107"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presents the Company's net revenues disaggregated by product category for the thirteen weeks ended November 1, 2025 and November 2, 2024 (in thousands):</w:t>
      </w:r>
    </w:p>
    <w:p>
      <w:pPr>
        <w:spacing w:after="0" w:line="304"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4"/>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November 1, 2025</w:t>
            </w:r>
          </w:p>
        </w:tc>
        <w:tc>
          <w:tcPr>
            <w:tcW w:w="3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5160" w:type="dxa"/>
            <w:vAlign w:val="bottom"/>
          </w:tcPr>
          <w:p>
            <w:pPr>
              <w:spacing w:after="0"/>
              <w:rPr>
                <w:sz w:val="11"/>
                <w:szCs w:val="11"/>
                <w:color w:val="auto"/>
              </w:rPr>
            </w:pP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VB Direct Segment</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114"/>
              <w:spacing w:after="0" w:line="137" w:lineRule="exact"/>
              <w:rPr>
                <w:sz w:val="20"/>
                <w:szCs w:val="20"/>
                <w:color w:val="auto"/>
              </w:rPr>
            </w:pPr>
            <w:r>
              <w:rPr>
                <w:rFonts w:ascii="Times New Roman" w:cs="Times New Roman" w:eastAsia="Times New Roman" w:hAnsi="Times New Roman"/>
                <w:sz w:val="14"/>
                <w:szCs w:val="14"/>
                <w:b w:val="1"/>
                <w:bCs w:val="1"/>
                <w:color w:val="auto"/>
              </w:rPr>
              <w:t>VB Indirect</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16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Product categories</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Bags</w:t>
            </w:r>
          </w:p>
        </w:tc>
        <w:tc>
          <w:tcPr>
            <w:tcW w:w="4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23,913</w:t>
            </w:r>
          </w:p>
        </w:tc>
        <w:tc>
          <w:tcPr>
            <w:tcW w:w="260" w:type="dxa"/>
            <w:vAlign w:val="bottom"/>
          </w:tcPr>
          <w:p>
            <w:pPr>
              <w:spacing w:after="0"/>
              <w:rPr>
                <w:sz w:val="19"/>
                <w:szCs w:val="19"/>
                <w:color w:val="auto"/>
              </w:rPr>
            </w:pPr>
          </w:p>
        </w:tc>
        <w:tc>
          <w:tcPr>
            <w:tcW w:w="28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7,195</w:t>
            </w:r>
          </w:p>
        </w:tc>
        <w:tc>
          <w:tcPr>
            <w:tcW w:w="3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31,108</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11,880</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15,209</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7,169</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8,190</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Apparel/Footwear</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(2)</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4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49,683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12,570</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(4)</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62,253</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920" w:hanging="246"/>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stationery, freight, and gift card breakage.</w:t>
      </w:r>
    </w:p>
    <w:p>
      <w:pPr>
        <w:spacing w:after="0" w:line="27"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licensing agreements, freight, and merchandising.</w:t>
      </w:r>
    </w:p>
    <w:p>
      <w:pPr>
        <w:spacing w:after="0" w:line="22"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related to product sales recognized at a point in time.</w:t>
      </w:r>
    </w:p>
    <w:p>
      <w:pPr>
        <w:spacing w:after="0" w:line="22" w:lineRule="exact"/>
        <w:rPr>
          <w:rFonts w:ascii="Times New Roman" w:cs="Times New Roman" w:eastAsia="Times New Roman" w:hAnsi="Times New Roman"/>
          <w:sz w:val="18"/>
          <w:szCs w:val="18"/>
          <w:color w:val="auto"/>
        </w:rPr>
      </w:pPr>
    </w:p>
    <w:p>
      <w:pPr>
        <w:ind w:left="680" w:right="840" w:hanging="6"/>
        <w:spacing w:after="0" w:line="245" w:lineRule="auto"/>
        <w:tabs>
          <w:tab w:leader="none" w:pos="9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 million of net revenues related to product sales recognized at a point in time and $0.4 million of net revenues related to sales-based royalties recognized over time.</w:t>
      </w:r>
    </w:p>
    <w:p>
      <w:pPr>
        <w:spacing w:after="0" w:line="201"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4"/>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November 2, 2024</w:t>
            </w:r>
          </w:p>
        </w:tc>
        <w:tc>
          <w:tcPr>
            <w:tcW w:w="3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180" w:type="dxa"/>
            <w:vAlign w:val="bottom"/>
          </w:tcPr>
          <w:p>
            <w:pPr>
              <w:spacing w:after="0"/>
              <w:rPr>
                <w:sz w:val="11"/>
                <w:szCs w:val="11"/>
                <w:color w:val="auto"/>
              </w:rPr>
            </w:pP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VB Direct Segment</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center"/>
              <w:ind w:right="94"/>
              <w:spacing w:after="0" w:line="135" w:lineRule="exact"/>
              <w:rPr>
                <w:sz w:val="20"/>
                <w:szCs w:val="20"/>
                <w:color w:val="auto"/>
              </w:rPr>
            </w:pPr>
            <w:r>
              <w:rPr>
                <w:rFonts w:ascii="Times New Roman" w:cs="Times New Roman" w:eastAsia="Times New Roman" w:hAnsi="Times New Roman"/>
                <w:sz w:val="14"/>
                <w:szCs w:val="14"/>
                <w:b w:val="1"/>
                <w:bCs w:val="1"/>
                <w:color w:val="auto"/>
              </w:rPr>
              <w:t>VB Indirect</w:t>
            </w: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18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gridSpan w:val="2"/>
            <w:vMerge w:val="continue"/>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3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Product categories</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Bags</w:t>
            </w:r>
          </w:p>
        </w:tc>
        <w:tc>
          <w:tcPr>
            <w:tcW w:w="4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23,326</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10,294</w:t>
            </w:r>
          </w:p>
        </w:tc>
        <w:tc>
          <w:tcPr>
            <w:tcW w:w="3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33,620</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12,968</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w:t>
            </w: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17,289</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8,704</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10,468</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4,542</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5,360</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Apparel/Footwear</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4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52,475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18,008</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70,483</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920" w:hanging="246"/>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stationery, freight, and gift card breakage.</w:t>
      </w:r>
    </w:p>
    <w:p>
      <w:pPr>
        <w:spacing w:after="0" w:line="27"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licensing agreements and freight.</w:t>
      </w:r>
    </w:p>
    <w:p>
      <w:pPr>
        <w:spacing w:after="0" w:line="22"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related to product sales recognized at a point in time.</w:t>
      </w:r>
    </w:p>
    <w:p>
      <w:pPr>
        <w:spacing w:after="0" w:line="22" w:lineRule="exact"/>
        <w:rPr>
          <w:rFonts w:ascii="Times New Roman" w:cs="Times New Roman" w:eastAsia="Times New Roman" w:hAnsi="Times New Roman"/>
          <w:sz w:val="18"/>
          <w:szCs w:val="18"/>
          <w:color w:val="auto"/>
        </w:rPr>
      </w:pPr>
    </w:p>
    <w:p>
      <w:pPr>
        <w:ind w:left="680" w:right="840" w:hanging="6"/>
        <w:spacing w:after="0" w:line="234" w:lineRule="auto"/>
        <w:tabs>
          <w:tab w:leader="none" w:pos="9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$17.6 million of net revenues related to product sales recognized at a point in time and $0.4 million of net revenues related to sales-based royalties recognized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presents the Company's net revenues disaggregated by product category for the thirty-nine weeks ended November 1, 2025 and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November 2, 2024 (in thousands):</w:t>
      </w:r>
    </w:p>
    <w:p>
      <w:pPr>
        <w:spacing w:after="0" w:line="349"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9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November 1, 2025</w:t>
            </w:r>
          </w:p>
        </w:tc>
        <w:tc>
          <w:tcPr>
            <w:tcW w:w="3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5140" w:type="dxa"/>
            <w:vAlign w:val="bottom"/>
          </w:tcPr>
          <w:p>
            <w:pPr>
              <w:spacing w:after="0"/>
              <w:rPr>
                <w:sz w:val="11"/>
                <w:szCs w:val="11"/>
                <w:color w:val="auto"/>
              </w:rPr>
            </w:pP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VB Direct Segment</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94"/>
              <w:spacing w:after="0" w:line="137" w:lineRule="exact"/>
              <w:rPr>
                <w:sz w:val="20"/>
                <w:szCs w:val="20"/>
                <w:color w:val="auto"/>
              </w:rPr>
            </w:pPr>
            <w:r>
              <w:rPr>
                <w:rFonts w:ascii="Times New Roman" w:cs="Times New Roman" w:eastAsia="Times New Roman" w:hAnsi="Times New Roman"/>
                <w:sz w:val="14"/>
                <w:szCs w:val="14"/>
                <w:b w:val="1"/>
                <w:bCs w:val="1"/>
                <w:color w:val="auto"/>
              </w:rPr>
              <w:t>VB Indirect</w:t>
            </w: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14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3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Product categories</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Bags</w:t>
            </w:r>
          </w:p>
        </w:tc>
        <w:tc>
          <w:tcPr>
            <w:tcW w:w="40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70,712</w:t>
            </w:r>
          </w:p>
        </w:tc>
        <w:tc>
          <w:tcPr>
            <w:tcW w:w="3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18,658</w:t>
            </w:r>
          </w:p>
        </w:tc>
        <w:tc>
          <w:tcPr>
            <w:tcW w:w="3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89,370</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38,961</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7,509</w:t>
            </w: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46,470</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23,094</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25,550</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10,819</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11,656</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Apparel/Footwear</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5,183</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4,745</w:t>
            </w:r>
          </w:p>
        </w:tc>
        <w:tc>
          <w:tcPr>
            <w:tcW w:w="3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6,534</w:t>
            </w:r>
          </w:p>
        </w:tc>
        <w:tc>
          <w:tcPr>
            <w:tcW w:w="0" w:type="dxa"/>
            <w:vAlign w:val="bottom"/>
          </w:tcPr>
          <w:p>
            <w:pPr>
              <w:spacing w:after="0"/>
              <w:rPr>
                <w:sz w:val="1"/>
                <w:szCs w:val="1"/>
                <w:color w:val="auto"/>
              </w:rPr>
            </w:pPr>
          </w:p>
        </w:tc>
      </w:tr>
      <w:tr>
        <w:trPr>
          <w:trHeight w:val="22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4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153,280</w:t>
            </w:r>
          </w:p>
        </w:tc>
        <w:tc>
          <w:tcPr>
            <w:tcW w:w="3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31,483</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184,763</w:t>
            </w:r>
          </w:p>
        </w:tc>
        <w:tc>
          <w:tcPr>
            <w:tcW w:w="0" w:type="dxa"/>
            <w:vAlign w:val="bottom"/>
          </w:tcPr>
          <w:p>
            <w:pPr>
              <w:spacing w:after="0"/>
              <w:rPr>
                <w:sz w:val="1"/>
                <w:szCs w:val="1"/>
                <w:color w:val="auto"/>
              </w:rPr>
            </w:pPr>
          </w:p>
        </w:tc>
      </w:tr>
      <w:tr>
        <w:trPr>
          <w:trHeight w:val="21"/>
        </w:trPr>
        <w:tc>
          <w:tcPr>
            <w:tcW w:w="5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920" w:hanging="246"/>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stationery, freight, and gift card breakage.</w:t>
      </w:r>
    </w:p>
    <w:p>
      <w:pPr>
        <w:spacing w:after="0" w:line="27"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licensing agreements, freight, and merchandising.</w:t>
      </w:r>
    </w:p>
    <w:p>
      <w:pPr>
        <w:spacing w:after="0" w:line="22"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related to product sales recognized at a point in time.</w:t>
      </w:r>
    </w:p>
    <w:p>
      <w:pPr>
        <w:spacing w:after="0" w:line="22" w:lineRule="exact"/>
        <w:rPr>
          <w:rFonts w:ascii="Times New Roman" w:cs="Times New Roman" w:eastAsia="Times New Roman" w:hAnsi="Times New Roman"/>
          <w:sz w:val="18"/>
          <w:szCs w:val="18"/>
          <w:color w:val="auto"/>
        </w:rPr>
      </w:pPr>
    </w:p>
    <w:p>
      <w:pPr>
        <w:ind w:left="680" w:right="840" w:hanging="6"/>
        <w:spacing w:after="0" w:line="245" w:lineRule="auto"/>
        <w:tabs>
          <w:tab w:leader="none" w:pos="9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$29.9 million of net revenues related to product sales recognized at a point in time and $1.6 million of net revenues related to sales-based royalties recognized over time.</w:t>
      </w:r>
    </w:p>
    <w:p>
      <w:pPr>
        <w:spacing w:after="0" w:line="201"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9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November 2, 2024</w:t>
            </w:r>
          </w:p>
        </w:tc>
        <w:tc>
          <w:tcPr>
            <w:tcW w:w="3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180" w:type="dxa"/>
            <w:vAlign w:val="bottom"/>
          </w:tcPr>
          <w:p>
            <w:pPr>
              <w:spacing w:after="0"/>
              <w:rPr>
                <w:sz w:val="11"/>
                <w:szCs w:val="11"/>
                <w:color w:val="auto"/>
              </w:rPr>
            </w:pPr>
          </w:p>
        </w:tc>
        <w:tc>
          <w:tcPr>
            <w:tcW w:w="1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VB Direct Segment</w:t>
            </w:r>
            <w:r>
              <w:rPr>
                <w:rFonts w:ascii="Times New Roman" w:cs="Times New Roman" w:eastAsia="Times New Roman" w:hAnsi="Times New Roman"/>
                <w:sz w:val="18"/>
                <w:szCs w:val="18"/>
                <w:b w:val="1"/>
                <w:bCs w:val="1"/>
                <w:color w:val="auto"/>
                <w:w w:val="99"/>
                <w:vertAlign w:val="superscript"/>
              </w:rPr>
              <w:t>(3)</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center"/>
              <w:ind w:right="94"/>
              <w:spacing w:after="0" w:line="135" w:lineRule="exact"/>
              <w:rPr>
                <w:sz w:val="20"/>
                <w:szCs w:val="20"/>
                <w:color w:val="auto"/>
              </w:rPr>
            </w:pPr>
            <w:r>
              <w:rPr>
                <w:rFonts w:ascii="Times New Roman" w:cs="Times New Roman" w:eastAsia="Times New Roman" w:hAnsi="Times New Roman"/>
                <w:sz w:val="14"/>
                <w:szCs w:val="14"/>
                <w:b w:val="1"/>
                <w:bCs w:val="1"/>
                <w:color w:val="auto"/>
              </w:rPr>
              <w:t>VB Indirect</w:t>
            </w: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518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gridSpan w:val="2"/>
            <w:vMerge w:val="continue"/>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Segment</w:t>
            </w:r>
            <w:r>
              <w:rPr>
                <w:rFonts w:ascii="Times New Roman" w:cs="Times New Roman" w:eastAsia="Times New Roman" w:hAnsi="Times New Roman"/>
                <w:sz w:val="9"/>
                <w:szCs w:val="9"/>
                <w:b w:val="1"/>
                <w:bCs w:val="1"/>
                <w:color w:val="auto"/>
              </w:rPr>
              <w:t>(4)</w:t>
            </w:r>
          </w:p>
        </w:tc>
        <w:tc>
          <w:tcPr>
            <w:tcW w:w="3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Product categories</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Bags</w:t>
            </w: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79,290</w:t>
            </w:r>
          </w:p>
        </w:tc>
        <w:tc>
          <w:tcPr>
            <w:tcW w:w="3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29,912</w:t>
            </w:r>
          </w:p>
        </w:tc>
        <w:tc>
          <w:tcPr>
            <w:tcW w:w="3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109,202</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44,633</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10,663</w:t>
            </w: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55,296</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30,493</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5,869</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36,362</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15,795</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17,898</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Apparel/Footwear</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6,357</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7,408</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4,572</w:t>
            </w:r>
          </w:p>
        </w:tc>
        <w:tc>
          <w:tcPr>
            <w:tcW w:w="3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6,268</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181,140</w:t>
            </w:r>
          </w:p>
        </w:tc>
        <w:tc>
          <w:tcPr>
            <w:tcW w:w="3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51,294</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232,434</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920" w:hanging="246"/>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stationery, freight, and gift card breakage.</w:t>
      </w:r>
    </w:p>
    <w:p>
      <w:pPr>
        <w:spacing w:after="0" w:line="27"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licensing agreements and freight.</w:t>
      </w:r>
    </w:p>
    <w:p>
      <w:pPr>
        <w:spacing w:after="0" w:line="22"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related to product sales recognized at a point in time.</w:t>
      </w:r>
    </w:p>
    <w:p>
      <w:pPr>
        <w:spacing w:after="0" w:line="22" w:lineRule="exact"/>
        <w:rPr>
          <w:rFonts w:ascii="Times New Roman" w:cs="Times New Roman" w:eastAsia="Times New Roman" w:hAnsi="Times New Roman"/>
          <w:sz w:val="18"/>
          <w:szCs w:val="18"/>
          <w:color w:val="auto"/>
        </w:rPr>
      </w:pPr>
    </w:p>
    <w:p>
      <w:pPr>
        <w:ind w:left="680" w:right="840" w:hanging="6"/>
        <w:spacing w:after="0" w:line="234" w:lineRule="auto"/>
        <w:tabs>
          <w:tab w:leader="none" w:pos="9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$49.9 million of net revenues related to product sales recognized at a point in time and $1.4 million of net revenues related to sales-based royalties recognized over time.</w:t>
      </w:r>
    </w:p>
    <w:p>
      <w:pPr>
        <w:spacing w:after="0" w:line="200" w:lineRule="exact"/>
        <w:rPr>
          <w:sz w:val="20"/>
          <w:szCs w:val="20"/>
          <w:color w:val="auto"/>
        </w:rPr>
      </w:pP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08"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Contract liabilities as of November 1, 2025 and February 1, 2025, were $1.8 million and $1.7 million, respectively. The balance as of November 1, 2025 and February 1, 2025 consisted primarily of unredeemed gift cards. These contract liabilities are recognized within other accrued liabilities on the Company’s Condensed Consolidated Balance Sheets. Substantially all contract liabilities are recognized within one year. The Company did not have contract assets as of November 1, 2025 and February 1, 2025.</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left="660" w:right="140"/>
        <w:spacing w:after="0" w:line="261" w:lineRule="auto"/>
        <w:rPr>
          <w:sz w:val="20"/>
          <w:szCs w:val="20"/>
          <w:color w:val="auto"/>
        </w:rPr>
      </w:pPr>
      <w:r>
        <w:rPr>
          <w:rFonts w:ascii="Times New Roman" w:cs="Times New Roman" w:eastAsia="Times New Roman" w:hAnsi="Times New Roman"/>
          <w:sz w:val="18"/>
          <w:szCs w:val="18"/>
          <w:color w:val="auto"/>
        </w:rPr>
        <w:t>The balance for accounts receivable from contracts with customers, net of allowances, as of November 1, 2025 and February 1, 2025, was $18.2 million and $13.3 million, respectively, which is recognized within accounts receivable, net, on the Company’s Condensed Consolidated Balance Sheets. The provision for doubtful accounts was $0.5 million and $0.8 million as of November 1, 2025 and February 1, 2025, respectively. The provision for doubtful accounts is based upon the likelihood of default expected during the life of the receivable.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Performance Obligations</w:t>
      </w:r>
    </w:p>
    <w:p>
      <w:pPr>
        <w:spacing w:after="0" w:line="94"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performance obligations for the VB Direct and VB Indirect segments include the promise to transfer distinct goods (or a bundle of distinct goods). The VB Indirect segment also includes the right to access intellectual property (“IP”) related to the Vera Bradley brand.</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108"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Company does not have remaining performance obligations in excess of one year or contracts that it does not have the right to invoice as of November 1, 2025.</w:t>
      </w:r>
    </w:p>
    <w:p>
      <w:pPr>
        <w:spacing w:after="0" w:line="185"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52"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Discount Rate</w:t>
      </w:r>
    </w:p>
    <w:p>
      <w:pPr>
        <w:spacing w:after="0" w:line="94" w:lineRule="exact"/>
        <w:rPr>
          <w:rFonts w:ascii="Times New Roman" w:cs="Times New Roman" w:eastAsia="Times New Roman" w:hAnsi="Times New Roman"/>
          <w:sz w:val="18"/>
          <w:szCs w:val="18"/>
          <w:b w:val="1"/>
          <w:bCs w:val="1"/>
          <w:color w:val="auto"/>
        </w:rPr>
      </w:pPr>
    </w:p>
    <w:p>
      <w:pPr>
        <w:ind w:left="660" w:right="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weighted-average discount rate as of November 1, 2025, and November 2, 2024 was 5.1% and 5.0%, respectively. The discount rate is not readily determinable in the lease; therefore, the Company estimated the incremental borrowing rate, at the commencement date of each lease, which is the rate of interest it would have to borrow on a collateralized basis over a similar term with similar payments.</w:t>
      </w:r>
    </w:p>
    <w:p>
      <w:pPr>
        <w:spacing w:after="0" w:line="198"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 Not Yet Commenced</w:t>
      </w:r>
    </w:p>
    <w:p>
      <w:pPr>
        <w:spacing w:after="0" w:line="10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November 1, 2025, there were no executed leases in which the Company did not have control of the underlying asset.</w:t>
      </w:r>
    </w:p>
    <w:p>
      <w:pPr>
        <w:spacing w:after="0" w:line="9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Amounts Recognized in the Condensed Consolidated Financial Statements</w:t>
      </w:r>
    </w:p>
    <w:p>
      <w:pPr>
        <w:spacing w:after="0" w:line="94"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lease expense is recorded within cost of sales for the Asia sourcing office and certain equipment leases and within selling, general,</w:t>
      </w:r>
    </w:p>
    <w:p>
      <w:pPr>
        <w:spacing w:after="0" w:line="27" w:lineRule="exact"/>
        <w:rPr>
          <w:sz w:val="20"/>
          <w:szCs w:val="20"/>
          <w:color w:val="auto"/>
        </w:rPr>
      </w:pPr>
    </w:p>
    <w:p>
      <w:pPr>
        <w:ind w:left="660" w:right="160"/>
        <w:spacing w:after="0" w:line="259" w:lineRule="auto"/>
        <w:rPr>
          <w:sz w:val="20"/>
          <w:szCs w:val="20"/>
          <w:color w:val="auto"/>
        </w:rPr>
      </w:pPr>
      <w:r>
        <w:rPr>
          <w:rFonts w:ascii="Times New Roman" w:cs="Times New Roman" w:eastAsia="Times New Roman" w:hAnsi="Times New Roman"/>
          <w:sz w:val="18"/>
          <w:szCs w:val="18"/>
          <w:color w:val="auto"/>
        </w:rPr>
        <w:t>and administrative expenses for all other leases, including retail store leases, in the Company's Condensed Consolidated Statement of Operations for the thirty-nine weeks ended November 1, 2025 and November 2, 2024 (in thousands):</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80" w:type="dxa"/>
            <w:vAlign w:val="bottom"/>
            <w:gridSpan w:val="5"/>
          </w:tcPr>
          <w:p>
            <w:pPr>
              <w:ind w:left="9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20" w:type="dxa"/>
            <w:vAlign w:val="bottom"/>
          </w:tcPr>
          <w:p>
            <w:pPr>
              <w:spacing w:after="0"/>
              <w:rPr>
                <w:sz w:val="16"/>
                <w:szCs w:val="16"/>
                <w:color w:val="auto"/>
              </w:rPr>
            </w:pPr>
          </w:p>
        </w:tc>
        <w:tc>
          <w:tcPr>
            <w:tcW w:w="3480" w:type="dxa"/>
            <w:vAlign w:val="bottom"/>
            <w:gridSpan w:val="4"/>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23"/>
        </w:trPr>
        <w:tc>
          <w:tcPr>
            <w:tcW w:w="2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90"/>
        </w:trPr>
        <w:tc>
          <w:tcPr>
            <w:tcW w:w="21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November 1, 2025</w:t>
            </w:r>
          </w:p>
        </w:tc>
        <w:tc>
          <w:tcPr>
            <w:tcW w:w="22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November 2, 2024</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November 1, 2025</w:t>
            </w:r>
          </w:p>
        </w:tc>
        <w:tc>
          <w:tcPr>
            <w:tcW w:w="22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November 2, 2024</w:t>
            </w:r>
          </w:p>
        </w:tc>
      </w:tr>
      <w:tr>
        <w:trPr>
          <w:trHeight w:val="229"/>
        </w:trPr>
        <w:tc>
          <w:tcPr>
            <w:tcW w:w="2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19,029</w:t>
            </w:r>
          </w:p>
        </w:tc>
      </w:tr>
      <w:tr>
        <w:trPr>
          <w:trHeight w:val="230"/>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3,179</w:t>
            </w:r>
          </w:p>
        </w:tc>
      </w:tr>
      <w:tr>
        <w:trPr>
          <w:trHeight w:val="23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29"/>
        </w:trPr>
        <w:tc>
          <w:tcPr>
            <w:tcW w:w="21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Sublease income </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30"/>
        </w:trPr>
        <w:tc>
          <w:tcPr>
            <w:tcW w:w="2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lease cost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22,371</w:t>
            </w:r>
          </w:p>
        </w:tc>
      </w:tr>
    </w:tbl>
    <w:p>
      <w:pPr>
        <w:ind w:left="680"/>
        <w:spacing w:after="0"/>
        <w:rPr>
          <w:sz w:val="20"/>
          <w:szCs w:val="20"/>
          <w:color w:val="auto"/>
        </w:rPr>
      </w:pPr>
      <w:r>
        <w:rPr>
          <w:rFonts w:ascii="Times New Roman" w:cs="Times New Roman" w:eastAsia="Times New Roman" w:hAnsi="Times New Roman"/>
          <w:sz w:val="18"/>
          <w:szCs w:val="18"/>
          <w:color w:val="auto"/>
        </w:rPr>
        <w:t>(1) Related to the sublease of a former Company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1779270</wp:posOffset>
            </wp:positionH>
            <wp:positionV relativeFrom="paragraph">
              <wp:posOffset>-121920</wp:posOffset>
            </wp:positionV>
            <wp:extent cx="47663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766310" cy="8255"/>
                    </a:xfrm>
                    <a:prstGeom prst="rect">
                      <a:avLst/>
                    </a:prstGeom>
                    <a:noFill/>
                  </pic:spPr>
                </pic:pic>
              </a:graphicData>
            </a:graphic>
          </wp:anchor>
        </w:drawing>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weighted-average remaining lease term as of November 1, 2025 and November 2, 2024 was 4.2 years and 4.8 years,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operating cash flow information was as follows (in thousands):</w:t>
      </w:r>
    </w:p>
    <w:p>
      <w:pPr>
        <w:spacing w:after="0" w:line="43"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20" w:type="dxa"/>
            <w:vAlign w:val="bottom"/>
            <w:gridSpan w:val="4"/>
          </w:tcPr>
          <w:p>
            <w:pPr>
              <w:jc w:val="right"/>
              <w:ind w:right="996"/>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23"/>
        </w:trPr>
        <w:tc>
          <w:tcPr>
            <w:tcW w:w="6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90"/>
        </w:trPr>
        <w:tc>
          <w:tcPr>
            <w:tcW w:w="6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November 1, 2025</w:t>
            </w:r>
          </w:p>
        </w:tc>
        <w:tc>
          <w:tcPr>
            <w:tcW w:w="240" w:type="dxa"/>
            <w:vAlign w:val="bottom"/>
          </w:tcPr>
          <w:p>
            <w:pPr>
              <w:spacing w:after="0"/>
              <w:rPr>
                <w:sz w:val="16"/>
                <w:szCs w:val="16"/>
                <w:color w:val="auto"/>
              </w:rPr>
            </w:pPr>
          </w:p>
        </w:tc>
        <w:tc>
          <w:tcPr>
            <w:tcW w:w="160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November 2, 2024</w:t>
            </w:r>
          </w:p>
        </w:tc>
      </w:tr>
      <w:tr>
        <w:trPr>
          <w:trHeight w:val="229"/>
        </w:trPr>
        <w:tc>
          <w:tcPr>
            <w:tcW w:w="6120" w:type="dxa"/>
            <w:vAlign w:val="bottom"/>
            <w:tcBorders>
              <w:top w:val="single" w:sz="8" w:color="CCEEFF"/>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r>
              <w:rPr>
                <w:rFonts w:ascii="Times New Roman" w:cs="Times New Roman" w:eastAsia="Times New Roman" w:hAnsi="Times New Roman"/>
                <w:sz w:val="23"/>
                <w:szCs w:val="23"/>
                <w:color w:val="auto"/>
                <w:vertAlign w:val="superscript"/>
              </w:rPr>
              <w:t>(1)</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20,988</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21,769</w:t>
            </w:r>
          </w:p>
        </w:tc>
      </w:tr>
      <w:tr>
        <w:trPr>
          <w:trHeight w:val="176"/>
        </w:trPr>
        <w:tc>
          <w:tcPr>
            <w:tcW w:w="61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Right-of-use assets increase as a result of new and modified operating lease</w:t>
            </w:r>
          </w:p>
        </w:tc>
        <w:tc>
          <w:tcPr>
            <w:tcW w:w="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43"/>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net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8,565</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30,866</w:t>
            </w:r>
          </w:p>
        </w:tc>
      </w:tr>
    </w:tbl>
    <w:p>
      <w:pPr>
        <w:spacing w:after="0" w:line="49" w:lineRule="exact"/>
        <w:rPr>
          <w:sz w:val="20"/>
          <w:szCs w:val="20"/>
          <w:color w:val="auto"/>
        </w:rPr>
      </w:pPr>
    </w:p>
    <w:p>
      <w:pPr>
        <w:ind w:left="680" w:right="760" w:hanging="6"/>
        <w:spacing w:after="0" w:line="231" w:lineRule="auto"/>
        <w:tabs>
          <w:tab w:leader="none" w:pos="93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million and $2.4 million of lease liabilities were recorded within accounts payable on the Company's Consolidated Balance Sheets as of November 1, 2025 and November 2, 2024, and were subsequently paid in the month following the end of each respective period.</w:t>
      </w:r>
    </w:p>
    <w:p>
      <w:pPr>
        <w:spacing w:after="0" w:line="31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94" w:lineRule="exact"/>
        <w:rPr>
          <w:rFonts w:ascii="Times New Roman" w:cs="Times New Roman" w:eastAsia="Times New Roman" w:hAnsi="Times New Roman"/>
          <w:sz w:val="18"/>
          <w:szCs w:val="18"/>
          <w:b w:val="1"/>
          <w:bCs w:val="1"/>
          <w:color w:val="auto"/>
        </w:rPr>
      </w:pPr>
    </w:p>
    <w:p>
      <w:pPr>
        <w:ind w:left="66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Basic earnings per share is computed based on the weighted-average number of common shares outstanding during the period. Diluted earnings per share is computed based on the weighted-average number of common shares outstanding, plus the effect of dilutive potential common shares outstanding during the period using the treasury stock method. Dilutive potential common shares represent outstanding restricted stock units.</w:t>
      </w:r>
    </w:p>
    <w:p>
      <w:pPr>
        <w:spacing w:after="0" w:line="3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basic and diluted earnings per share were as follows (in thousands, except per share data):</w:t>
      </w:r>
    </w:p>
    <w:p>
      <w:pPr>
        <w:spacing w:after="0" w:line="138" w:lineRule="exact"/>
        <w:rPr>
          <w:sz w:val="20"/>
          <w:szCs w:val="20"/>
          <w:color w:val="auto"/>
        </w:rPr>
      </w:pPr>
    </w:p>
    <w:tbl>
      <w:tblPr>
        <w:tblLayout w:type="fixed"/>
        <w:tblInd w:w="70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60" w:type="dxa"/>
            <w:vAlign w:val="bottom"/>
          </w:tcPr>
          <w:p>
            <w:pPr>
              <w:spacing w:after="0"/>
              <w:rPr>
                <w:sz w:val="16"/>
                <w:szCs w:val="16"/>
                <w:color w:val="auto"/>
              </w:rPr>
            </w:pPr>
          </w:p>
        </w:tc>
        <w:tc>
          <w:tcPr>
            <w:tcW w:w="2220" w:type="dxa"/>
            <w:vAlign w:val="bottom"/>
            <w:gridSpan w:val="4"/>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23"/>
        </w:trPr>
        <w:tc>
          <w:tcPr>
            <w:tcW w:w="4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28"/>
        </w:trPr>
        <w:tc>
          <w:tcPr>
            <w:tcW w:w="49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November 1,</w:t>
            </w: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93"/>
              <w:spacing w:after="0" w:line="129" w:lineRule="exact"/>
              <w:rPr>
                <w:sz w:val="20"/>
                <w:szCs w:val="20"/>
                <w:color w:val="auto"/>
              </w:rPr>
            </w:pPr>
            <w:r>
              <w:rPr>
                <w:rFonts w:ascii="Times New Roman" w:cs="Times New Roman" w:eastAsia="Times New Roman" w:hAnsi="Times New Roman"/>
                <w:sz w:val="14"/>
                <w:szCs w:val="14"/>
                <w:b w:val="1"/>
                <w:bCs w:val="1"/>
                <w:color w:val="auto"/>
              </w:rPr>
              <w:t>November 2,</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November 1,</w:t>
            </w: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93"/>
              <w:spacing w:after="0" w:line="129" w:lineRule="exact"/>
              <w:rPr>
                <w:sz w:val="20"/>
                <w:szCs w:val="20"/>
                <w:color w:val="auto"/>
              </w:rPr>
            </w:pPr>
            <w:r>
              <w:rPr>
                <w:rFonts w:ascii="Times New Roman" w:cs="Times New Roman" w:eastAsia="Times New Roman" w:hAnsi="Times New Roman"/>
                <w:sz w:val="14"/>
                <w:szCs w:val="14"/>
                <w:b w:val="1"/>
                <w:bCs w:val="1"/>
                <w:color w:val="auto"/>
              </w:rPr>
              <w:t>November 2,</w:t>
            </w:r>
          </w:p>
        </w:tc>
      </w:tr>
      <w:tr>
        <w:trPr>
          <w:trHeight w:val="196"/>
        </w:trPr>
        <w:tc>
          <w:tcPr>
            <w:tcW w:w="49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(13,409)</w:t>
            </w: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income tax</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w:t>
            </w:r>
          </w:p>
        </w:tc>
      </w:tr>
      <w:tr>
        <w:trPr>
          <w:trHeight w:val="196"/>
        </w:trPr>
        <w:tc>
          <w:tcPr>
            <w:tcW w:w="49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(12,365)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(12,800)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(50,497)</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(15,215)</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7"/>
        </w:trPr>
        <w:tc>
          <w:tcPr>
            <w:tcW w:w="4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Denominator:</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(basic)</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29,339</w:t>
            </w: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stock-based awards</w:t>
            </w: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(diluted)</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29,339</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Basic net loss per share:</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Continuing operations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r>
      <w:tr>
        <w:trPr>
          <w:trHeight w:val="230"/>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Discontinued operations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230"/>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 net loss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Diluted net loss per share:</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Continuing operations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r>
      <w:tr>
        <w:trPr>
          <w:trHeight w:val="229"/>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Discontinued operations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234"/>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 net loss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r>
    </w:tbl>
    <w:p>
      <w:pPr>
        <w:spacing w:after="0" w:line="314" w:lineRule="exact"/>
        <w:rPr>
          <w:sz w:val="20"/>
          <w:szCs w:val="20"/>
          <w:color w:val="auto"/>
        </w:rPr>
      </w:pPr>
    </w:p>
    <w:p>
      <w:pPr>
        <w:ind w:left="660" w:right="300"/>
        <w:spacing w:after="0" w:line="282" w:lineRule="auto"/>
        <w:rPr>
          <w:sz w:val="20"/>
          <w:szCs w:val="20"/>
          <w:color w:val="auto"/>
        </w:rPr>
      </w:pPr>
      <w:r>
        <w:rPr>
          <w:rFonts w:ascii="Times New Roman" w:cs="Times New Roman" w:eastAsia="Times New Roman" w:hAnsi="Times New Roman"/>
          <w:sz w:val="18"/>
          <w:szCs w:val="18"/>
          <w:color w:val="auto"/>
        </w:rPr>
        <w:t>For the thirteen and thirty-nine weeks ended November 1, 2025 and November 2, 2024, all potential common shares were excluded from the diluted share calculation because they were anti-dilutive due to the net loss in the period.</w:t>
      </w:r>
    </w:p>
    <w:p>
      <w:pPr>
        <w:spacing w:after="0" w:line="200" w:lineRule="exact"/>
        <w:rPr>
          <w:sz w:val="20"/>
          <w:szCs w:val="20"/>
          <w:color w:val="auto"/>
        </w:rPr>
      </w:pPr>
    </w:p>
    <w:p>
      <w:pPr>
        <w:spacing w:after="0" w:line="34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7" w:right="4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107" w:lineRule="exact"/>
        <w:rPr>
          <w:rFonts w:ascii="Times New Roman" w:cs="Times New Roman" w:eastAsia="Times New Roman" w:hAnsi="Times New Roman"/>
          <w:sz w:val="18"/>
          <w:szCs w:val="18"/>
          <w:b w:val="1"/>
          <w:bCs w:val="1"/>
          <w:color w:val="auto"/>
        </w:rPr>
      </w:pPr>
    </w:p>
    <w:p>
      <w:pPr>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40"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the quoted prices in active markets, that are observable either directly or indirectly;</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based on the Company’s own assumptions.</w:t>
      </w:r>
    </w:p>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classification of fair value measurements within the hierarchy is based upon the lowest level of input that is significant to the measurement.</w:t>
      </w:r>
    </w:p>
    <w:p>
      <w:pPr>
        <w:spacing w:after="0" w:line="104" w:lineRule="exact"/>
        <w:rPr>
          <w:sz w:val="20"/>
          <w:szCs w:val="20"/>
          <w:color w:val="auto"/>
        </w:rPr>
      </w:pPr>
    </w:p>
    <w:p>
      <w:pPr>
        <w:ind w:left="660" w:right="160"/>
        <w:spacing w:after="0" w:line="282" w:lineRule="auto"/>
        <w:rPr>
          <w:sz w:val="20"/>
          <w:szCs w:val="20"/>
          <w:color w:val="auto"/>
        </w:rPr>
      </w:pPr>
      <w:r>
        <w:rPr>
          <w:rFonts w:ascii="Times New Roman" w:cs="Times New Roman" w:eastAsia="Times New Roman" w:hAnsi="Times New Roman"/>
          <w:sz w:val="18"/>
          <w:szCs w:val="18"/>
          <w:color w:val="auto"/>
        </w:rPr>
        <w:t>The carrying amounts reflected on the Condensed Consolidated Balance Sheets for cash and cash equivalents, accounts receivable, other current assets, and accounts payable as of November 1, 2025 and February 1, 2025, approximated their fair values.</w:t>
      </w:r>
    </w:p>
    <w:p>
      <w:pPr>
        <w:spacing w:after="0" w:line="40" w:lineRule="exact"/>
        <w:rPr>
          <w:sz w:val="20"/>
          <w:szCs w:val="20"/>
          <w:color w:val="auto"/>
        </w:rPr>
      </w:pPr>
    </w:p>
    <w:p>
      <w:pPr>
        <w:ind w:left="660" w:right="740"/>
        <w:spacing w:after="0" w:line="270" w:lineRule="auto"/>
        <w:rPr>
          <w:sz w:val="20"/>
          <w:szCs w:val="20"/>
          <w:color w:val="auto"/>
        </w:rPr>
      </w:pPr>
      <w:r>
        <w:rPr>
          <w:rFonts w:ascii="Times New Roman" w:cs="Times New Roman" w:eastAsia="Times New Roman" w:hAnsi="Times New Roman"/>
          <w:sz w:val="18"/>
          <w:szCs w:val="18"/>
          <w:color w:val="auto"/>
        </w:rPr>
        <w:t>The following table details the fair value measurements of the Company's instruments as of November 1, 2025 and February 1, 2025 (in thousands):</w:t>
      </w:r>
    </w:p>
    <w:tbl>
      <w:tblPr>
        <w:tblLayout w:type="fixed"/>
        <w:tblInd w:w="660" w:type="dxa"/>
        <w:tblCellMar>
          <w:top w:w="0" w:type="dxa"/>
          <w:left w:w="0" w:type="dxa"/>
          <w:bottom w:w="0" w:type="dxa"/>
          <w:right w:w="0" w:type="dxa"/>
        </w:tblCellMar>
      </w:tblPr>
      <w:tr>
        <w:trPr>
          <w:trHeight w:val="190"/>
        </w:trPr>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2260" w:type="dxa"/>
            <w:vAlign w:val="bottom"/>
            <w:gridSpan w:val="6"/>
          </w:tcPr>
          <w:p>
            <w:pPr>
              <w:ind w:left="7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40" w:type="dxa"/>
            <w:vAlign w:val="bottom"/>
            <w:gridSpan w:val="4"/>
          </w:tcPr>
          <w:p>
            <w:pPr>
              <w:ind w:left="74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
        </w:trPr>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gridSpan w:val="3"/>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3"/>
          </w:tcPr>
          <w:p>
            <w:pPr>
              <w:spacing w:after="0"/>
              <w:rPr>
                <w:sz w:val="2"/>
                <w:szCs w:val="2"/>
                <w:color w:val="auto"/>
              </w:rPr>
            </w:pPr>
          </w:p>
        </w:tc>
        <w:tc>
          <w:tcPr>
            <w:tcW w:w="1120" w:type="dxa"/>
            <w:vAlign w:val="bottom"/>
            <w:gridSpan w:val="3"/>
          </w:tcPr>
          <w:p>
            <w:pPr>
              <w:spacing w:after="0"/>
              <w:rPr>
                <w:sz w:val="2"/>
                <w:szCs w:val="2"/>
                <w:color w:val="auto"/>
              </w:rPr>
            </w:pPr>
          </w:p>
        </w:tc>
        <w:tc>
          <w:tcPr>
            <w:tcW w:w="1160" w:type="dxa"/>
            <w:vAlign w:val="bottom"/>
            <w:gridSpan w:val="3"/>
          </w:tcPr>
          <w:p>
            <w:pPr>
              <w:spacing w:after="0"/>
              <w:rPr>
                <w:sz w:val="2"/>
                <w:szCs w:val="2"/>
                <w:color w:val="auto"/>
              </w:rPr>
            </w:pPr>
          </w:p>
        </w:tc>
        <w:tc>
          <w:tcPr>
            <w:tcW w:w="880" w:type="dxa"/>
            <w:vAlign w:val="bottom"/>
          </w:tcPr>
          <w:p>
            <w:pPr>
              <w:spacing w:after="0"/>
              <w:rPr>
                <w:sz w:val="2"/>
                <w:szCs w:val="2"/>
                <w:color w:val="auto"/>
              </w:rPr>
            </w:pPr>
          </w:p>
        </w:tc>
      </w:tr>
      <w:tr>
        <w:trPr>
          <w:trHeight w:val="128"/>
        </w:trPr>
        <w:tc>
          <w:tcPr>
            <w:tcW w:w="30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3"/>
          </w:tcPr>
          <w:p>
            <w:pPr>
              <w:jc w:val="center"/>
              <w:ind w:right="250"/>
              <w:spacing w:after="0" w:line="129" w:lineRule="exact"/>
              <w:rPr>
                <w:sz w:val="20"/>
                <w:szCs w:val="20"/>
                <w:color w:val="auto"/>
              </w:rPr>
            </w:pPr>
            <w:r>
              <w:rPr>
                <w:rFonts w:ascii="Times New Roman" w:cs="Times New Roman" w:eastAsia="Times New Roman" w:hAnsi="Times New Roman"/>
                <w:sz w:val="14"/>
                <w:szCs w:val="14"/>
                <w:b w:val="1"/>
                <w:bCs w:val="1"/>
                <w:color w:val="auto"/>
              </w:rPr>
              <w:t>November 1,</w:t>
            </w:r>
          </w:p>
        </w:tc>
        <w:tc>
          <w:tcPr>
            <w:tcW w:w="900" w:type="dxa"/>
            <w:vAlign w:val="bottom"/>
            <w:tcBorders>
              <w:top w:val="single" w:sz="8" w:color="auto"/>
            </w:tcBorders>
          </w:tcPr>
          <w:p>
            <w:pPr>
              <w:jc w:val="right"/>
              <w:ind w:right="79"/>
              <w:spacing w:after="0" w:line="129" w:lineRule="exact"/>
              <w:rPr>
                <w:sz w:val="20"/>
                <w:szCs w:val="20"/>
                <w:color w:val="auto"/>
              </w:rPr>
            </w:pPr>
            <w:r>
              <w:rPr>
                <w:rFonts w:ascii="Times New Roman" w:cs="Times New Roman" w:eastAsia="Times New Roman" w:hAnsi="Times New Roman"/>
                <w:sz w:val="14"/>
                <w:szCs w:val="14"/>
                <w:b w:val="1"/>
                <w:bCs w:val="1"/>
                <w:color w:val="auto"/>
              </w:rPr>
              <w:t>February 1,</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3"/>
          </w:tcPr>
          <w:p>
            <w:pPr>
              <w:jc w:val="center"/>
              <w:ind w:right="270"/>
              <w:spacing w:after="0" w:line="129" w:lineRule="exact"/>
              <w:rPr>
                <w:sz w:val="20"/>
                <w:szCs w:val="20"/>
                <w:color w:val="auto"/>
              </w:rPr>
            </w:pPr>
            <w:r>
              <w:rPr>
                <w:rFonts w:ascii="Times New Roman" w:cs="Times New Roman" w:eastAsia="Times New Roman" w:hAnsi="Times New Roman"/>
                <w:sz w:val="14"/>
                <w:szCs w:val="14"/>
                <w:b w:val="1"/>
                <w:bCs w:val="1"/>
                <w:color w:val="auto"/>
              </w:rPr>
              <w:t>November 1,</w:t>
            </w:r>
          </w:p>
        </w:tc>
        <w:tc>
          <w:tcPr>
            <w:tcW w:w="900" w:type="dxa"/>
            <w:vAlign w:val="bottom"/>
            <w:tcBorders>
              <w:top w:val="single" w:sz="8" w:color="auto"/>
            </w:tcBorders>
          </w:tcPr>
          <w:p>
            <w:pPr>
              <w:jc w:val="center"/>
              <w:ind w:right="39"/>
              <w:spacing w:after="0" w:line="129" w:lineRule="exact"/>
              <w:rPr>
                <w:sz w:val="20"/>
                <w:szCs w:val="20"/>
                <w:color w:val="auto"/>
              </w:rPr>
            </w:pPr>
            <w:r>
              <w:rPr>
                <w:rFonts w:ascii="Times New Roman" w:cs="Times New Roman" w:eastAsia="Times New Roman" w:hAnsi="Times New Roman"/>
                <w:sz w:val="14"/>
                <w:szCs w:val="14"/>
                <w:b w:val="1"/>
                <w:bCs w:val="1"/>
                <w:color w:val="auto"/>
              </w:rPr>
              <w:t>February 1,</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3"/>
          </w:tcPr>
          <w:p>
            <w:pPr>
              <w:jc w:val="right"/>
              <w:ind w:right="270"/>
              <w:spacing w:after="0" w:line="129" w:lineRule="exact"/>
              <w:rPr>
                <w:sz w:val="20"/>
                <w:szCs w:val="20"/>
                <w:color w:val="auto"/>
              </w:rPr>
            </w:pPr>
            <w:r>
              <w:rPr>
                <w:rFonts w:ascii="Times New Roman" w:cs="Times New Roman" w:eastAsia="Times New Roman" w:hAnsi="Times New Roman"/>
                <w:sz w:val="14"/>
                <w:szCs w:val="14"/>
                <w:b w:val="1"/>
                <w:bCs w:val="1"/>
                <w:color w:val="auto"/>
              </w:rPr>
              <w:t>November 1,</w:t>
            </w:r>
          </w:p>
        </w:tc>
        <w:tc>
          <w:tcPr>
            <w:tcW w:w="880" w:type="dxa"/>
            <w:vAlign w:val="bottom"/>
            <w:tcBorders>
              <w:top w:val="single" w:sz="8" w:color="auto"/>
            </w:tcBorders>
          </w:tcPr>
          <w:p>
            <w:pPr>
              <w:jc w:val="center"/>
              <w:ind w:right="39"/>
              <w:spacing w:after="0" w:line="129" w:lineRule="exact"/>
              <w:rPr>
                <w:sz w:val="20"/>
                <w:szCs w:val="20"/>
                <w:color w:val="auto"/>
              </w:rPr>
            </w:pPr>
            <w:r>
              <w:rPr>
                <w:rFonts w:ascii="Times New Roman" w:cs="Times New Roman" w:eastAsia="Times New Roman" w:hAnsi="Times New Roman"/>
                <w:sz w:val="14"/>
                <w:szCs w:val="14"/>
                <w:b w:val="1"/>
                <w:bCs w:val="1"/>
                <w:color w:val="auto"/>
              </w:rPr>
              <w:t>February 1,</w:t>
            </w:r>
          </w:p>
        </w:tc>
      </w:tr>
      <w:tr>
        <w:trPr>
          <w:trHeight w:val="196"/>
        </w:trPr>
        <w:tc>
          <w:tcPr>
            <w:tcW w:w="30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308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Cash equivalents</w:t>
            </w:r>
            <w:r>
              <w:rPr>
                <w:rFonts w:ascii="Times New Roman" w:cs="Times New Roman" w:eastAsia="Times New Roman" w:hAnsi="Times New Roman"/>
                <w:sz w:val="23"/>
                <w:szCs w:val="23"/>
                <w:color w:val="auto"/>
                <w:vertAlign w:val="superscript"/>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3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Contingent consideration related to sale</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06"/>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business</w:t>
            </w:r>
            <w:r>
              <w:rPr>
                <w:rFonts w:ascii="Times New Roman" w:cs="Times New Roman" w:eastAsia="Times New Roman" w:hAnsi="Times New Roman"/>
                <w:sz w:val="23"/>
                <w:szCs w:val="23"/>
                <w:color w:val="auto"/>
                <w:vertAlign w:val="superscript"/>
              </w:rPr>
              <w:t>(2)</w:t>
            </w:r>
          </w:p>
        </w:tc>
        <w:tc>
          <w:tcPr>
            <w:tcW w:w="100" w:type="dxa"/>
            <w:vAlign w:val="bottom"/>
          </w:tcPr>
          <w:p>
            <w:pPr>
              <w:spacing w:after="0"/>
              <w:rPr>
                <w:sz w:val="24"/>
                <w:szCs w:val="24"/>
                <w:color w:val="auto"/>
              </w:rPr>
            </w:pPr>
          </w:p>
        </w:tc>
        <w:tc>
          <w:tcPr>
            <w:tcW w:w="11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14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2,552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r>
    </w:tbl>
    <w:p>
      <w:pPr>
        <w:ind w:left="680" w:right="940" w:hanging="6"/>
        <w:spacing w:after="0" w:line="229" w:lineRule="auto"/>
        <w:tabs>
          <w:tab w:leader="none" w:pos="9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equivalents primarily represent a money market fund that has a maturity of three months or less at the date of purchase. Due to the short maturity, the Company believes the carrying value approximates fair value.</w:t>
      </w:r>
    </w:p>
    <w:p>
      <w:pPr>
        <w:spacing w:after="0" w:line="9"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during the thirteen weeks ended May 3, 2025. Refer to Note 14 herein for additional information.</w:t>
      </w:r>
    </w:p>
    <w:p>
      <w:pPr>
        <w:spacing w:after="0" w:line="185" w:lineRule="exact"/>
        <w:rPr>
          <w:sz w:val="20"/>
          <w:szCs w:val="20"/>
          <w:color w:val="auto"/>
        </w:rPr>
      </w:pPr>
    </w:p>
    <w:p>
      <w:pPr>
        <w:ind w:left="660" w:right="80"/>
        <w:spacing w:after="0" w:line="255" w:lineRule="auto"/>
        <w:rPr>
          <w:sz w:val="20"/>
          <w:szCs w:val="20"/>
          <w:color w:val="auto"/>
        </w:rPr>
      </w:pPr>
      <w:r>
        <w:rPr>
          <w:rFonts w:ascii="Times New Roman" w:cs="Times New Roman" w:eastAsia="Times New Roman" w:hAnsi="Times New Roman"/>
          <w:sz w:val="18"/>
          <w:szCs w:val="18"/>
          <w:color w:val="auto"/>
        </w:rPr>
        <w:t>The Company assesses potential impairments to its long-lived assets, which includes property, plant, and equipment and lease right-of-use assets, on a quarterly basis or whenever events or circumstances indicate that the carrying amount of an asset may not be recoverable. Store-level assets and right-of-use assets are grouped at the individual store-level for the purpose of the impairment assessment. Recoverability of an asset group is measured by a comparison of the carrying amount of an asset group to its estimated undiscounted future cash flows expected to be generated by the asset group. If the carrying amount of the asset group exceeds its estimated undiscounted future cash flows, an impairment charge is recognized as the amount by which the carrying amount of the asset group exceeds the fair value of the asset group. The fair value of the store assets is determined using the discounted future cash flow method of anticipated cash flows through the store’s lease-end date using fair value measurement inputs classified as Level 3. The fair value of right-of-use assets is estimated using market comparative information for similar properties. Level 3 inputs are derived from valuation techniques in which one or more significant inputs or significant value drivers are unobservable. No impairment charges were recorded for the thirteen weeks ended November 1, 2025. For the thirty-nine weeks ended November 1, 2025, the Company recorded $1.0 million for store property, plant, and equipment charges. There were $2.1 million impairment charges recorded for the thirteen and thirty-nine weeks ended November 2, 2024 for store property, plant, and equipment. These charges are included in selling, general, and administrative ("SG&amp;A") expenses in the Consolidated Statements of Operations and in impairment charges in the Consolidated Statements of Cash Flows.</w:t>
      </w:r>
    </w:p>
    <w:p>
      <w:pPr>
        <w:spacing w:after="0" w:line="53" w:lineRule="exact"/>
        <w:rPr>
          <w:sz w:val="20"/>
          <w:szCs w:val="20"/>
          <w:color w:val="auto"/>
        </w:rPr>
      </w:pPr>
    </w:p>
    <w:p>
      <w:pPr>
        <w:ind w:left="660"/>
        <w:spacing w:after="0" w:line="256" w:lineRule="auto"/>
        <w:rPr>
          <w:sz w:val="20"/>
          <w:szCs w:val="20"/>
          <w:color w:val="auto"/>
        </w:rPr>
      </w:pPr>
      <w:r>
        <w:rPr>
          <w:rFonts w:ascii="Times New Roman" w:cs="Times New Roman" w:eastAsia="Times New Roman" w:hAnsi="Times New Roman"/>
          <w:sz w:val="18"/>
          <w:szCs w:val="18"/>
          <w:color w:val="auto"/>
        </w:rPr>
        <w:t>The discounted cash flow models used to estimate the applicable fair values involve numerous estimates and assumptions that are highly subjective. Changes to these estimates and assumptions could materially impact the fair value estimates. The estimates and assumptions critical to the overall fair value estimates include: (1) estimated future cash flow generated at the store level; (2) discount rates used to derive the present value factors used in determining the fair values; and (3) market rentals at the retail store. These and other estimates and assumptions are impacted by economic conditions and our expectations and may change in the future based on period-specific facts and circumstances. If economic conditions were to deteriorate, future impairment charges may be required which may be material.</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left="660" w:right="60"/>
        <w:spacing w:after="0" w:line="282" w:lineRule="auto"/>
        <w:rPr>
          <w:sz w:val="20"/>
          <w:szCs w:val="20"/>
          <w:color w:val="auto"/>
        </w:rPr>
      </w:pPr>
      <w:r>
        <w:rPr>
          <w:rFonts w:ascii="Times New Roman" w:cs="Times New Roman" w:eastAsia="Times New Roman" w:hAnsi="Times New Roman"/>
          <w:sz w:val="18"/>
          <w:szCs w:val="18"/>
          <w:color w:val="auto"/>
        </w:rPr>
        <w:t>On a nonrecurring basis, assets recognized or disclosed at fair value on the consolidated financial statements include items such as property, plant, and equipment, including leasehold improvements, and operating lease assets.</w:t>
      </w:r>
    </w:p>
    <w:p>
      <w:pPr>
        <w:spacing w:after="0" w:line="104"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31" w:lineRule="exact"/>
        <w:rPr>
          <w:rFonts w:ascii="Times New Roman" w:cs="Times New Roman" w:eastAsia="Times New Roman" w:hAnsi="Times New Roman"/>
          <w:sz w:val="18"/>
          <w:szCs w:val="18"/>
          <w:b w:val="1"/>
          <w:bCs w:val="1"/>
          <w:color w:val="auto"/>
        </w:rPr>
      </w:pPr>
    </w:p>
    <w:p>
      <w:pPr>
        <w:ind w:left="660" w:right="4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On September 7, 2018, Vera Bradley Designs, Inc. (“VBD”), a wholly-owned subsidiary of the Company, entered into an asset-based revolving Credit Agreement (the “Credit Agreement”) among VBD, JPMorgan Chase Bank, N.A., as administrative agent, and the lenders from time to time party thereto. On March 11, 2025, certain subsidiaries of the Company, JP Morgan Chase Bank, N.A., as the administrative agent, and lenders from time to time party thereto, entered into a Fourth Amendment (the “Fourth Amendment”) to the Credit Agreement dated September 7, 2018.</w:t>
      </w:r>
    </w:p>
    <w:p>
      <w:pPr>
        <w:spacing w:after="0" w:line="46" w:lineRule="exact"/>
        <w:rPr>
          <w:rFonts w:ascii="Times New Roman" w:cs="Times New Roman" w:eastAsia="Times New Roman" w:hAnsi="Times New Roman"/>
          <w:sz w:val="18"/>
          <w:szCs w:val="18"/>
          <w:b w:val="1"/>
          <w:bCs w:val="1"/>
          <w:color w:val="auto"/>
        </w:rPr>
      </w:pPr>
    </w:p>
    <w:p>
      <w:pPr>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Credit Agreement provides for certain credit facilities to VBD in an aggregate principal amount not to initially exceed the lesser of $75.0 million or the amount of borrowing availability determined in accordance with a borrowing base of certain assets. Any proceeds of the credit facilities will be used to finance general corporate purposes of VBD and its subsidiaries, including but not limited to Vera Bradley International, LLC, Vera Bradley Sales, LLC, and Creative Genius, LLC (collectively, the “Named Subsidiaries”). The Credit Agreement also contains an option for VBD to arrange with lenders to increase the aggregate principal amount by up to $50.0 million. The Fourth Amendment allowed for the sale of Creative Genius and irrevocably released Creative Genius from the loan documents upon completion of the sale.</w:t>
      </w:r>
    </w:p>
    <w:p>
      <w:pPr>
        <w:spacing w:after="0" w:line="52" w:lineRule="exact"/>
        <w:rPr>
          <w:rFonts w:ascii="Times New Roman" w:cs="Times New Roman" w:eastAsia="Times New Roman" w:hAnsi="Times New Roman"/>
          <w:sz w:val="18"/>
          <w:szCs w:val="18"/>
          <w:b w:val="1"/>
          <w:bCs w:val="1"/>
          <w:color w:val="auto"/>
        </w:rPr>
      </w:pPr>
    </w:p>
    <w:p>
      <w:pPr>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Amounts outstanding under the Credit Agreement bear interest at a per annum rate equal to (i) for CBFR borrowings (including swingline loans), the CB Floating Rate, where the CB Floating Rate is the greater of the prime rate or 2.5%, plus the Applicable Rate, where the Applicable Rate is a percentage spread ranging from -1.25% to -1.50%, (ii) for each Term Benchmark Borrowing, the Adjusted Term SOFR Rate, where the Adjusted Term SOFR Rate is the Term SOFR rate for such interest period plus 0.10% for the interest period in effect for such borrowing, plus the Applicable Rate, where the Applicable Rate is a percentage ranging from 1.25% to 1.50%, or (iii) for RFR Loans, the Adjusted Daily Simple SOFR Rate, where the adjusted Daily Simple SOFR Rate is equal to the Daily Simple SOFR plus 0.10%, plus the Applicable Rate, where the Applicable Rate is a percentage ranging from 1.25% to 1.50% The applicable CB Floating Rate, Adjusted Term SOFR Rate, Term SOFR Rate, Daily Simple SOFR, and Adjusted Daily Simple SOFR shall be determined by the administrative agent. The Credit Agreement also requires VBD to pay a commitment fee for the unused portion of the revolving facility of up to 0.30% per annum.</w:t>
      </w:r>
    </w:p>
    <w:p>
      <w:pPr>
        <w:spacing w:after="0" w:line="66" w:lineRule="exact"/>
        <w:rPr>
          <w:rFonts w:ascii="Times New Roman" w:cs="Times New Roman" w:eastAsia="Times New Roman" w:hAnsi="Times New Roman"/>
          <w:sz w:val="18"/>
          <w:szCs w:val="18"/>
          <w:b w:val="1"/>
          <w:bCs w:val="1"/>
          <w:color w:val="auto"/>
        </w:rPr>
      </w:pPr>
    </w:p>
    <w:p>
      <w:pPr>
        <w:ind w:left="660" w:right="2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VBD’s obligations under the Credit Agreement are guaranteed by the Company and the Named Subsidiaries. The obligations of VBD under the Credit Agreement are secured by substantially all of the respective assets of VBD, the Company, and the Named Subsidiaries and are further secured by the equity interests in VBD and the Named Subsidiaries.</w:t>
      </w:r>
    </w:p>
    <w:p>
      <w:pPr>
        <w:spacing w:after="0" w:line="54" w:lineRule="exact"/>
        <w:rPr>
          <w:rFonts w:ascii="Times New Roman" w:cs="Times New Roman" w:eastAsia="Times New Roman" w:hAnsi="Times New Roman"/>
          <w:sz w:val="18"/>
          <w:szCs w:val="18"/>
          <w:b w:val="1"/>
          <w:bCs w:val="1"/>
          <w:color w:val="auto"/>
        </w:rPr>
      </w:pPr>
    </w:p>
    <w:p>
      <w:pPr>
        <w:ind w:left="660" w:right="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Credit Agreement contains various affirmative and negative covenants, including restrictions on the Company's ability to incur debt or liens; engage in mergers or consolidations; make certain investments, acquisitions, loans, and advances; sell assets; enter into certain swap agreements; pay dividends or make distributions or make other restricted payments; engage in certain transactions with affiliates; and amend, modify, or waive any of its rights related to subordinated indebtedness and certain charter and other organizational, governing, and material agreements. The Company may avoid certain of such restrictions by meeting payment conditions defined in the Credit Agreement.</w:t>
      </w:r>
    </w:p>
    <w:p>
      <w:pPr>
        <w:spacing w:after="0" w:line="48" w:lineRule="exact"/>
        <w:rPr>
          <w:rFonts w:ascii="Times New Roman" w:cs="Times New Roman" w:eastAsia="Times New Roman" w:hAnsi="Times New Roman"/>
          <w:sz w:val="18"/>
          <w:szCs w:val="18"/>
          <w:b w:val="1"/>
          <w:bCs w:val="1"/>
          <w:color w:val="auto"/>
        </w:rPr>
      </w:pPr>
    </w:p>
    <w:p>
      <w:pPr>
        <w:ind w:left="660"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Credit Agreement also requires the loan parties, as defined in the Credit Agreement, to maintain a minimum fixed charge coverage ratio of 1.00 to 1.00 during periods when borrowing availability is less than the greater of (A) $25.0 million, and (B) 12.5% of the lesser of (i) the aggregate revolving commitment, and (ii) the borrowing base. The fixed charge coverage ratio, availability, aggregate revolving commitment, and the borrowing base are further defined in the Credit Agreement.</w:t>
      </w:r>
    </w:p>
    <w:p>
      <w:pPr>
        <w:spacing w:after="0" w:line="58" w:lineRule="exact"/>
        <w:rPr>
          <w:rFonts w:ascii="Times New Roman" w:cs="Times New Roman" w:eastAsia="Times New Roman" w:hAnsi="Times New Roman"/>
          <w:sz w:val="18"/>
          <w:szCs w:val="18"/>
          <w:b w:val="1"/>
          <w:bCs w:val="1"/>
          <w:color w:val="auto"/>
        </w:rPr>
      </w:pPr>
    </w:p>
    <w:p>
      <w:pPr>
        <w:ind w:left="660" w:right="120"/>
        <w:spacing w:after="0" w:line="27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Credit Agreement contains customary events of default, including, among other things: (i) the failure to pay any principal, interest, or other fees under the Credit Agreement; (ii) the making of any materially incorrect representation or warranty; (iii) the failure to observe or perform any covenant, condition, or agreement in the Credit Agreement or related agreements; (iv) a cross default with respect to other material indebtedness;</w:t>
      </w:r>
    </w:p>
    <w:p>
      <w:pPr>
        <w:spacing w:after="0" w:line="1" w:lineRule="exact"/>
        <w:rPr>
          <w:rFonts w:ascii="Times New Roman" w:cs="Times New Roman" w:eastAsia="Times New Roman" w:hAnsi="Times New Roman"/>
          <w:sz w:val="18"/>
          <w:szCs w:val="18"/>
          <w:b w:val="1"/>
          <w:bCs w:val="1"/>
          <w:color w:val="auto"/>
        </w:rPr>
      </w:pPr>
    </w:p>
    <w:p>
      <w:pPr>
        <w:ind w:left="660" w:right="4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 bankruptcy and insolvency events; (vi) unsatisfied material final judgments; (vii) Employee Retirement Income Security Act of 1974 (“ERISA”) events that could reasonably be expected to have a material adverse effect; and (viii) a change in control (as defined in the Credit Agreement).</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left="660" w:right="160"/>
        <w:spacing w:after="0" w:line="261" w:lineRule="auto"/>
        <w:rPr>
          <w:sz w:val="20"/>
          <w:szCs w:val="20"/>
          <w:color w:val="auto"/>
        </w:rPr>
      </w:pPr>
      <w:r>
        <w:rPr>
          <w:rFonts w:ascii="Times New Roman" w:cs="Times New Roman" w:eastAsia="Times New Roman" w:hAnsi="Times New Roman"/>
          <w:sz w:val="18"/>
          <w:szCs w:val="18"/>
          <w:color w:val="auto"/>
        </w:rPr>
        <w:t>On October 21, 2025, VBD amended the agreement to include, among other things: (i) permit the sale of certain real property assets without requiring the application of the proceeds from such sale to be used to repay amounts outstanding under the Credit Agreement, (ii) remove the prohibition against sale and leaseback transactions and (iii) increase the amount of Company assets permitted to be disposed of in any fiscal year outside the ordinary course of business from $5,000,000 to $10,000,000.</w:t>
      </w:r>
    </w:p>
    <w:p>
      <w:pPr>
        <w:spacing w:after="0" w:line="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Credit Agreement matures in May 2028.</w:t>
      </w:r>
    </w:p>
    <w:p>
      <w:pPr>
        <w:spacing w:after="0" w:line="104" w:lineRule="exact"/>
        <w:rPr>
          <w:sz w:val="20"/>
          <w:szCs w:val="20"/>
          <w:color w:val="auto"/>
        </w:rPr>
      </w:pPr>
    </w:p>
    <w:p>
      <w:pPr>
        <w:ind w:left="660" w:right="200"/>
        <w:spacing w:after="0" w:line="282" w:lineRule="auto"/>
        <w:rPr>
          <w:sz w:val="20"/>
          <w:szCs w:val="20"/>
          <w:color w:val="auto"/>
        </w:rPr>
      </w:pPr>
      <w:r>
        <w:rPr>
          <w:rFonts w:ascii="Times New Roman" w:cs="Times New Roman" w:eastAsia="Times New Roman" w:hAnsi="Times New Roman"/>
          <w:sz w:val="18"/>
          <w:szCs w:val="18"/>
          <w:color w:val="auto"/>
        </w:rPr>
        <w:t>As of November 1, 2025, the Company had $10.0 million borrowings outstanding and availability of $65.0 million under the Credit Agreement, compared to no borrowings outstanding and availability of $75.0 million as of February 1, 2025 under the Credit Agreement.</w:t>
      </w:r>
    </w:p>
    <w:p>
      <w:pPr>
        <w:spacing w:after="0" w:line="185"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07" w:lineRule="exact"/>
        <w:rPr>
          <w:rFonts w:ascii="Times New Roman" w:cs="Times New Roman" w:eastAsia="Times New Roman" w:hAnsi="Times New Roman"/>
          <w:sz w:val="18"/>
          <w:szCs w:val="18"/>
          <w:b w:val="1"/>
          <w:bCs w:val="1"/>
          <w:color w:val="auto"/>
        </w:rPr>
      </w:pPr>
    </w:p>
    <w:p>
      <w:pPr>
        <w:ind w:left="660" w:right="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 for income taxes for interim periods is based on an estimate of the annual effective tax rate adjusted to reflect the impact of discrete items. Management judgment is required in projecting ordinary income to estimate the Company’s annual effective tax rate.</w:t>
      </w:r>
    </w:p>
    <w:p>
      <w:pPr>
        <w:spacing w:after="0" w:line="26" w:lineRule="exact"/>
        <w:rPr>
          <w:rFonts w:ascii="Times New Roman" w:cs="Times New Roman" w:eastAsia="Times New Roman" w:hAnsi="Times New Roman"/>
          <w:sz w:val="18"/>
          <w:szCs w:val="18"/>
          <w:b w:val="1"/>
          <w:bCs w:val="1"/>
          <w:color w:val="auto"/>
        </w:rPr>
      </w:pPr>
    </w:p>
    <w:p>
      <w:pPr>
        <w:ind w:left="660" w:right="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effective tax rate for the thirteen weeks ended November 1, 2025, was (0.5)%, compared to (63.8)% for the thirteen weeks ended November 2, 2024. The change in year-over-year effective tax rate was primarily attributable to a full valuation allowance recorded against the Company's net deferred tax assets for the fiscal year ended February 1, 2025.</w:t>
      </w:r>
    </w:p>
    <w:p>
      <w:pPr>
        <w:spacing w:after="0" w:line="54" w:lineRule="exact"/>
        <w:rPr>
          <w:rFonts w:ascii="Times New Roman" w:cs="Times New Roman" w:eastAsia="Times New Roman" w:hAnsi="Times New Roman"/>
          <w:sz w:val="18"/>
          <w:szCs w:val="18"/>
          <w:b w:val="1"/>
          <w:bCs w:val="1"/>
          <w:color w:val="auto"/>
        </w:rPr>
      </w:pPr>
    </w:p>
    <w:p>
      <w:pPr>
        <w:ind w:left="660" w:right="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effective tax rate for the thirty-nine weeks ended November 1, 2025, was (1.3)%, compared to 14.4% for the thirty-nine weeks ended November 2, 2024. The change in year-over-year effective tax rate was primarily attributable to a full valuation allowance recorded against the Company's net deferred tax assets for the fiscal year ended February 1, 2025.</w:t>
      </w:r>
    </w:p>
    <w:p>
      <w:pPr>
        <w:spacing w:after="0" w:line="54"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Refer to Note 14 herein for the information regarding the income tax impact associated with the sale of Pura Vida on March 31, 2025.</w:t>
      </w:r>
    </w:p>
    <w:p>
      <w:pPr>
        <w:spacing w:after="0" w:line="90" w:lineRule="exact"/>
        <w:rPr>
          <w:rFonts w:ascii="Times New Roman" w:cs="Times New Roman" w:eastAsia="Times New Roman" w:hAnsi="Times New Roman"/>
          <w:sz w:val="18"/>
          <w:szCs w:val="18"/>
          <w:b w:val="1"/>
          <w:bCs w:val="1"/>
          <w:color w:val="auto"/>
        </w:rPr>
      </w:pPr>
    </w:p>
    <w:p>
      <w:pPr>
        <w:jc w:val="both"/>
        <w:ind w:left="660" w:right="1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July 4, 2025, the One Big Beautiful Bill Act (“OBBBA”) was signed into law, making permanent certain provisions of the Tax Cuts and Jobs Act, including 100% bonus depreciation, domestic research cost expensing, and the business interest expense limitation. In accordance with ASC 740, the Company has recognized the effects of the new tax law in the period of enactment. As the Company maintains a full valuation allowance on its U.S. deferred tax assets, the legislation does not have a material impact on our consolidated financial statements.</w:t>
      </w:r>
    </w:p>
    <w:p>
      <w:pPr>
        <w:spacing w:after="0" w:line="29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07"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recognizes stock-based compensation expense, for its awards of restricted stock units, in an amount equal to the fair market value of the underlying stock on the grant date of the respective award.</w:t>
      </w:r>
    </w:p>
    <w:p>
      <w:pPr>
        <w:spacing w:after="0" w:line="26" w:lineRule="exact"/>
        <w:rPr>
          <w:rFonts w:ascii="Times New Roman" w:cs="Times New Roman" w:eastAsia="Times New Roman" w:hAnsi="Times New Roman"/>
          <w:sz w:val="18"/>
          <w:szCs w:val="18"/>
          <w:b w:val="1"/>
          <w:bCs w:val="1"/>
          <w:color w:val="auto"/>
        </w:rPr>
      </w:pPr>
    </w:p>
    <w:p>
      <w:pPr>
        <w:jc w:val="both"/>
        <w:ind w:left="660" w:right="1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reserved 6,000,000 shares of common stock for issuance or transfer under the 2020 Equity and Incentive Plan, as amended, which allows for grants of restricted stock units, as well as other equity awards. The Company maintains the 2010 Equity and Incentive Plan for awards granted prior to the effectiveness of the 2020 Equity and Incentive Plan.</w:t>
      </w:r>
    </w:p>
    <w:p>
      <w:pPr>
        <w:spacing w:after="0" w:line="52"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Awards of Restricted Stock Units</w:t>
      </w:r>
    </w:p>
    <w:p>
      <w:pPr>
        <w:spacing w:after="0" w:line="105" w:lineRule="exact"/>
        <w:rPr>
          <w:rFonts w:ascii="Times New Roman" w:cs="Times New Roman" w:eastAsia="Times New Roman" w:hAnsi="Times New Roman"/>
          <w:sz w:val="18"/>
          <w:szCs w:val="18"/>
          <w:b w:val="1"/>
          <w:bCs w:val="1"/>
          <w:color w:val="auto"/>
        </w:rPr>
      </w:pPr>
    </w:p>
    <w:p>
      <w:pPr>
        <w:ind w:left="66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thirteen weeks ended November 1, 2025, the Company granted 28,781 time-based and performance based restricted stock units with an aggregate fair value of $60 thousand to certain employees and non-employee directors under the 2020 Equity and Incentive Plan. The Company did not grant restricted stock units during the thirteen weeks ended November 2, 2024.</w:t>
      </w:r>
    </w:p>
    <w:p>
      <w:pPr>
        <w:spacing w:after="0" w:line="40" w:lineRule="exact"/>
        <w:rPr>
          <w:rFonts w:ascii="Times New Roman" w:cs="Times New Roman" w:eastAsia="Times New Roman" w:hAnsi="Times New Roman"/>
          <w:sz w:val="18"/>
          <w:szCs w:val="18"/>
          <w:b w:val="1"/>
          <w:bCs w:val="1"/>
          <w:color w:val="auto"/>
        </w:rPr>
      </w:pPr>
    </w:p>
    <w:p>
      <w:pPr>
        <w:ind w:left="660" w:right="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thirty-nine weeks ended November 1, 2025, the Company granted 2,785,977 time-based and performance-based restricted stock units with an aggregate fair value of $6.0 million to certain employees and non-employee directors under the 2020 Equity and Incentive Plan compared to 755,647 time-based and performance-based restricted stock units with an aggregate fair value of $5.1 million in the same period of the prior year.</w:t>
      </w:r>
    </w:p>
    <w:p>
      <w:pPr>
        <w:spacing w:after="0" w:line="58" w:lineRule="exact"/>
        <w:rPr>
          <w:rFonts w:ascii="Times New Roman" w:cs="Times New Roman" w:eastAsia="Times New Roman" w:hAnsi="Times New Roman"/>
          <w:sz w:val="18"/>
          <w:szCs w:val="18"/>
          <w:b w:val="1"/>
          <w:bCs w:val="1"/>
          <w:color w:val="auto"/>
        </w:rPr>
      </w:pPr>
    </w:p>
    <w:p>
      <w:pPr>
        <w:ind w:left="660" w:right="3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Time-based restricted stock units vest and settle in shares of the Company’s common stock, on a one-for-one basis, with most vesting in equal installments on each of the first three anniversaries of the grant date. Restricted stock units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left="660" w:right="60"/>
        <w:spacing w:after="0" w:line="282" w:lineRule="auto"/>
        <w:rPr>
          <w:sz w:val="20"/>
          <w:szCs w:val="20"/>
          <w:color w:val="auto"/>
        </w:rPr>
      </w:pPr>
      <w:r>
        <w:rPr>
          <w:rFonts w:ascii="Times New Roman" w:cs="Times New Roman" w:eastAsia="Times New Roman" w:hAnsi="Times New Roman"/>
          <w:sz w:val="18"/>
          <w:szCs w:val="18"/>
          <w:color w:val="auto"/>
        </w:rPr>
        <w:t>issued to non-employee directors vest after a one-year period from the grant date. The Company recognizes the expense relating to these units, net of estimated forfeitures, on a straight-line basis over the vesting period.</w:t>
      </w:r>
    </w:p>
    <w:p>
      <w:pPr>
        <w:spacing w:after="0" w:line="27" w:lineRule="exact"/>
        <w:rPr>
          <w:sz w:val="20"/>
          <w:szCs w:val="20"/>
          <w:color w:val="auto"/>
        </w:rPr>
      </w:pPr>
    </w:p>
    <w:p>
      <w:pPr>
        <w:ind w:left="660" w:right="140"/>
        <w:spacing w:after="0" w:line="261" w:lineRule="auto"/>
        <w:rPr>
          <w:sz w:val="20"/>
          <w:szCs w:val="20"/>
          <w:color w:val="auto"/>
        </w:rPr>
      </w:pPr>
      <w:r>
        <w:rPr>
          <w:rFonts w:ascii="Times New Roman" w:cs="Times New Roman" w:eastAsia="Times New Roman" w:hAnsi="Times New Roman"/>
          <w:sz w:val="18"/>
          <w:szCs w:val="18"/>
          <w:color w:val="auto"/>
        </w:rPr>
        <w:t>Performance-based restricted stock units vest upon the completion of a three-year period of time (cliff vesting), subject to the employee’s continuing employment throughout and the Company’s achievement of annual earnings per share targets, or other Company performance targets, during the three-year performance period. The Company recognizes the expense relating to these units, net of estimated forfeitures, based on the probable outcome of achievement of the financial targets, on a straight-line basis over three years.</w:t>
      </w:r>
    </w:p>
    <w:p>
      <w:pPr>
        <w:spacing w:after="0" w:line="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a summary of restricted stock unit activity for the thirty-nine weeks ended November 1, 2025 (units in thousands):</w:t>
      </w:r>
    </w:p>
    <w:p>
      <w:pPr>
        <w:spacing w:after="0" w:line="31"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282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Time-based</w:t>
            </w:r>
          </w:p>
        </w:tc>
        <w:tc>
          <w:tcPr>
            <w:tcW w:w="2740" w:type="dxa"/>
            <w:vAlign w:val="bottom"/>
            <w:gridSpan w:val="4"/>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Performance-based</w:t>
            </w:r>
          </w:p>
        </w:tc>
        <w:tc>
          <w:tcPr>
            <w:tcW w:w="0" w:type="dxa"/>
            <w:vAlign w:val="bottom"/>
          </w:tcPr>
          <w:p>
            <w:pPr>
              <w:spacing w:after="0"/>
              <w:rPr>
                <w:sz w:val="1"/>
                <w:szCs w:val="1"/>
                <w:color w:val="auto"/>
              </w:rPr>
            </w:pPr>
          </w:p>
        </w:tc>
      </w:tr>
      <w:tr>
        <w:trPr>
          <w:trHeight w:val="195"/>
        </w:trPr>
        <w:tc>
          <w:tcPr>
            <w:tcW w:w="4380" w:type="dxa"/>
            <w:vAlign w:val="bottom"/>
          </w:tcPr>
          <w:p>
            <w:pPr>
              <w:spacing w:after="0"/>
              <w:rPr>
                <w:sz w:val="16"/>
                <w:szCs w:val="16"/>
                <w:color w:val="auto"/>
              </w:rPr>
            </w:pPr>
          </w:p>
        </w:tc>
        <w:tc>
          <w:tcPr>
            <w:tcW w:w="282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2740" w:type="dxa"/>
            <w:vAlign w:val="bottom"/>
            <w:gridSpan w:val="4"/>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0" w:type="dxa"/>
            <w:vAlign w:val="bottom"/>
          </w:tcPr>
          <w:p>
            <w:pPr>
              <w:spacing w:after="0"/>
              <w:rPr>
                <w:sz w:val="1"/>
                <w:szCs w:val="1"/>
                <w:color w:val="auto"/>
              </w:rPr>
            </w:pPr>
          </w:p>
        </w:tc>
      </w:tr>
      <w:tr>
        <w:trPr>
          <w:trHeight w:val="136"/>
        </w:trPr>
        <w:tc>
          <w:tcPr>
            <w:tcW w:w="438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139"/>
              <w:spacing w:after="0" w:line="136"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139"/>
              <w:spacing w:after="0" w:line="136"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4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59"/>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7"/>
        </w:trPr>
        <w:tc>
          <w:tcPr>
            <w:tcW w:w="4380" w:type="dxa"/>
            <w:vAlign w:val="bottom"/>
          </w:tcPr>
          <w:p>
            <w:pPr>
              <w:spacing w:after="0"/>
              <w:rPr>
                <w:sz w:val="11"/>
                <w:szCs w:val="11"/>
                <w:color w:val="auto"/>
              </w:rPr>
            </w:pPr>
          </w:p>
        </w:tc>
        <w:tc>
          <w:tcPr>
            <w:tcW w:w="1260" w:type="dxa"/>
            <w:vAlign w:val="bottom"/>
            <w:vMerge w:val="restart"/>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jc w:val="center"/>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280" w:type="dxa"/>
            <w:vAlign w:val="bottom"/>
            <w:vMerge w:val="restart"/>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center"/>
              <w:ind w:right="159"/>
              <w:spacing w:after="0" w:line="137"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5"/>
        </w:trPr>
        <w:tc>
          <w:tcPr>
            <w:tcW w:w="4380" w:type="dxa"/>
            <w:vAlign w:val="bottom"/>
          </w:tcPr>
          <w:p>
            <w:pPr>
              <w:spacing w:after="0"/>
              <w:rPr>
                <w:sz w:val="16"/>
                <w:szCs w:val="16"/>
                <w:color w:val="auto"/>
              </w:rPr>
            </w:pPr>
          </w:p>
        </w:tc>
        <w:tc>
          <w:tcPr>
            <w:tcW w:w="126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128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0" w:type="dxa"/>
            <w:vAlign w:val="bottom"/>
          </w:tcPr>
          <w:p>
            <w:pPr>
              <w:spacing w:after="0"/>
              <w:rPr>
                <w:sz w:val="1"/>
                <w:szCs w:val="1"/>
                <w:color w:val="auto"/>
              </w:rPr>
            </w:pPr>
          </w:p>
        </w:tc>
      </w:tr>
      <w:tr>
        <w:trPr>
          <w:trHeight w:val="228"/>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units outstanding at February 1, 2025</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30"/>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48"/>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units outstanding at November 1, 2025</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60" w:right="580"/>
        <w:spacing w:after="0" w:line="266" w:lineRule="auto"/>
        <w:rPr>
          <w:sz w:val="20"/>
          <w:szCs w:val="20"/>
          <w:color w:val="auto"/>
        </w:rPr>
      </w:pPr>
      <w:r>
        <w:rPr>
          <w:rFonts w:ascii="Times New Roman" w:cs="Times New Roman" w:eastAsia="Times New Roman" w:hAnsi="Times New Roman"/>
          <w:sz w:val="18"/>
          <w:szCs w:val="18"/>
          <w:color w:val="auto"/>
        </w:rPr>
        <w:t>As of November 1, 2025, there was $3.0 million of total unrecognized compensation cost, net of estimated forfeitures, related to nonvested restricted stock units. That cost is expected to be recognized over a weighted-average period of 2.0 years, subject to meeting performance conditions.</w:t>
      </w:r>
    </w:p>
    <w:p>
      <w:pPr>
        <w:spacing w:after="0" w:line="293"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94" w:lineRule="exact"/>
        <w:rPr>
          <w:rFonts w:ascii="Times New Roman" w:cs="Times New Roman" w:eastAsia="Times New Roman" w:hAnsi="Times New Roman"/>
          <w:sz w:val="18"/>
          <w:szCs w:val="18"/>
          <w:b w:val="1"/>
          <w:bCs w:val="1"/>
          <w:color w:val="auto"/>
        </w:rPr>
      </w:pPr>
    </w:p>
    <w:p>
      <w:pPr>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subject to various claims and contingencies arising in the normal course of business, including those relating to product liability, legal claims, employee benefits, environmental issues, and other matters. Management believes that at this time it is not probable that any of these claims will have a material adverse effect on the Company’s financial condition, results of operations, or cash flows. However, the outcomes of legal proceedings and claims brought against the Company are subject to uncertainty, and future developments could cause these actions or claims, individually or in aggregate, to have a material adverse effect on the Company’s financial condition, results of operations, or cash flows of a particular reporting period.</w:t>
      </w:r>
    </w:p>
    <w:p>
      <w:pPr>
        <w:spacing w:after="0" w:line="52"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June of 2025, the Company received a notice from the buyer of Creative Genius requesting a purchase price adjustment of approximately</w:t>
      </w:r>
    </w:p>
    <w:p>
      <w:pPr>
        <w:spacing w:after="0" w:line="15" w:lineRule="exact"/>
        <w:rPr>
          <w:rFonts w:ascii="Times New Roman" w:cs="Times New Roman" w:eastAsia="Times New Roman" w:hAnsi="Times New Roman"/>
          <w:sz w:val="18"/>
          <w:szCs w:val="18"/>
          <w:b w:val="1"/>
          <w:bCs w:val="1"/>
          <w:color w:val="auto"/>
        </w:rPr>
      </w:pPr>
    </w:p>
    <w:p>
      <w:pPr>
        <w:ind w:left="660" w:right="40"/>
        <w:spacing w:after="0" w:line="23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$4.6 million related to the sale of Creative Genius. The demand was based on certain working capital adjustments. The Company has disputed this purchase price adjustment request. On August 27, 2025, the Company filed an action in the Chancery Court of Delaware seeking a judgment declaring that the buyer’s claim for a purchase price adjustment is improper and barred by the purchase Agreement. The Company has filed for summary judgment in that action. At this time, we are not able to estimate a possible loss or range of loss that may result from this matter or to determine whether such loss, if any, would have a material adverse effect on our financial condition or results of operations due to the fact that the Company believes the purchase price adjustment is improper, and is seeking to have it declared as such by a Delaware Court. The Company believes that it has a number of meritorious legal approaches in defending itself against these claims. The Company is also subject to other legal proceedings from time to time in the ordinary course of business but does not believe any of these such claims would have a material adverse impact on the Company at this time.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107" w:lineRule="exact"/>
        <w:rPr>
          <w:rFonts w:ascii="Times New Roman" w:cs="Times New Roman" w:eastAsia="Times New Roman" w:hAnsi="Times New Roman"/>
          <w:sz w:val="18"/>
          <w:szCs w:val="18"/>
          <w:b w:val="1"/>
          <w:bCs w:val="1"/>
          <w:color w:val="auto"/>
        </w:rPr>
      </w:pPr>
    </w:p>
    <w:p>
      <w:pPr>
        <w:jc w:val="both"/>
        <w:ind w:left="660" w:right="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December 2021, the Company's board of directors approved a share repurchase plan (the “2021 Share Repurchase Program”) which authorized Company management to utilize up to $50.0 million of available cash for repurchases of shares of the Company's common stock. The 2021 Share Repurchase Program went into effect beginning December 13, 2021 and expired in December 2024.</w:t>
      </w:r>
    </w:p>
    <w:p>
      <w:pPr>
        <w:spacing w:after="0" w:line="27" w:lineRule="exact"/>
        <w:rPr>
          <w:rFonts w:ascii="Times New Roman" w:cs="Times New Roman" w:eastAsia="Times New Roman" w:hAnsi="Times New Roman"/>
          <w:sz w:val="18"/>
          <w:szCs w:val="18"/>
          <w:b w:val="1"/>
          <w:bCs w:val="1"/>
          <w:color w:val="auto"/>
        </w:rPr>
      </w:pPr>
    </w:p>
    <w:p>
      <w:pPr>
        <w:ind w:left="660" w:right="40"/>
        <w:spacing w:after="0" w:line="24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fourth quarter fiscal 2025, the Company's board of directors approved a new share repurchase plan (the “2024 Share Repurchase Program”) which authorized Company management to utilize up to $30.0 million of available cash for repurchases of shares of the Company's common stock. The 2024 Share Repurchase Program went into effect beginning December 14, 2024 and expires in December 2027. The Company does not currently plan to purchase under the 2024 Share Repurchase Program, but anticipates utilizing it in the future depending on the Company's cash position.</w:t>
      </w:r>
    </w:p>
    <w:p>
      <w:pPr>
        <w:spacing w:after="0" w:line="63" w:lineRule="exact"/>
        <w:rPr>
          <w:rFonts w:ascii="Times New Roman" w:cs="Times New Roman" w:eastAsia="Times New Roman" w:hAnsi="Times New Roman"/>
          <w:sz w:val="18"/>
          <w:szCs w:val="18"/>
          <w:b w:val="1"/>
          <w:bCs w:val="1"/>
          <w:color w:val="auto"/>
        </w:rPr>
      </w:pPr>
    </w:p>
    <w:p>
      <w:pPr>
        <w:ind w:left="660"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November 1, 2025, there was $30.0 million remaining available to repurchase shares of the Company's common stock under the 2024 Share Repurchase Program.</w:t>
      </w:r>
    </w:p>
    <w:p>
      <w:pPr>
        <w:spacing w:after="0" w:line="40" w:lineRule="exact"/>
        <w:rPr>
          <w:rFonts w:ascii="Times New Roman" w:cs="Times New Roman" w:eastAsia="Times New Roman" w:hAnsi="Times New Roman"/>
          <w:sz w:val="18"/>
          <w:szCs w:val="18"/>
          <w:b w:val="1"/>
          <w:bCs w:val="1"/>
          <w:color w:val="auto"/>
        </w:rPr>
      </w:pPr>
    </w:p>
    <w:p>
      <w:pPr>
        <w:ind w:left="66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As of November 1, 2025, the Company held as treasury shares 15,834,579 shares of its common stock at an average price of $9.90 per share, excluding commissions, for an aggregate carrying amount of $156.8 million. The Company’s treasury shares may be issued under the 2010 Equity and Incentive Plan (with respect to outstanding awards under that plan), under the 2020 Equity and Incentive Plan, or for other corporate purposes.</w:t>
      </w:r>
    </w:p>
    <w:p>
      <w:pPr>
        <w:spacing w:after="0" w:line="356" w:lineRule="exact"/>
        <w:rPr>
          <w:rFonts w:ascii="Times New Roman" w:cs="Times New Roman" w:eastAsia="Times New Roman" w:hAnsi="Times New Roman"/>
          <w:sz w:val="18"/>
          <w:szCs w:val="18"/>
          <w:b w:val="1"/>
          <w:bCs w:val="1"/>
          <w:color w:val="auto"/>
        </w:rPr>
      </w:pPr>
    </w:p>
    <w:p>
      <w:pPr>
        <w:ind w:left="660" w:right="7120" w:hanging="652"/>
        <w:spacing w:after="0" w:line="383" w:lineRule="auto"/>
        <w:tabs>
          <w:tab w:leader="none" w:pos="645"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Cost Savings Initiatives and Other Charges </w:t>
      </w:r>
      <w:r>
        <w:rPr>
          <w:rFonts w:ascii="Times New Roman" w:cs="Times New Roman" w:eastAsia="Times New Roman" w:hAnsi="Times New Roman"/>
          <w:sz w:val="17"/>
          <w:szCs w:val="17"/>
          <w:i w:val="1"/>
          <w:iCs w:val="1"/>
          <w:color w:val="auto"/>
        </w:rPr>
        <w:t>Cost Savings Initiatives and Severance Charges</w:t>
      </w:r>
    </w:p>
    <w:p>
      <w:pPr>
        <w:spacing w:after="0" w:line="1" w:lineRule="exact"/>
        <w:rPr>
          <w:rFonts w:ascii="Times New Roman" w:cs="Times New Roman" w:eastAsia="Times New Roman" w:hAnsi="Times New Roman"/>
          <w:sz w:val="17"/>
          <w:szCs w:val="17"/>
          <w:b w:val="1"/>
          <w:bCs w:val="1"/>
          <w:color w:val="auto"/>
        </w:rPr>
      </w:pPr>
    </w:p>
    <w:p>
      <w:pPr>
        <w:ind w:left="660" w:right="4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During fiscal 2023, the Company began implementation of its targeted cost reductions, which were expected to be fully realized in fiscal 2025. In late fiscal 2025, additional cost reduction initiatives were identified and are expected to be fully realized in fiscal 2026. Expense savings are being derived across various areas of the Company, including retail store efficiencies, marketing expenses, information technology contracts, professional services, logistics and operational costs, and corporate payroll.</w:t>
      </w:r>
    </w:p>
    <w:p>
      <w:pPr>
        <w:spacing w:after="0" w:line="44" w:lineRule="exact"/>
        <w:rPr>
          <w:rFonts w:ascii="Times New Roman" w:cs="Times New Roman" w:eastAsia="Times New Roman" w:hAnsi="Times New Roman"/>
          <w:sz w:val="17"/>
          <w:szCs w:val="17"/>
          <w:b w:val="1"/>
          <w:bCs w:val="1"/>
          <w:color w:val="auto"/>
        </w:rPr>
      </w:pPr>
    </w:p>
    <w:p>
      <w:pPr>
        <w:ind w:left="6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Company incurred the following charges during the thirteen weeks ended November 1, 2025 (in thousands):</w:t>
      </w:r>
    </w:p>
    <w:p>
      <w:pPr>
        <w:spacing w:after="0" w:line="286"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460" w:type="dxa"/>
            <w:vAlign w:val="bottom"/>
          </w:tcPr>
          <w:p>
            <w:pPr>
              <w:spacing w:after="0"/>
              <w:rPr>
                <w:sz w:val="16"/>
                <w:szCs w:val="16"/>
                <w:color w:val="auto"/>
              </w:rPr>
            </w:pPr>
          </w:p>
        </w:tc>
        <w:tc>
          <w:tcPr>
            <w:tcW w:w="2800" w:type="dxa"/>
            <w:vAlign w:val="bottom"/>
            <w:gridSpan w:val="4"/>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Reportable Segment</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6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Unallocated Corporate</w:t>
            </w: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3460" w:type="dxa"/>
            <w:vAlign w:val="bottom"/>
          </w:tcPr>
          <w:p>
            <w:pPr>
              <w:spacing w:after="0"/>
              <w:rPr>
                <w:sz w:val="10"/>
                <w:szCs w:val="10"/>
                <w:color w:val="auto"/>
              </w:rPr>
            </w:pPr>
          </w:p>
        </w:tc>
        <w:tc>
          <w:tcPr>
            <w:tcW w:w="1180" w:type="dxa"/>
            <w:vAlign w:val="bottom"/>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VB Direct</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VB Indirect</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Total Expense</w:t>
            </w:r>
          </w:p>
        </w:tc>
        <w:tc>
          <w:tcPr>
            <w:tcW w:w="0" w:type="dxa"/>
            <w:vAlign w:val="bottom"/>
          </w:tcPr>
          <w:p>
            <w:pPr>
              <w:spacing w:after="0"/>
              <w:rPr>
                <w:sz w:val="1"/>
                <w:szCs w:val="1"/>
                <w:color w:val="auto"/>
              </w:rPr>
            </w:pPr>
          </w:p>
        </w:tc>
      </w:tr>
      <w:tr>
        <w:trPr>
          <w:trHeight w:val="195"/>
        </w:trPr>
        <w:tc>
          <w:tcPr>
            <w:tcW w:w="34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charges</w:t>
            </w:r>
          </w:p>
        </w:tc>
        <w:tc>
          <w:tcPr>
            <w:tcW w:w="1180" w:type="dxa"/>
            <w:vAlign w:val="bottom"/>
            <w:tcBorders>
              <w:top w:val="single" w:sz="8" w:color="auto"/>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0" w:type="dxa"/>
            <w:vAlign w:val="bottom"/>
          </w:tcPr>
          <w:p>
            <w:pPr>
              <w:spacing w:after="0"/>
              <w:rPr>
                <w:sz w:val="1"/>
                <w:szCs w:val="1"/>
                <w:color w:val="auto"/>
              </w:rPr>
            </w:pPr>
          </w:p>
        </w:tc>
      </w:tr>
      <w:tr>
        <w:trPr>
          <w:trHeight w:val="223"/>
        </w:trPr>
        <w:tc>
          <w:tcPr>
            <w:tcW w:w="346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3"/>
                <w:szCs w:val="23"/>
                <w:color w:val="auto"/>
                <w:vertAlign w:val="superscript"/>
              </w:rPr>
              <w:t>(1)</w:t>
            </w:r>
          </w:p>
        </w:tc>
        <w:tc>
          <w:tcPr>
            <w:tcW w:w="1180" w:type="dxa"/>
            <w:vAlign w:val="bottom"/>
            <w:tcBorders>
              <w:bottom w:val="single" w:sz="8" w:color="auto"/>
            </w:tcBorders>
          </w:tcPr>
          <w:p>
            <w:pPr>
              <w:jc w:val="right"/>
              <w:ind w:right="97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80" w:type="dxa"/>
            <w:vAlign w:val="bottom"/>
            <w:tcBorders>
              <w:bottom w:val="single" w:sz="8" w:color="auto"/>
            </w:tcBorders>
          </w:tcPr>
          <w:p>
            <w:pPr>
              <w:jc w:val="right"/>
              <w:ind w:right="97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0" w:type="dxa"/>
            <w:vAlign w:val="bottom"/>
          </w:tcPr>
          <w:p>
            <w:pPr>
              <w:spacing w:after="0"/>
              <w:rPr>
                <w:sz w:val="1"/>
                <w:szCs w:val="1"/>
                <w:color w:val="auto"/>
              </w:rPr>
            </w:pPr>
          </w:p>
        </w:tc>
      </w:tr>
      <w:tr>
        <w:trPr>
          <w:trHeight w:val="21"/>
        </w:trPr>
        <w:tc>
          <w:tcPr>
            <w:tcW w:w="34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 Recorded within selling, general, and administrative ("SG&amp;A") expenses</w:t>
      </w: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incurred the following charges during the thirty-nine weeks ended November 1, 2025 (in thousands):</w:t>
      </w:r>
    </w:p>
    <w:p>
      <w:pPr>
        <w:spacing w:after="0" w:line="273"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460" w:type="dxa"/>
            <w:vAlign w:val="bottom"/>
          </w:tcPr>
          <w:p>
            <w:pPr>
              <w:spacing w:after="0"/>
              <w:rPr>
                <w:sz w:val="16"/>
                <w:szCs w:val="16"/>
                <w:color w:val="auto"/>
              </w:rPr>
            </w:pPr>
          </w:p>
        </w:tc>
        <w:tc>
          <w:tcPr>
            <w:tcW w:w="2800" w:type="dxa"/>
            <w:vAlign w:val="bottom"/>
            <w:gridSpan w:val="4"/>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Reportable Segment</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6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Unallocated Corporate</w:t>
            </w: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3460" w:type="dxa"/>
            <w:vAlign w:val="bottom"/>
          </w:tcPr>
          <w:p>
            <w:pPr>
              <w:spacing w:after="0"/>
              <w:rPr>
                <w:sz w:val="10"/>
                <w:szCs w:val="10"/>
                <w:color w:val="auto"/>
              </w:rPr>
            </w:pPr>
          </w:p>
        </w:tc>
        <w:tc>
          <w:tcPr>
            <w:tcW w:w="1180" w:type="dxa"/>
            <w:vAlign w:val="bottom"/>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VB Direct</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VB Indirect</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Total Expense</w:t>
            </w:r>
          </w:p>
        </w:tc>
        <w:tc>
          <w:tcPr>
            <w:tcW w:w="0" w:type="dxa"/>
            <w:vAlign w:val="bottom"/>
          </w:tcPr>
          <w:p>
            <w:pPr>
              <w:spacing w:after="0"/>
              <w:rPr>
                <w:sz w:val="1"/>
                <w:szCs w:val="1"/>
                <w:color w:val="auto"/>
              </w:rPr>
            </w:pPr>
          </w:p>
        </w:tc>
      </w:tr>
      <w:tr>
        <w:trPr>
          <w:trHeight w:val="195"/>
        </w:trPr>
        <w:tc>
          <w:tcPr>
            <w:tcW w:w="34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charges</w:t>
            </w:r>
          </w:p>
        </w:tc>
        <w:tc>
          <w:tcPr>
            <w:tcW w:w="1180" w:type="dxa"/>
            <w:vAlign w:val="bottom"/>
            <w:tcBorders>
              <w:top w:val="single" w:sz="8" w:color="auto"/>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3,902</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0" w:type="dxa"/>
            <w:vAlign w:val="bottom"/>
          </w:tcPr>
          <w:p>
            <w:pPr>
              <w:spacing w:after="0"/>
              <w:rPr>
                <w:sz w:val="1"/>
                <w:szCs w:val="1"/>
                <w:color w:val="auto"/>
              </w:rPr>
            </w:pPr>
          </w:p>
        </w:tc>
      </w:tr>
      <w:tr>
        <w:trPr>
          <w:trHeight w:val="223"/>
        </w:trPr>
        <w:tc>
          <w:tcPr>
            <w:tcW w:w="346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3"/>
                <w:szCs w:val="23"/>
                <w:color w:val="auto"/>
                <w:vertAlign w:val="superscript"/>
              </w:rPr>
              <w:t>(1)</w:t>
            </w:r>
          </w:p>
        </w:tc>
        <w:tc>
          <w:tcPr>
            <w:tcW w:w="1180" w:type="dxa"/>
            <w:vAlign w:val="bottom"/>
            <w:tcBorders>
              <w:bottom w:val="single" w:sz="8" w:color="auto"/>
            </w:tcBorders>
          </w:tcPr>
          <w:p>
            <w:pPr>
              <w:jc w:val="right"/>
              <w:ind w:right="97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1180" w:type="dxa"/>
            <w:vAlign w:val="bottom"/>
            <w:tcBorders>
              <w:bottom w:val="single" w:sz="8" w:color="auto"/>
            </w:tcBorders>
          </w:tcPr>
          <w:p>
            <w:pPr>
              <w:jc w:val="right"/>
              <w:ind w:right="97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3,902</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 Recorded within SG&amp;A expenses</w:t>
      </w: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charges and related liabilities associated with the cost savings initiatives and severance charges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7700" w:type="dxa"/>
            <w:vAlign w:val="bottom"/>
          </w:tcPr>
          <w:p>
            <w:pPr>
              <w:jc w:val="center"/>
              <w:ind w:left="2130"/>
              <w:spacing w:after="0"/>
              <w:rPr>
                <w:sz w:val="20"/>
                <w:szCs w:val="20"/>
                <w:color w:val="auto"/>
              </w:rPr>
            </w:pPr>
            <w:r>
              <w:rPr>
                <w:rFonts w:ascii="Times New Roman" w:cs="Times New Roman" w:eastAsia="Times New Roman" w:hAnsi="Times New Roman"/>
                <w:sz w:val="18"/>
                <w:szCs w:val="18"/>
                <w:b w:val="1"/>
                <w:bCs w:val="1"/>
                <w:color w:val="auto"/>
                <w:w w:val="98"/>
              </w:rPr>
              <w:t>Vera Bradley, Inc.</w:t>
            </w: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jc w:val="center"/>
              <w:ind w:left="2130"/>
              <w:spacing w:after="0"/>
              <w:rPr>
                <w:sz w:val="20"/>
                <w:szCs w:val="20"/>
                <w:color w:val="auto"/>
              </w:rPr>
            </w:pPr>
            <w:r>
              <w:rPr>
                <w:rFonts w:ascii="Times New Roman" w:cs="Times New Roman" w:eastAsia="Times New Roman" w:hAnsi="Times New Roman"/>
                <w:sz w:val="18"/>
                <w:szCs w:val="18"/>
                <w:b w:val="1"/>
                <w:bCs w:val="1"/>
                <w:color w:val="auto"/>
                <w:w w:val="99"/>
              </w:rPr>
              <w:t>Notes to the Condensed Consolidated Financial Statements</w:t>
            </w: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70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6"/>
        </w:trPr>
        <w:tc>
          <w:tcPr>
            <w:tcW w:w="7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Severance Charges and Cash</w:t>
            </w:r>
          </w:p>
        </w:tc>
        <w:tc>
          <w:tcPr>
            <w:tcW w:w="0" w:type="dxa"/>
            <w:vAlign w:val="bottom"/>
          </w:tcPr>
          <w:p>
            <w:pPr>
              <w:spacing w:after="0"/>
              <w:rPr>
                <w:sz w:val="1"/>
                <w:szCs w:val="1"/>
                <w:color w:val="auto"/>
              </w:rPr>
            </w:pPr>
          </w:p>
        </w:tc>
      </w:tr>
      <w:tr>
        <w:trPr>
          <w:trHeight w:val="146"/>
        </w:trPr>
        <w:tc>
          <w:tcPr>
            <w:tcW w:w="7700" w:type="dxa"/>
            <w:vAlign w:val="bottom"/>
          </w:tcPr>
          <w:p>
            <w:pPr>
              <w:spacing w:after="0"/>
              <w:rPr>
                <w:sz w:val="12"/>
                <w:szCs w:val="12"/>
                <w:color w:val="auto"/>
              </w:rPr>
            </w:pPr>
          </w:p>
        </w:tc>
        <w:tc>
          <w:tcPr>
            <w:tcW w:w="206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Retention Payment Acceleration</w:t>
            </w:r>
          </w:p>
        </w:tc>
        <w:tc>
          <w:tcPr>
            <w:tcW w:w="0" w:type="dxa"/>
            <w:vAlign w:val="bottom"/>
          </w:tcPr>
          <w:p>
            <w:pPr>
              <w:spacing w:after="0"/>
              <w:rPr>
                <w:sz w:val="1"/>
                <w:szCs w:val="1"/>
                <w:color w:val="auto"/>
              </w:rPr>
            </w:pPr>
          </w:p>
        </w:tc>
      </w:tr>
      <w:tr>
        <w:trPr>
          <w:trHeight w:val="196"/>
        </w:trPr>
        <w:tc>
          <w:tcPr>
            <w:tcW w:w="77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 xml:space="preserve">Charges </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as of February 1, 2025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0" w:type="dxa"/>
            <w:vAlign w:val="bottom"/>
          </w:tcPr>
          <w:p>
            <w:pPr>
              <w:spacing w:after="0"/>
              <w:rPr>
                <w:sz w:val="1"/>
                <w:szCs w:val="1"/>
                <w:color w:val="auto"/>
              </w:rPr>
            </w:pPr>
          </w:p>
        </w:tc>
      </w:tr>
      <w:tr>
        <w:trPr>
          <w:trHeight w:val="23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2026 charges</w:t>
            </w:r>
          </w:p>
        </w:tc>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(5,854)</w:t>
            </w:r>
          </w:p>
        </w:tc>
        <w:tc>
          <w:tcPr>
            <w:tcW w:w="0" w:type="dxa"/>
            <w:vAlign w:val="bottom"/>
          </w:tcPr>
          <w:p>
            <w:pPr>
              <w:spacing w:after="0"/>
              <w:rPr>
                <w:sz w:val="1"/>
                <w:szCs w:val="1"/>
                <w:color w:val="auto"/>
              </w:rPr>
            </w:pPr>
          </w:p>
        </w:tc>
      </w:tr>
      <w:tr>
        <w:trPr>
          <w:trHeight w:val="223"/>
        </w:trPr>
        <w:tc>
          <w:tcPr>
            <w:tcW w:w="770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Liability as of November 1, 2025</w:t>
            </w:r>
            <w:r>
              <w:rPr>
                <w:rFonts w:ascii="Times New Roman" w:cs="Times New Roman" w:eastAsia="Times New Roman" w:hAnsi="Times New Roman"/>
                <w:sz w:val="23"/>
                <w:szCs w:val="23"/>
                <w:color w:val="auto"/>
                <w:vertAlign w:val="superscript"/>
              </w:rPr>
              <w:t>(1)</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21"/>
        </w:trPr>
        <w:tc>
          <w:tcPr>
            <w:tcW w:w="7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 Remaining liability is recorded within accrued employment costs</w:t>
            </w:r>
          </w:p>
        </w:tc>
        <w:tc>
          <w:tcPr>
            <w:tcW w:w="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77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incurred the following charges during the thirteen weeks ended November 2, 2024 (in thousands):</w:t>
      </w:r>
    </w:p>
    <w:p>
      <w:pPr>
        <w:spacing w:after="0" w:line="273"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2800" w:type="dxa"/>
            <w:vAlign w:val="bottom"/>
            <w:gridSpan w:val="4"/>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Reportable Segment</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Unallocated Corporate</w:t>
            </w: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350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VB Direct</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VB Indirect</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Total Expense</w:t>
            </w:r>
          </w:p>
        </w:tc>
        <w:tc>
          <w:tcPr>
            <w:tcW w:w="0" w:type="dxa"/>
            <w:vAlign w:val="bottom"/>
          </w:tcPr>
          <w:p>
            <w:pPr>
              <w:spacing w:after="0"/>
              <w:rPr>
                <w:sz w:val="1"/>
                <w:szCs w:val="1"/>
                <w:color w:val="auto"/>
              </w:rPr>
            </w:pPr>
          </w:p>
        </w:tc>
      </w:tr>
      <w:tr>
        <w:trPr>
          <w:trHeight w:val="195"/>
        </w:trPr>
        <w:tc>
          <w:tcPr>
            <w:tcW w:w="35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charges</w:t>
            </w:r>
          </w:p>
        </w:tc>
        <w:tc>
          <w:tcPr>
            <w:tcW w:w="1140" w:type="dxa"/>
            <w:vAlign w:val="bottom"/>
            <w:tcBorders>
              <w:top w:val="single" w:sz="8" w:color="auto"/>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3"/>
                <w:szCs w:val="23"/>
                <w:color w:val="auto"/>
                <w:vertAlign w:val="superscript"/>
              </w:rPr>
              <w:t>(1)</w:t>
            </w:r>
          </w:p>
        </w:tc>
        <w:tc>
          <w:tcPr>
            <w:tcW w:w="114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tcPr>
          <w:p>
            <w:pPr>
              <w:spacing w:after="0"/>
              <w:rPr>
                <w:sz w:val="19"/>
                <w:szCs w:val="19"/>
                <w:color w:val="auto"/>
              </w:rPr>
            </w:pPr>
          </w:p>
        </w:tc>
        <w:tc>
          <w:tcPr>
            <w:tcW w:w="1180" w:type="dxa"/>
            <w:vAlign w:val="bottom"/>
            <w:tcBorders>
              <w:bottom w:val="single" w:sz="8" w:color="auto"/>
            </w:tcBorders>
          </w:tcPr>
          <w:p>
            <w:pPr>
              <w:jc w:val="right"/>
              <w:ind w:right="97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 Recorded within cost of goods sold and SG&amp;A expenses</w:t>
      </w: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incurred the following charges during the thirty-nine weeks ended November 2, 2024 (in thousands):</w:t>
      </w:r>
    </w:p>
    <w:p>
      <w:pPr>
        <w:spacing w:after="0" w:line="273"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2760" w:type="dxa"/>
            <w:vAlign w:val="bottom"/>
            <w:gridSpan w:val="4"/>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Reportable Segment</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Unallocated Corporate</w:t>
            </w: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350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VB Direct</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VB Indirect</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Total Expense</w:t>
            </w:r>
          </w:p>
        </w:tc>
        <w:tc>
          <w:tcPr>
            <w:tcW w:w="0" w:type="dxa"/>
            <w:vAlign w:val="bottom"/>
          </w:tcPr>
          <w:p>
            <w:pPr>
              <w:spacing w:after="0"/>
              <w:rPr>
                <w:sz w:val="1"/>
                <w:szCs w:val="1"/>
                <w:color w:val="auto"/>
              </w:rPr>
            </w:pPr>
          </w:p>
        </w:tc>
      </w:tr>
      <w:tr>
        <w:trPr>
          <w:trHeight w:val="195"/>
        </w:trPr>
        <w:tc>
          <w:tcPr>
            <w:tcW w:w="35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charges</w:t>
            </w:r>
          </w:p>
        </w:tc>
        <w:tc>
          <w:tcPr>
            <w:tcW w:w="1140" w:type="dxa"/>
            <w:vAlign w:val="bottom"/>
            <w:tcBorders>
              <w:top w:val="single" w:sz="8" w:color="auto"/>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3"/>
                <w:szCs w:val="23"/>
                <w:color w:val="auto"/>
                <w:vertAlign w:val="superscript"/>
              </w:rPr>
              <w:t>(1)</w:t>
            </w:r>
          </w:p>
        </w:tc>
        <w:tc>
          <w:tcPr>
            <w:tcW w:w="114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19"/>
                <w:szCs w:val="19"/>
                <w:color w:val="auto"/>
              </w:rPr>
            </w:pPr>
          </w:p>
        </w:tc>
        <w:tc>
          <w:tcPr>
            <w:tcW w:w="1140" w:type="dxa"/>
            <w:vAlign w:val="bottom"/>
            <w:tcBorders>
              <w:bottom w:val="single" w:sz="8" w:color="auto"/>
            </w:tcBorders>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 Recorded within cost of goods sold and SG&amp;A expenses</w:t>
      </w: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 summary of charges and related liabilities associated with the cost savings initiatives and severance charges are as follows (in thousands):</w:t>
      </w:r>
    </w:p>
    <w:p>
      <w:pPr>
        <w:sectPr>
          <w:pgSz w:w="11900" w:h="16838" w:orient="portrait"/>
          <w:cols w:equalWidth="0" w:num="1">
            <w:col w:w="10740"/>
          </w:cols>
          <w:pgMar w:left="320" w:top="117"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Liability as of February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-136525</wp:posOffset>
            </wp:positionV>
            <wp:extent cx="624078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40780" cy="154305"/>
                    </a:xfrm>
                    <a:prstGeom prst="rect">
                      <a:avLst/>
                    </a:prstGeom>
                    <a:noFill/>
                  </pic:spPr>
                </pic:pic>
              </a:graphicData>
            </a:graphic>
          </wp:anchor>
        </w:drawing>
      </w:r>
    </w:p>
    <w:p>
      <w:pPr>
        <w:spacing w:after="0" w:line="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Fiscal 2025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624078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40780" cy="146050"/>
                    </a:xfrm>
                    <a:prstGeom prst="rect">
                      <a:avLst/>
                    </a:prstGeom>
                    <a:noFill/>
                  </pic:spPr>
                </pic:pic>
              </a:graphicData>
            </a:graphic>
          </wp:anchor>
        </w:drawing>
      </w:r>
    </w:p>
    <w:p>
      <w:pPr>
        <w:spacing w:after="0" w:line="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Cash payments</w:t>
      </w:r>
    </w:p>
    <w:p>
      <w:pPr>
        <w:spacing w:after="0" w:line="5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Liability as of November 2, 2024</w:t>
      </w:r>
      <w:r>
        <w:rPr>
          <w:rFonts w:ascii="Times New Roman" w:cs="Times New Roman" w:eastAsia="Times New Roman" w:hAnsi="Times New Roman"/>
          <w:sz w:val="23"/>
          <w:szCs w:val="23"/>
          <w:color w:val="auto"/>
          <w:vertAlign w:val="superscript"/>
        </w:rPr>
        <w:t>(1)</w:t>
      </w:r>
    </w:p>
    <w:p>
      <w:pPr>
        <w:spacing w:after="0" w:line="4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(1) Remaining liability is recorded within accrued employment costs</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Severance Charges and Cash</w:t>
      </w:r>
    </w:p>
    <w:p>
      <w:pPr>
        <w:jc w:val="center"/>
        <w:ind w:right="260"/>
        <w:spacing w:after="0" w:line="207" w:lineRule="auto"/>
        <w:rPr>
          <w:sz w:val="20"/>
          <w:szCs w:val="20"/>
          <w:color w:val="auto"/>
        </w:rPr>
      </w:pPr>
      <w:r>
        <w:rPr>
          <w:rFonts w:ascii="Times New Roman" w:cs="Times New Roman" w:eastAsia="Times New Roman" w:hAnsi="Times New Roman"/>
          <w:sz w:val="14"/>
          <w:szCs w:val="14"/>
          <w:b w:val="1"/>
          <w:bCs w:val="1"/>
          <w:color w:val="auto"/>
        </w:rPr>
        <w:t>Retention Payment Acceleration</w:t>
      </w:r>
    </w:p>
    <w:tbl>
      <w:tblPr>
        <w:tblLayout w:type="fixed"/>
        <w:tblInd w:w="0" w:type="dxa"/>
        <w:tblCellMar>
          <w:top w:w="0" w:type="dxa"/>
          <w:left w:w="0" w:type="dxa"/>
          <w:bottom w:w="0" w:type="dxa"/>
          <w:right w:w="0" w:type="dxa"/>
        </w:tblCellMar>
      </w:tblPr>
      <w:tr>
        <w:trPr>
          <w:trHeight w:val="205"/>
        </w:trPr>
        <w:tc>
          <w:tcPr>
            <w:tcW w:w="4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614"/>
              <w:spacing w:after="0" w:line="206" w:lineRule="exact"/>
              <w:rPr>
                <w:sz w:val="20"/>
                <w:szCs w:val="20"/>
                <w:color w:val="auto"/>
              </w:rPr>
            </w:pPr>
            <w:r>
              <w:rPr>
                <w:rFonts w:ascii="Times New Roman" w:cs="Times New Roman" w:eastAsia="Times New Roman" w:hAnsi="Times New Roman"/>
                <w:sz w:val="14"/>
                <w:szCs w:val="14"/>
                <w:b w:val="1"/>
                <w:bCs w:val="1"/>
                <w:color w:val="auto"/>
              </w:rPr>
              <w:t xml:space="preserve">Charges </w:t>
            </w:r>
            <w:r>
              <w:rPr>
                <w:rFonts w:ascii="Times New Roman" w:cs="Times New Roman" w:eastAsia="Times New Roman" w:hAnsi="Times New Roman"/>
                <w:sz w:val="18"/>
                <w:szCs w:val="18"/>
                <w:b w:val="1"/>
                <w:bCs w:val="1"/>
                <w:color w:val="auto"/>
                <w:vertAlign w:val="superscript"/>
              </w:rPr>
              <w:t>(1)</w:t>
            </w:r>
          </w:p>
        </w:tc>
      </w:tr>
      <w:tr>
        <w:trPr>
          <w:trHeight w:val="218"/>
        </w:trPr>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r>
      <w:tr>
        <w:trPr>
          <w:trHeight w:val="230"/>
        </w:trPr>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r>
      <w:tr>
        <w:trPr>
          <w:trHeight w:val="234"/>
        </w:trPr>
        <w:tc>
          <w:tcPr>
            <w:tcW w:w="4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w:t>
            </w:r>
          </w:p>
        </w:tc>
      </w:tr>
      <w:tr>
        <w:trPr>
          <w:trHeight w:val="223"/>
        </w:trPr>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437" w:lineRule="exact"/>
        <w:rPr>
          <w:sz w:val="20"/>
          <w:szCs w:val="20"/>
          <w:color w:val="auto"/>
        </w:rPr>
      </w:pPr>
    </w:p>
    <w:p>
      <w:pPr>
        <w:sectPr>
          <w:pgSz w:w="11900" w:h="16838" w:orient="portrait"/>
          <w:cols w:equalWidth="0" w:num="2">
            <w:col w:w="7680" w:space="720"/>
            <w:col w:w="2340"/>
          </w:cols>
          <w:pgMar w:left="320" w:top="117" w:right="8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17" w:right="8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107" w:lineRule="exact"/>
        <w:rPr>
          <w:rFonts w:ascii="Times New Roman" w:cs="Times New Roman" w:eastAsia="Times New Roman" w:hAnsi="Times New Roman"/>
          <w:sz w:val="18"/>
          <w:szCs w:val="18"/>
          <w:b w:val="1"/>
          <w:bCs w:val="1"/>
          <w:color w:val="auto"/>
        </w:rPr>
      </w:pPr>
    </w:p>
    <w:p>
      <w:pPr>
        <w:ind w:left="660" w:right="1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two operating segments, which are also its reportable segments: VB Direct and VB Indirect. During the thirteen weeks ended May 3, 2025, the Company completed the sale of its wholly owned subsidiary, Creative Genius, also referred to as Pura Vida and was the Company's third reporting segment. Refer to Note 14 for additional information. These operating segments are components of the Company for which separate financial information is available and for which operating results are evaluated on a regular basis by the chief operating decision maker ("CODM") in deciding how to allocate resources and in assessing the performance of the segments. The Company's CODM is our Executive Chairman, who is serving as the interim Chief Executive Officer.</w:t>
      </w:r>
    </w:p>
    <w:p>
      <w:pPr>
        <w:spacing w:after="0" w:line="52" w:lineRule="exact"/>
        <w:rPr>
          <w:rFonts w:ascii="Times New Roman" w:cs="Times New Roman" w:eastAsia="Times New Roman" w:hAnsi="Times New Roman"/>
          <w:sz w:val="18"/>
          <w:szCs w:val="18"/>
          <w:b w:val="1"/>
          <w:bCs w:val="1"/>
          <w:color w:val="auto"/>
        </w:rPr>
      </w:pPr>
    </w:p>
    <w:p>
      <w:pPr>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VB Direct segment includes Vera Bradley full-line and outlet stores; e-commerce sites (verabradley.com, outlet.verabradley.com, and international.verabradley.com); and the Vera Bradley annual outlet sale. Revenues generated from this segment are driven through the sale of Vera Bradley-branded products from Vera Bradley to end consumers.</w:t>
      </w:r>
    </w:p>
    <w:p>
      <w:pPr>
        <w:spacing w:after="0" w:line="54" w:lineRule="exact"/>
        <w:rPr>
          <w:rFonts w:ascii="Times New Roman" w:cs="Times New Roman" w:eastAsia="Times New Roman" w:hAnsi="Times New Roman"/>
          <w:sz w:val="18"/>
          <w:szCs w:val="18"/>
          <w:b w:val="1"/>
          <w:bCs w:val="1"/>
          <w:color w:val="auto"/>
        </w:rPr>
      </w:pPr>
    </w:p>
    <w:p>
      <w:pPr>
        <w:ind w:left="660" w:right="2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VB Indirect segment represents revenues generated through the distribution of Vera Bradley-branded products to specialty retailers representing approximately 1,000 locations, substantially all of which are located in the United States; key accounts, which include department stores, national accounts, third-party e-commerce sites, and third-party inventory liquidators; and royalties recognized through licensing agreements related to the Vera Bradley brand.</w:t>
      </w:r>
    </w:p>
    <w:p>
      <w:pPr>
        <w:spacing w:after="0" w:line="58" w:lineRule="exact"/>
        <w:rPr>
          <w:rFonts w:ascii="Times New Roman" w:cs="Times New Roman" w:eastAsia="Times New Roman" w:hAnsi="Times New Roman"/>
          <w:sz w:val="18"/>
          <w:szCs w:val="18"/>
          <w:b w:val="1"/>
          <w:bCs w:val="1"/>
          <w:color w:val="auto"/>
        </w:rPr>
      </w:pPr>
    </w:p>
    <w:p>
      <w:pPr>
        <w:ind w:left="660" w:right="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Corporate costs represent the Company’s administrative expenses, which include, but are not limited to: human resources, legal, finance, information technology, design, product development, merchandising, corporate-level marketing and advertising, and various other corporate-level-activity-related expenses not directly attributable to a reportable segment. Income earned under the Transition Services Agreement ("TSA") resulting from the sale of Creative Genius is netted against these unallocated corporate expenses. All intercompany-related activities are eliminated in consolidation and are excluded from the segment reporting.</w:t>
      </w:r>
    </w:p>
    <w:p>
      <w:pPr>
        <w:spacing w:after="0" w:line="48" w:lineRule="exact"/>
        <w:rPr>
          <w:rFonts w:ascii="Times New Roman" w:cs="Times New Roman" w:eastAsia="Times New Roman" w:hAnsi="Times New Roman"/>
          <w:sz w:val="18"/>
          <w:szCs w:val="18"/>
          <w:b w:val="1"/>
          <w:bCs w:val="1"/>
          <w:color w:val="auto"/>
        </w:rPr>
      </w:pPr>
    </w:p>
    <w:p>
      <w:pPr>
        <w:ind w:left="660" w:right="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CODM’s primary or key performance indicator for evaluating segment operating results is operating income. The CODM uses operating income for each segment predominantly in the annual budget and forecasting process. The CODM considers budget-to-actual variances on a quarterly basis for this key performance operating measure when making decisions about the allocation of operating and capital resources to each segment. The CODM also uses segment operating income to assess the performance of each segment by comparing the results of each segment with one another and in determining the compensation of certain employees. The CODM reviews cost of sales and SG&amp;A expense on a consolidated basis.</w:t>
      </w:r>
    </w:p>
    <w:p>
      <w:pPr>
        <w:spacing w:after="0" w:line="65" w:lineRule="exact"/>
        <w:rPr>
          <w:rFonts w:ascii="Times New Roman" w:cs="Times New Roman" w:eastAsia="Times New Roman" w:hAnsi="Times New Roman"/>
          <w:sz w:val="18"/>
          <w:szCs w:val="18"/>
          <w:b w:val="1"/>
          <w:bCs w:val="1"/>
          <w:color w:val="auto"/>
        </w:rPr>
      </w:pPr>
    </w:p>
    <w:p>
      <w:pPr>
        <w:jc w:val="both"/>
        <w:ind w:left="660" w:right="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accounting policies of the segments are the same as those described in Note 2. The Company does not report depreciation or amortization expense, total assets, or capital expenditures by segment as such information is neither used by management nor accounted for at the segment level.</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left="660" w:right="380"/>
        <w:spacing w:after="0" w:line="263" w:lineRule="auto"/>
        <w:rPr>
          <w:sz w:val="20"/>
          <w:szCs w:val="20"/>
          <w:color w:val="auto"/>
        </w:rPr>
      </w:pPr>
      <w:r>
        <w:rPr>
          <w:rFonts w:ascii="Times New Roman" w:cs="Times New Roman" w:eastAsia="Times New Roman" w:hAnsi="Times New Roman"/>
          <w:sz w:val="18"/>
          <w:szCs w:val="18"/>
          <w:color w:val="auto"/>
        </w:rPr>
        <w:t>Net revenues, cost of sales, other segment expenses, and operating income information for the Company’s reportable segments, as well as a reconciliation to loss from continuing operations before income taxes during the thirteen and thirty-nine weeks ended November 1, 2025 and November 2, 2024, respectively, consisted of the following (in thousands):</w:t>
      </w:r>
    </w:p>
    <w:p>
      <w:pPr>
        <w:spacing w:after="0" w:line="2"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6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40" w:type="dxa"/>
            <w:vAlign w:val="bottom"/>
          </w:tcPr>
          <w:p>
            <w:pPr>
              <w:spacing w:after="0"/>
              <w:rPr>
                <w:sz w:val="16"/>
                <w:szCs w:val="16"/>
                <w:color w:val="auto"/>
              </w:rPr>
            </w:pPr>
          </w:p>
        </w:tc>
        <w:tc>
          <w:tcPr>
            <w:tcW w:w="2940" w:type="dxa"/>
            <w:vAlign w:val="bottom"/>
            <w:gridSpan w:val="4"/>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23"/>
        </w:trPr>
        <w:tc>
          <w:tcPr>
            <w:tcW w:w="3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3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2"/>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November 1,</w:t>
            </w:r>
          </w:p>
        </w:tc>
        <w:tc>
          <w:tcPr>
            <w:tcW w:w="2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272"/>
              <w:spacing w:after="0" w:line="129" w:lineRule="exact"/>
              <w:rPr>
                <w:sz w:val="20"/>
                <w:szCs w:val="20"/>
                <w:color w:val="auto"/>
              </w:rPr>
            </w:pPr>
            <w:r>
              <w:rPr>
                <w:rFonts w:ascii="Times New Roman" w:cs="Times New Roman" w:eastAsia="Times New Roman" w:hAnsi="Times New Roman"/>
                <w:sz w:val="14"/>
                <w:szCs w:val="14"/>
                <w:b w:val="1"/>
                <w:bCs w:val="1"/>
                <w:color w:val="auto"/>
              </w:rPr>
              <w:t>November 2,</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November 1,</w:t>
            </w:r>
          </w:p>
        </w:tc>
        <w:tc>
          <w:tcPr>
            <w:tcW w:w="2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right"/>
              <w:ind w:right="292"/>
              <w:spacing w:after="0" w:line="129" w:lineRule="exact"/>
              <w:rPr>
                <w:sz w:val="20"/>
                <w:szCs w:val="20"/>
                <w:color w:val="auto"/>
              </w:rPr>
            </w:pPr>
            <w:r>
              <w:rPr>
                <w:rFonts w:ascii="Times New Roman" w:cs="Times New Roman" w:eastAsia="Times New Roman" w:hAnsi="Times New Roman"/>
                <w:sz w:val="14"/>
                <w:szCs w:val="14"/>
                <w:b w:val="1"/>
                <w:bCs w:val="1"/>
                <w:color w:val="auto"/>
              </w:rPr>
              <w:t>November 2,</w:t>
            </w:r>
          </w:p>
        </w:tc>
        <w:tc>
          <w:tcPr>
            <w:tcW w:w="0" w:type="dxa"/>
            <w:vAlign w:val="bottom"/>
          </w:tcPr>
          <w:p>
            <w:pPr>
              <w:spacing w:after="0"/>
              <w:rPr>
                <w:sz w:val="1"/>
                <w:szCs w:val="1"/>
                <w:color w:val="auto"/>
              </w:rPr>
            </w:pPr>
          </w:p>
        </w:tc>
      </w:tr>
      <w:tr>
        <w:trPr>
          <w:trHeight w:val="196"/>
        </w:trPr>
        <w:tc>
          <w:tcPr>
            <w:tcW w:w="33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net revenues:</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VB Direct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49,683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52,475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153,280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181,140</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VB Indirect</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51,294</w:t>
            </w:r>
          </w:p>
        </w:tc>
        <w:tc>
          <w:tcPr>
            <w:tcW w:w="0" w:type="dxa"/>
            <w:vAlign w:val="bottom"/>
          </w:tcPr>
          <w:p>
            <w:pPr>
              <w:spacing w:after="0"/>
              <w:rPr>
                <w:sz w:val="1"/>
                <w:szCs w:val="1"/>
                <w:color w:val="auto"/>
              </w:rPr>
            </w:pPr>
          </w:p>
        </w:tc>
      </w:tr>
      <w:tr>
        <w:trPr>
          <w:trHeight w:val="223"/>
        </w:trPr>
        <w:tc>
          <w:tcPr>
            <w:tcW w:w="33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62,253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70,483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184,763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232,434</w:t>
            </w: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cost of sales:</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VB Direct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23,088</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79,364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85,142</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VB Indirect</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28,126</w:t>
            </w:r>
          </w:p>
        </w:tc>
        <w:tc>
          <w:tcPr>
            <w:tcW w:w="0" w:type="dxa"/>
            <w:vAlign w:val="bottom"/>
          </w:tcPr>
          <w:p>
            <w:pPr>
              <w:spacing w:after="0"/>
              <w:rPr>
                <w:sz w:val="1"/>
                <w:szCs w:val="1"/>
                <w:color w:val="auto"/>
              </w:rPr>
            </w:pPr>
          </w:p>
        </w:tc>
      </w:tr>
      <w:tr>
        <w:trPr>
          <w:trHeight w:val="223"/>
        </w:trPr>
        <w:tc>
          <w:tcPr>
            <w:tcW w:w="3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36,067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32,066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100,313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113,268</w:t>
            </w:r>
          </w:p>
        </w:tc>
        <w:tc>
          <w:tcPr>
            <w:tcW w:w="0" w:type="dxa"/>
            <w:vAlign w:val="bottom"/>
          </w:tcPr>
          <w:p>
            <w:pPr>
              <w:spacing w:after="0"/>
              <w:rPr>
                <w:sz w:val="1"/>
                <w:szCs w:val="1"/>
                <w:color w:val="auto"/>
              </w:rPr>
            </w:pPr>
          </w:p>
        </w:tc>
      </w:tr>
      <w:tr>
        <w:trPr>
          <w:trHeight w:val="209"/>
        </w:trPr>
        <w:tc>
          <w:tcPr>
            <w:tcW w:w="334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color w:val="auto"/>
              </w:rPr>
              <w:t xml:space="preserve">Other segment expenses, net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VB Direct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67,432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76,468</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VB Indirect</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8,531</w:t>
            </w:r>
          </w:p>
        </w:tc>
        <w:tc>
          <w:tcPr>
            <w:tcW w:w="0" w:type="dxa"/>
            <w:vAlign w:val="bottom"/>
          </w:tcPr>
          <w:p>
            <w:pPr>
              <w:spacing w:after="0"/>
              <w:rPr>
                <w:sz w:val="1"/>
                <w:szCs w:val="1"/>
                <w:color w:val="auto"/>
              </w:rPr>
            </w:pPr>
          </w:p>
        </w:tc>
      </w:tr>
      <w:tr>
        <w:trPr>
          <w:trHeight w:val="223"/>
        </w:trPr>
        <w:tc>
          <w:tcPr>
            <w:tcW w:w="3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22,618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30,245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72,910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84,999</w:t>
            </w:r>
          </w:p>
        </w:tc>
        <w:tc>
          <w:tcPr>
            <w:tcW w:w="0" w:type="dxa"/>
            <w:vAlign w:val="bottom"/>
          </w:tcPr>
          <w:p>
            <w:pPr>
              <w:spacing w:after="0"/>
              <w:rPr>
                <w:sz w:val="1"/>
                <w:szCs w:val="1"/>
                <w:color w:val="auto"/>
              </w:rPr>
            </w:pPr>
          </w:p>
        </w:tc>
      </w:tr>
      <w:tr>
        <w:trPr>
          <w:trHeight w:val="20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VB Direct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19,530</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VB Indirect</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14,637</w:t>
            </w:r>
          </w:p>
        </w:tc>
        <w:tc>
          <w:tcPr>
            <w:tcW w:w="0" w:type="dxa"/>
            <w:vAlign w:val="bottom"/>
          </w:tcPr>
          <w:p>
            <w:pPr>
              <w:spacing w:after="0"/>
              <w:rPr>
                <w:sz w:val="1"/>
                <w:szCs w:val="1"/>
                <w:color w:val="auto"/>
              </w:rPr>
            </w:pPr>
          </w:p>
        </w:tc>
      </w:tr>
      <w:tr>
        <w:trPr>
          <w:trHeight w:val="223"/>
        </w:trPr>
        <w:tc>
          <w:tcPr>
            <w:tcW w:w="3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34,167</w:t>
            </w:r>
          </w:p>
        </w:tc>
        <w:tc>
          <w:tcPr>
            <w:tcW w:w="0" w:type="dxa"/>
            <w:vAlign w:val="bottom"/>
          </w:tcPr>
          <w:p>
            <w:pPr>
              <w:spacing w:after="0"/>
              <w:rPr>
                <w:sz w:val="1"/>
                <w:szCs w:val="1"/>
                <w:color w:val="auto"/>
              </w:rPr>
            </w:pPr>
          </w:p>
        </w:tc>
      </w:tr>
      <w:tr>
        <w:trPr>
          <w:trHeight w:val="20"/>
        </w:trPr>
        <w:tc>
          <w:tcPr>
            <w:tcW w:w="3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Reconciliation:</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34,167</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(50,544)</w:t>
            </w:r>
          </w:p>
        </w:tc>
        <w:tc>
          <w:tcPr>
            <w:tcW w:w="0" w:type="dxa"/>
            <w:vAlign w:val="bottom"/>
          </w:tcPr>
          <w:p>
            <w:pPr>
              <w:spacing w:after="0"/>
              <w:rPr>
                <w:sz w:val="1"/>
                <w:szCs w:val="1"/>
                <w:color w:val="auto"/>
              </w:rPr>
            </w:pPr>
          </w:p>
        </w:tc>
      </w:tr>
      <w:tr>
        <w:trPr>
          <w:trHeight w:val="230"/>
        </w:trPr>
        <w:tc>
          <w:tcPr>
            <w:tcW w:w="3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Interest (expense) income</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r>
        <w:trPr>
          <w:trHeight w:val="155"/>
        </w:trPr>
        <w:tc>
          <w:tcPr>
            <w:tcW w:w="33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(Loss) income from continuing operations</w:t>
            </w: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(12,309)</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(8,138)</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(34,888)</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(15,673)</w:t>
            </w:r>
          </w:p>
        </w:tc>
        <w:tc>
          <w:tcPr>
            <w:tcW w:w="0" w:type="dxa"/>
            <w:vAlign w:val="bottom"/>
          </w:tcPr>
          <w:p>
            <w:pPr>
              <w:spacing w:after="0"/>
              <w:rPr>
                <w:sz w:val="1"/>
                <w:szCs w:val="1"/>
                <w:color w:val="auto"/>
              </w:rPr>
            </w:pPr>
          </w:p>
        </w:tc>
      </w:tr>
      <w:tr>
        <w:trPr>
          <w:trHeight w:val="223"/>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before income taxes</w:t>
            </w: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ind w:left="920" w:hanging="246"/>
        <w:spacing w:after="0"/>
        <w:tabs>
          <w:tab w:leader="none" w:pos="9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expenses, net include selling, general and administrative expenses and are net of other income.</w:t>
      </w:r>
    </w:p>
    <w:p>
      <w:pPr>
        <w:spacing w:after="0" w:line="200" w:lineRule="exact"/>
        <w:rPr>
          <w:rFonts w:ascii="Times New Roman" w:cs="Times New Roman" w:eastAsia="Times New Roman" w:hAnsi="Times New Roman"/>
          <w:sz w:val="18"/>
          <w:szCs w:val="18"/>
          <w:color w:val="auto"/>
        </w:rPr>
      </w:pPr>
    </w:p>
    <w:p>
      <w:pPr>
        <w:spacing w:after="0" w:line="21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Discontinued Operations</w:t>
      </w:r>
    </w:p>
    <w:p>
      <w:pPr>
        <w:spacing w:after="0" w:line="107" w:lineRule="exact"/>
        <w:rPr>
          <w:rFonts w:ascii="Times New Roman" w:cs="Times New Roman" w:eastAsia="Times New Roman" w:hAnsi="Times New Roman"/>
          <w:sz w:val="18"/>
          <w:szCs w:val="18"/>
          <w:b w:val="1"/>
          <w:bCs w:val="1"/>
          <w:color w:val="auto"/>
        </w:rPr>
      </w:pPr>
    </w:p>
    <w:p>
      <w:pPr>
        <w:ind w:left="660"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11, 2025, the Company completed the sale of Creative Genius pursuant to an Interest Purchase Agreement (the “Agreement”) to sell one hundred percent (100%) of Creative Genius, which operates under the name Pura Vida Bracelets. The sale consummated on March 31, 2025. In connection with the transaction, the Company received total consideration of $3.5 million, consisting of a combination of cash consideration, subject to net working capital and net cash adjustments as well as contingent consideration.</w:t>
      </w:r>
    </w:p>
    <w:p>
      <w:pPr>
        <w:spacing w:after="0" w:line="44" w:lineRule="exact"/>
        <w:rPr>
          <w:rFonts w:ascii="Times New Roman" w:cs="Times New Roman" w:eastAsia="Times New Roman" w:hAnsi="Times New Roman"/>
          <w:sz w:val="18"/>
          <w:szCs w:val="18"/>
          <w:b w:val="1"/>
          <w:bCs w:val="1"/>
          <w:color w:val="auto"/>
        </w:rPr>
      </w:pPr>
    </w:p>
    <w:p>
      <w:pPr>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closing, the Company received cash proceeds of $0.9 million. Cash proceeds totaled $1.0 million for the thirty-nine weeks ended November 1, 2025. In addition, the Company is entitled to receive contingent consideration with an estimated fair value of $2.5 million, based on the present value of expected future payments. The contingent consideration is calculated as 5% of total sales generated by the divested business, as operated by the buyer, net of customary shipping costs, during the earn-out period specified in the agreement. The earn-out period and related terms are consistent with customary provisions for transactions of this nature. The fair value of the contingent consideration was determined using a probability-weighted discounted cash flow analysis based on internal projections of the buyer’s expected future sales. The fair value measurement is classified as Level 3 within the fair value hierarchy due to the use of unobservable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-2165350</wp:posOffset>
            </wp:positionV>
            <wp:extent cx="41148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11480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left="660" w:right="360"/>
        <w:spacing w:after="0" w:line="282" w:lineRule="auto"/>
        <w:rPr>
          <w:sz w:val="20"/>
          <w:szCs w:val="20"/>
          <w:color w:val="auto"/>
        </w:rPr>
      </w:pPr>
      <w:r>
        <w:rPr>
          <w:rFonts w:ascii="Times New Roman" w:cs="Times New Roman" w:eastAsia="Times New Roman" w:hAnsi="Times New Roman"/>
          <w:sz w:val="18"/>
          <w:szCs w:val="18"/>
          <w:color w:val="auto"/>
        </w:rPr>
        <w:t>The Company will assess changes in the fair value of the contingent consideration at each reporting date, with any adjustments recognized in earnings in the period in which such changes are identified.</w:t>
      </w:r>
    </w:p>
    <w:p>
      <w:pPr>
        <w:spacing w:after="0" w:line="175"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The Company recorded a net loss on disposal of $15.2 million for the thirty-nine weeks ended November 1, 2025. The loss on sale is presented as part of results of the discontinued operations.</w:t>
      </w:r>
    </w:p>
    <w:p>
      <w:pPr>
        <w:spacing w:after="0" w:line="41" w:lineRule="exact"/>
        <w:rPr>
          <w:sz w:val="20"/>
          <w:szCs w:val="20"/>
          <w:color w:val="auto"/>
        </w:rPr>
      </w:pPr>
    </w:p>
    <w:p>
      <w:pPr>
        <w:ind w:left="660" w:right="240"/>
        <w:spacing w:after="0" w:line="282" w:lineRule="auto"/>
        <w:rPr>
          <w:sz w:val="20"/>
          <w:szCs w:val="20"/>
          <w:color w:val="auto"/>
        </w:rPr>
      </w:pPr>
      <w:r>
        <w:rPr>
          <w:rFonts w:ascii="Times New Roman" w:cs="Times New Roman" w:eastAsia="Times New Roman" w:hAnsi="Times New Roman"/>
          <w:sz w:val="18"/>
          <w:szCs w:val="18"/>
          <w:color w:val="auto"/>
        </w:rPr>
        <w:t>The results of operations for the Pura Vida business is reported as discontinued operations in the Consolidated Statements of Operations for all periods presented in this Form 10-Q. This business was historically presented as its own reportable segment.</w:t>
      </w:r>
    </w:p>
    <w:p>
      <w:pPr>
        <w:spacing w:after="0" w:line="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Results of discontinued operations were as follows for the thirteen and thirty-nine weeks ended November 1, 2025 and November 2, 2024:</w:t>
      </w:r>
    </w:p>
    <w:p>
      <w:pPr>
        <w:spacing w:after="0" w:line="124"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2900" w:type="dxa"/>
            <w:vAlign w:val="bottom"/>
            <w:gridSpan w:val="6"/>
          </w:tcPr>
          <w:p>
            <w:pPr>
              <w:ind w:left="6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00" w:type="dxa"/>
            <w:vAlign w:val="bottom"/>
          </w:tcPr>
          <w:p>
            <w:pPr>
              <w:spacing w:after="0"/>
              <w:rPr>
                <w:sz w:val="16"/>
                <w:szCs w:val="16"/>
                <w:color w:val="auto"/>
              </w:rPr>
            </w:pPr>
          </w:p>
        </w:tc>
        <w:tc>
          <w:tcPr>
            <w:tcW w:w="2600" w:type="dxa"/>
            <w:vAlign w:val="bottom"/>
            <w:gridSpan w:val="4"/>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23"/>
        </w:trPr>
        <w:tc>
          <w:tcPr>
            <w:tcW w:w="4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31"/>
        </w:trPr>
        <w:tc>
          <w:tcPr>
            <w:tcW w:w="4120" w:type="dxa"/>
            <w:vAlign w:val="bottom"/>
          </w:tcPr>
          <w:p>
            <w:pPr>
              <w:spacing w:after="0"/>
              <w:rPr>
                <w:sz w:val="11"/>
                <w:szCs w:val="11"/>
                <w:color w:val="auto"/>
              </w:rPr>
            </w:pPr>
          </w:p>
        </w:tc>
        <w:tc>
          <w:tcPr>
            <w:tcW w:w="1060" w:type="dxa"/>
            <w:vAlign w:val="bottom"/>
            <w:tcBorders>
              <w:top w:val="single" w:sz="8" w:color="auto"/>
            </w:tcBorders>
          </w:tcPr>
          <w:p>
            <w:pPr>
              <w:jc w:val="center"/>
              <w:ind w:left="204"/>
              <w:spacing w:after="0" w:line="131" w:lineRule="exact"/>
              <w:rPr>
                <w:sz w:val="20"/>
                <w:szCs w:val="20"/>
                <w:color w:val="auto"/>
              </w:rPr>
            </w:pPr>
            <w:r>
              <w:rPr>
                <w:rFonts w:ascii="Times New Roman" w:cs="Times New Roman" w:eastAsia="Times New Roman" w:hAnsi="Times New Roman"/>
                <w:sz w:val="14"/>
                <w:szCs w:val="14"/>
                <w:b w:val="1"/>
                <w:bCs w:val="1"/>
                <w:color w:val="auto"/>
              </w:rPr>
              <w:t>November 1,</w:t>
            </w:r>
          </w:p>
        </w:tc>
        <w:tc>
          <w:tcPr>
            <w:tcW w:w="2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193"/>
              <w:spacing w:after="0" w:line="131" w:lineRule="exact"/>
              <w:rPr>
                <w:sz w:val="20"/>
                <w:szCs w:val="20"/>
                <w:color w:val="auto"/>
              </w:rPr>
            </w:pPr>
            <w:r>
              <w:rPr>
                <w:rFonts w:ascii="Times New Roman" w:cs="Times New Roman" w:eastAsia="Times New Roman" w:hAnsi="Times New Roman"/>
                <w:sz w:val="14"/>
                <w:szCs w:val="14"/>
                <w:b w:val="1"/>
                <w:bCs w:val="1"/>
                <w:color w:val="auto"/>
              </w:rPr>
              <w:t>November 2,</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November 1,</w:t>
            </w: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193"/>
              <w:spacing w:after="0" w:line="131" w:lineRule="exact"/>
              <w:rPr>
                <w:sz w:val="20"/>
                <w:szCs w:val="20"/>
                <w:color w:val="auto"/>
              </w:rPr>
            </w:pPr>
            <w:r>
              <w:rPr>
                <w:rFonts w:ascii="Times New Roman" w:cs="Times New Roman" w:eastAsia="Times New Roman" w:hAnsi="Times New Roman"/>
                <w:sz w:val="14"/>
                <w:szCs w:val="14"/>
                <w:b w:val="1"/>
                <w:bCs w:val="1"/>
                <w:color w:val="auto"/>
              </w:rPr>
              <w:t>November 2,</w:t>
            </w:r>
          </w:p>
        </w:tc>
      </w:tr>
      <w:tr>
        <w:trPr>
          <w:trHeight w:val="195"/>
        </w:trPr>
        <w:tc>
          <w:tcPr>
            <w:tcW w:w="4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060" w:type="dxa"/>
            <w:vAlign w:val="bottom"/>
            <w:shd w:val="clear" w:color="auto" w:fill="CCEEFF"/>
          </w:tcPr>
          <w:p>
            <w:pPr>
              <w:jc w:val="right"/>
              <w:ind w:right="884"/>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39,569</w:t>
            </w: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060" w:type="dxa"/>
            <w:vAlign w:val="bottom"/>
          </w:tcPr>
          <w:p>
            <w:pPr>
              <w:spacing w:after="0"/>
              <w:rPr>
                <w:sz w:val="19"/>
                <w:szCs w:val="19"/>
                <w:color w:val="auto"/>
              </w:rPr>
            </w:pP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16,856</w:t>
            </w:r>
          </w:p>
        </w:tc>
      </w:tr>
      <w:tr>
        <w:trPr>
          <w:trHeight w:val="223"/>
        </w:trPr>
        <w:tc>
          <w:tcPr>
            <w:tcW w:w="41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106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22,713</w:t>
            </w: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60" w:type="dxa"/>
            <w:vAlign w:val="bottom"/>
          </w:tcPr>
          <w:p>
            <w:pPr>
              <w:spacing w:after="0"/>
              <w:rPr>
                <w:sz w:val="19"/>
                <w:szCs w:val="19"/>
                <w:color w:val="auto"/>
              </w:rPr>
            </w:pP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25,381</w:t>
            </w:r>
          </w:p>
        </w:tc>
      </w:tr>
      <w:tr>
        <w:trPr>
          <w:trHeight w:val="230"/>
        </w:trPr>
        <w:tc>
          <w:tcPr>
            <w:tcW w:w="4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income (expense), net </w:t>
            </w:r>
            <w:r>
              <w:rPr>
                <w:rFonts w:ascii="Times New Roman" w:cs="Times New Roman" w:eastAsia="Times New Roman" w:hAnsi="Times New Roman"/>
                <w:sz w:val="23"/>
                <w:szCs w:val="23"/>
                <w:color w:val="auto"/>
                <w:vertAlign w:val="superscript"/>
              </w:rPr>
              <w:t>(1)</w:t>
            </w:r>
          </w:p>
        </w:tc>
        <w:tc>
          <w:tcPr>
            <w:tcW w:w="1060" w:type="dxa"/>
            <w:vAlign w:val="bottom"/>
            <w:shd w:val="clear" w:color="auto" w:fill="CCEEFF"/>
          </w:tcPr>
          <w:p>
            <w:pPr>
              <w:spacing w:after="0"/>
              <w:rPr>
                <w:sz w:val="19"/>
                <w:szCs w:val="19"/>
                <w:color w:val="auto"/>
              </w:rPr>
            </w:pPr>
          </w:p>
        </w:tc>
        <w:tc>
          <w:tcPr>
            <w:tcW w:w="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164"/>
        </w:trPr>
        <w:tc>
          <w:tcPr>
            <w:tcW w:w="4120" w:type="dxa"/>
            <w:vAlign w:val="bottom"/>
          </w:tcPr>
          <w:p>
            <w:pPr>
              <w:ind w:left="220"/>
              <w:spacing w:after="0" w:line="164" w:lineRule="exact"/>
              <w:rPr>
                <w:sz w:val="20"/>
                <w:szCs w:val="20"/>
                <w:color w:val="auto"/>
              </w:rPr>
            </w:pPr>
            <w:r>
              <w:rPr>
                <w:rFonts w:ascii="Times New Roman" w:cs="Times New Roman" w:eastAsia="Times New Roman" w:hAnsi="Times New Roman"/>
                <w:sz w:val="18"/>
                <w:szCs w:val="18"/>
                <w:color w:val="auto"/>
              </w:rPr>
              <w:t>Operating income (loss) from discontinued</w:t>
            </w:r>
          </w:p>
        </w:tc>
        <w:tc>
          <w:tcPr>
            <w:tcW w:w="106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r>
      <w:tr>
        <w:trPr>
          <w:trHeight w:val="234"/>
        </w:trPr>
        <w:tc>
          <w:tcPr>
            <w:tcW w:w="4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operations</w:t>
            </w:r>
          </w:p>
        </w:tc>
        <w:tc>
          <w:tcPr>
            <w:tcW w:w="1060" w:type="dxa"/>
            <w:vAlign w:val="bottom"/>
          </w:tcPr>
          <w:p>
            <w:pPr>
              <w:spacing w:after="0"/>
              <w:rPr>
                <w:sz w:val="20"/>
                <w:szCs w:val="20"/>
                <w:color w:val="auto"/>
              </w:rPr>
            </w:pP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w:t>
            </w: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1060" w:type="dxa"/>
            <w:vAlign w:val="bottom"/>
            <w:shd w:val="clear" w:color="auto" w:fill="CCEEFF"/>
          </w:tcPr>
          <w:p>
            <w:pPr>
              <w:spacing w:after="0"/>
              <w:rPr>
                <w:sz w:val="19"/>
                <w:szCs w:val="19"/>
                <w:color w:val="auto"/>
              </w:rPr>
            </w:pPr>
          </w:p>
        </w:tc>
        <w:tc>
          <w:tcPr>
            <w:tcW w:w="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164"/>
        </w:trPr>
        <w:tc>
          <w:tcPr>
            <w:tcW w:w="4120" w:type="dxa"/>
            <w:vAlign w:val="bottom"/>
          </w:tcPr>
          <w:p>
            <w:pPr>
              <w:ind w:left="220"/>
              <w:spacing w:after="0" w:line="164" w:lineRule="exact"/>
              <w:rPr>
                <w:sz w:val="20"/>
                <w:szCs w:val="20"/>
                <w:color w:val="auto"/>
              </w:rPr>
            </w:pPr>
            <w:r>
              <w:rPr>
                <w:rFonts w:ascii="Times New Roman" w:cs="Times New Roman" w:eastAsia="Times New Roman" w:hAnsi="Times New Roman"/>
                <w:sz w:val="18"/>
                <w:szCs w:val="18"/>
                <w:color w:val="auto"/>
              </w:rPr>
              <w:t>Income (loss) from discontinued operations before</w:t>
            </w:r>
          </w:p>
        </w:tc>
        <w:tc>
          <w:tcPr>
            <w:tcW w:w="106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r>
      <w:tr>
        <w:trPr>
          <w:trHeight w:val="234"/>
        </w:trPr>
        <w:tc>
          <w:tcPr>
            <w:tcW w:w="4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taxes</w:t>
            </w:r>
          </w:p>
        </w:tc>
        <w:tc>
          <w:tcPr>
            <w:tcW w:w="1060" w:type="dxa"/>
            <w:vAlign w:val="bottom"/>
          </w:tcPr>
          <w:p>
            <w:pPr>
              <w:spacing w:after="0"/>
              <w:rPr>
                <w:sz w:val="20"/>
                <w:szCs w:val="20"/>
                <w:color w:val="auto"/>
              </w:rPr>
            </w:pP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60" w:type="dxa"/>
            <w:vAlign w:val="bottom"/>
            <w:shd w:val="clear" w:color="auto" w:fill="CCEEFF"/>
          </w:tcPr>
          <w:p>
            <w:pPr>
              <w:spacing w:after="0"/>
              <w:rPr>
                <w:sz w:val="19"/>
                <w:szCs w:val="19"/>
                <w:color w:val="auto"/>
              </w:rPr>
            </w:pPr>
          </w:p>
        </w:tc>
        <w:tc>
          <w:tcPr>
            <w:tcW w:w="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r>
      <w:tr>
        <w:trPr>
          <w:trHeight w:val="228"/>
        </w:trPr>
        <w:tc>
          <w:tcPr>
            <w:tcW w:w="4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10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(15,163)</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w:t>
            </w:r>
          </w:p>
        </w:tc>
      </w:tr>
    </w:tbl>
    <w:p>
      <w:pPr>
        <w:ind w:left="660" w:right="760" w:firstLine="14"/>
        <w:spacing w:after="0" w:line="490" w:lineRule="auto"/>
        <w:tabs>
          <w:tab w:leader="none" w:pos="93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$15.2 million loss on sale of discontinued operations recorded during the thirty-nine weeks ended November 1, 2025. The Company provides certain transition services to support the divested business in accordance with the Interest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left="660"/>
        <w:spacing w:after="0" w:line="270" w:lineRule="auto"/>
        <w:rPr>
          <w:sz w:val="20"/>
          <w:szCs w:val="20"/>
          <w:color w:val="auto"/>
        </w:rPr>
      </w:pPr>
      <w:r>
        <w:rPr>
          <w:rFonts w:ascii="Times New Roman" w:cs="Times New Roman" w:eastAsia="Times New Roman" w:hAnsi="Times New Roman"/>
          <w:sz w:val="18"/>
          <w:szCs w:val="18"/>
          <w:color w:val="auto"/>
        </w:rPr>
        <w:t>The assets and liabilities of the Pura Vida operations have been reflected as assets and liabilities of discontinued operations in the Consolidated Balance Sheet as of February 1, 2025. The assets and liabilities were as follows:</w:t>
      </w:r>
    </w:p>
    <w:tbl>
      <w:tblPr>
        <w:tblLayout w:type="fixed"/>
        <w:tblInd w:w="660" w:type="dxa"/>
        <w:tblCellMar>
          <w:top w:w="0" w:type="dxa"/>
          <w:left w:w="0" w:type="dxa"/>
          <w:bottom w:w="0" w:type="dxa"/>
          <w:right w:w="0" w:type="dxa"/>
        </w:tblCellMar>
      </w:tblPr>
      <w:tr>
        <w:trPr>
          <w:trHeight w:val="147"/>
        </w:trPr>
        <w:tc>
          <w:tcPr>
            <w:tcW w:w="6980" w:type="dxa"/>
            <w:vAlign w:val="bottom"/>
          </w:tcPr>
          <w:p>
            <w:pPr>
              <w:spacing w:after="0"/>
              <w:rPr>
                <w:sz w:val="12"/>
                <w:szCs w:val="12"/>
                <w:color w:val="auto"/>
              </w:rPr>
            </w:pPr>
          </w:p>
        </w:tc>
        <w:tc>
          <w:tcPr>
            <w:tcW w:w="11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November 1,</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right"/>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February 1,</w:t>
            </w:r>
          </w:p>
        </w:tc>
      </w:tr>
      <w:tr>
        <w:trPr>
          <w:trHeight w:val="196"/>
        </w:trPr>
        <w:tc>
          <w:tcPr>
            <w:tcW w:w="69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2"/>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 of discontinued operations</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3"/>
        </w:trPr>
        <w:tc>
          <w:tcPr>
            <w:tcW w:w="6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120" w:type="dxa"/>
            <w:vAlign w:val="bottom"/>
          </w:tcPr>
          <w:p>
            <w:pPr>
              <w:jc w:val="right"/>
              <w:ind w:right="941"/>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1,738</w:t>
            </w:r>
          </w:p>
        </w:tc>
      </w:tr>
      <w:tr>
        <w:trPr>
          <w:trHeight w:val="219"/>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 net</w:t>
            </w:r>
          </w:p>
        </w:tc>
        <w:tc>
          <w:tcPr>
            <w:tcW w:w="11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w:t>
            </w:r>
          </w:p>
        </w:tc>
      </w:tr>
      <w:tr>
        <w:trPr>
          <w:trHeight w:val="213"/>
        </w:trPr>
        <w:tc>
          <w:tcPr>
            <w:tcW w:w="6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1120" w:type="dxa"/>
            <w:vAlign w:val="bottom"/>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18,578</w:t>
            </w:r>
          </w:p>
        </w:tc>
      </w:tr>
      <w:tr>
        <w:trPr>
          <w:trHeight w:val="219"/>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1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w:t>
            </w:r>
          </w:p>
        </w:tc>
      </w:tr>
      <w:tr>
        <w:trPr>
          <w:trHeight w:val="207"/>
        </w:trPr>
        <w:tc>
          <w:tcPr>
            <w:tcW w:w="69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current assets of discontinued operations</w:t>
            </w:r>
          </w:p>
        </w:tc>
        <w:tc>
          <w:tcPr>
            <w:tcW w:w="1120" w:type="dxa"/>
            <w:vAlign w:val="bottom"/>
            <w:tcBorders>
              <w:top w:val="single" w:sz="8" w:color="auto"/>
              <w:bottom w:val="single" w:sz="8" w:color="auto"/>
            </w:tcBorders>
          </w:tcPr>
          <w:p>
            <w:pPr>
              <w:jc w:val="right"/>
              <w:ind w:right="941"/>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22,361</w:t>
            </w:r>
          </w:p>
        </w:tc>
      </w:tr>
      <w:tr>
        <w:trPr>
          <w:trHeight w:val="212"/>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right-of-use assets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3,729</w:t>
            </w:r>
          </w:p>
        </w:tc>
      </w:tr>
      <w:tr>
        <w:trPr>
          <w:trHeight w:val="213"/>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120" w:type="dxa"/>
            <w:vAlign w:val="bottom"/>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1,628</w:t>
            </w:r>
          </w:p>
        </w:tc>
      </w:tr>
      <w:tr>
        <w:trPr>
          <w:trHeight w:val="21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1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07"/>
        </w:trPr>
        <w:tc>
          <w:tcPr>
            <w:tcW w:w="69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long-term assets of discontinued operations</w:t>
            </w:r>
          </w:p>
        </w:tc>
        <w:tc>
          <w:tcPr>
            <w:tcW w:w="1120" w:type="dxa"/>
            <w:vAlign w:val="bottom"/>
            <w:tcBorders>
              <w:top w:val="single" w:sz="8" w:color="auto"/>
              <w:bottom w:val="single" w:sz="8" w:color="auto"/>
            </w:tcBorders>
          </w:tcPr>
          <w:p>
            <w:pPr>
              <w:jc w:val="right"/>
              <w:ind w:right="941"/>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5,374</w:t>
            </w:r>
          </w:p>
        </w:tc>
      </w:tr>
      <w:tr>
        <w:trPr>
          <w:trHeight w:val="19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of discontinued operations</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3"/>
        </w:trPr>
        <w:tc>
          <w:tcPr>
            <w:tcW w:w="6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1120" w:type="dxa"/>
            <w:vAlign w:val="bottom"/>
          </w:tcPr>
          <w:p>
            <w:pPr>
              <w:jc w:val="right"/>
              <w:ind w:right="941"/>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2,584</w:t>
            </w:r>
          </w:p>
        </w:tc>
      </w:tr>
      <w:tr>
        <w:trPr>
          <w:trHeight w:val="219"/>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employment costs</w:t>
            </w:r>
          </w:p>
        </w:tc>
        <w:tc>
          <w:tcPr>
            <w:tcW w:w="11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w:t>
            </w:r>
          </w:p>
        </w:tc>
      </w:tr>
      <w:tr>
        <w:trPr>
          <w:trHeight w:val="213"/>
        </w:trPr>
        <w:tc>
          <w:tcPr>
            <w:tcW w:w="6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Short-term operating lease liabilities</w:t>
            </w:r>
          </w:p>
        </w:tc>
        <w:tc>
          <w:tcPr>
            <w:tcW w:w="1120" w:type="dxa"/>
            <w:vAlign w:val="bottom"/>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w:t>
            </w:r>
          </w:p>
        </w:tc>
      </w:tr>
      <w:tr>
        <w:trPr>
          <w:trHeight w:val="219"/>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11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1,952</w:t>
            </w:r>
          </w:p>
        </w:tc>
      </w:tr>
      <w:tr>
        <w:trPr>
          <w:trHeight w:val="207"/>
        </w:trPr>
        <w:tc>
          <w:tcPr>
            <w:tcW w:w="69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current liabilities of discontinued operations</w:t>
            </w:r>
          </w:p>
        </w:tc>
        <w:tc>
          <w:tcPr>
            <w:tcW w:w="1120" w:type="dxa"/>
            <w:vAlign w:val="bottom"/>
            <w:tcBorders>
              <w:top w:val="single" w:sz="8" w:color="auto"/>
              <w:bottom w:val="single" w:sz="8" w:color="auto"/>
            </w:tcBorders>
          </w:tcPr>
          <w:p>
            <w:pPr>
              <w:jc w:val="right"/>
              <w:ind w:right="941"/>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6,023</w:t>
            </w:r>
          </w:p>
        </w:tc>
      </w:tr>
      <w:tr>
        <w:trPr>
          <w:trHeight w:val="212"/>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11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3,388</w:t>
            </w:r>
          </w:p>
        </w:tc>
      </w:tr>
      <w:tr>
        <w:trPr>
          <w:trHeight w:val="207"/>
        </w:trPr>
        <w:tc>
          <w:tcPr>
            <w:tcW w:w="69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long-term liabilities of discontinued operations</w:t>
            </w:r>
          </w:p>
        </w:tc>
        <w:tc>
          <w:tcPr>
            <w:tcW w:w="1120" w:type="dxa"/>
            <w:vAlign w:val="bottom"/>
            <w:tcBorders>
              <w:bottom w:val="single" w:sz="8" w:color="auto"/>
            </w:tcBorders>
          </w:tcPr>
          <w:p>
            <w:pPr>
              <w:jc w:val="right"/>
              <w:ind w:right="941"/>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3,388</w:t>
            </w: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cash flows from operating and investing activities for discontinued operations for the thirty-nine weeks ended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November 1, 2025 and November 2, 2024:</w:t>
      </w:r>
    </w:p>
    <w:p>
      <w:pPr>
        <w:spacing w:after="0" w:line="2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40" w:type="dxa"/>
            <w:vAlign w:val="bottom"/>
            <w:gridSpan w:val="3"/>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23"/>
        </w:trPr>
        <w:tc>
          <w:tcPr>
            <w:tcW w:w="6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31"/>
        </w:trPr>
        <w:tc>
          <w:tcPr>
            <w:tcW w:w="6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jc w:val="center"/>
              <w:ind w:right="164"/>
              <w:spacing w:after="0" w:line="131" w:lineRule="exact"/>
              <w:rPr>
                <w:sz w:val="20"/>
                <w:szCs w:val="20"/>
                <w:color w:val="auto"/>
              </w:rPr>
            </w:pPr>
            <w:r>
              <w:rPr>
                <w:rFonts w:ascii="Times New Roman" w:cs="Times New Roman" w:eastAsia="Times New Roman" w:hAnsi="Times New Roman"/>
                <w:sz w:val="14"/>
                <w:szCs w:val="14"/>
                <w:b w:val="1"/>
                <w:bCs w:val="1"/>
                <w:color w:val="auto"/>
              </w:rPr>
              <w:t>November 1,</w:t>
            </w:r>
          </w:p>
        </w:tc>
        <w:tc>
          <w:tcPr>
            <w:tcW w:w="260" w:type="dxa"/>
            <w:vAlign w:val="bottom"/>
          </w:tcPr>
          <w:p>
            <w:pPr>
              <w:spacing w:after="0"/>
              <w:rPr>
                <w:sz w:val="11"/>
                <w:szCs w:val="11"/>
                <w:color w:val="auto"/>
              </w:rPr>
            </w:pPr>
          </w:p>
        </w:tc>
        <w:tc>
          <w:tcPr>
            <w:tcW w:w="1160" w:type="dxa"/>
            <w:vAlign w:val="bottom"/>
          </w:tcPr>
          <w:p>
            <w:pPr>
              <w:jc w:val="right"/>
              <w:ind w:right="204"/>
              <w:spacing w:after="0" w:line="131" w:lineRule="exact"/>
              <w:rPr>
                <w:sz w:val="20"/>
                <w:szCs w:val="20"/>
                <w:color w:val="auto"/>
              </w:rPr>
            </w:pPr>
            <w:r>
              <w:rPr>
                <w:rFonts w:ascii="Times New Roman" w:cs="Times New Roman" w:eastAsia="Times New Roman" w:hAnsi="Times New Roman"/>
                <w:sz w:val="14"/>
                <w:szCs w:val="14"/>
                <w:b w:val="1"/>
                <w:bCs w:val="1"/>
                <w:color w:val="auto"/>
              </w:rPr>
              <w:t>November 2,</w:t>
            </w:r>
          </w:p>
        </w:tc>
      </w:tr>
      <w:tr>
        <w:trPr>
          <w:trHeight w:val="195"/>
        </w:trPr>
        <w:tc>
          <w:tcPr>
            <w:tcW w:w="6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6"/>
                <w:szCs w:val="16"/>
                <w:color w:val="auto"/>
              </w:rPr>
            </w:pPr>
          </w:p>
        </w:tc>
        <w:tc>
          <w:tcPr>
            <w:tcW w:w="1160" w:type="dxa"/>
            <w:vAlign w:val="bottom"/>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1"/>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used in operating activities - discontinued operations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(2,115)</w:t>
            </w:r>
          </w:p>
        </w:tc>
        <w:tc>
          <w:tcPr>
            <w:tcW w:w="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r>
      <w:tr>
        <w:trPr>
          <w:trHeight w:val="210"/>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provided by (used in) investing activities - discontinued operations</w:t>
            </w:r>
          </w:p>
        </w:tc>
        <w:tc>
          <w:tcPr>
            <w:tcW w:w="200" w:type="dxa"/>
            <w:vAlign w:val="bottom"/>
          </w:tcPr>
          <w:p>
            <w:pPr>
              <w:spacing w:after="0"/>
              <w:rPr>
                <w:sz w:val="18"/>
                <w:szCs w:val="18"/>
                <w:color w:val="auto"/>
              </w:rPr>
            </w:pPr>
          </w:p>
        </w:tc>
        <w:tc>
          <w:tcPr>
            <w:tcW w:w="122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w:t>
            </w: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17" w:right="6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following discussion summarizes the significant factors affecting the condensed consolidated operating results, financial condition, liquidity, and cash flows of the Company as of and for the thirteen and thirty-nine weeks ended November 1, 2025 and November 2, 2024. The following discussion should be read in conjunction with our Annual Report on Form 10-K for the fiscal year ended February 1, 2025, and our unaudited condensed consolidated financial statements and the related notes included in Item 1 of this Quarterly Report. The results of operations for the thirteen and thirty-nine weeks ended November 1, 2025, are not necessarily indicative of the results to be expected for the full fiscal year.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Progress, Macroeconomic Factors, and Other Factors Impacting our Financial Condition and Results of Operations</w:t>
      </w:r>
    </w:p>
    <w:p>
      <w:pPr>
        <w:spacing w:after="0" w:line="26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Strategic Progress. </w:t>
      </w:r>
      <w:r>
        <w:rPr>
          <w:rFonts w:ascii="Times New Roman" w:cs="Times New Roman" w:eastAsia="Times New Roman" w:hAnsi="Times New Roman"/>
          <w:sz w:val="18"/>
          <w:szCs w:val="18"/>
          <w:color w:val="auto"/>
        </w:rPr>
        <w:t>We are executing a comprehensive strategy to strengthen our market position by tapping into our brand’s strong emotional connection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consumers. We are simplifying decision-making, removing organizational complexity, and focusing resources on high-impact initiatives. This operational focus, paired with prudent cost management, will allow us to invest in the brand, innovation, and customer experiences, all while driving shareholder value. These improvements are about agility—building a responsive organization to fully leverage our unique brand position.</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newly formed Strategy and Transformation Committee has identified five key initiatives:</w:t>
      </w:r>
    </w:p>
    <w:p>
      <w:pPr>
        <w:spacing w:after="0" w:line="9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u w:val="single" w:color="auto"/>
          <w:color w:val="auto"/>
        </w:rPr>
        <w:t>Sharpening Brand Focus</w:t>
      </w:r>
      <w:r>
        <w:rPr>
          <w:rFonts w:ascii="Times New Roman" w:cs="Times New Roman" w:eastAsia="Times New Roman" w:hAnsi="Times New Roman"/>
          <w:sz w:val="18"/>
          <w:szCs w:val="18"/>
          <w:color w:val="auto"/>
        </w:rPr>
        <w:t>: We are refining our brand strategy to ensure consistent, resonant messaging across all consumer touchpoints. We are revisiting product assortment and style, reintroducing innovation to our core DNA, and emphasizing our heritage in occasion-based bags.</w:t>
      </w:r>
    </w:p>
    <w:p>
      <w:pPr>
        <w:spacing w:after="0" w:line="4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u w:val="single" w:color="auto"/>
          <w:color w:val="auto"/>
        </w:rPr>
        <w:t>Rewiring our digital ecosystem</w:t>
      </w:r>
      <w:r>
        <w:rPr>
          <w:rFonts w:ascii="Times New Roman" w:cs="Times New Roman" w:eastAsia="Times New Roman" w:hAnsi="Times New Roman"/>
          <w:sz w:val="18"/>
          <w:szCs w:val="18"/>
          <w:color w:val="auto"/>
        </w:rPr>
        <w:t>: We are aligning all consumer touchpoints with a cohesive omnichannel experience, ensuring clear brand identity and channel roles supported by cohesive storytelling for customer acquisition and retention.</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Outlet 2.0</w:t>
      </w:r>
      <w:r>
        <w:rPr>
          <w:rFonts w:ascii="Times New Roman" w:cs="Times New Roman" w:eastAsia="Times New Roman" w:hAnsi="Times New Roman"/>
          <w:sz w:val="18"/>
          <w:szCs w:val="18"/>
          <w:color w:val="auto"/>
        </w:rPr>
        <w:t>: We are redefining our outlet strategy by enhancing the customer experience with curated assortments, optimized visuals, and labor efficiency.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transformation will elevate brand engagement and drive profitability, positioning outlets as key drivers of our brand evolution.</w:t>
      </w:r>
    </w:p>
    <w:p>
      <w:pPr>
        <w:spacing w:after="0" w:line="7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u w:val="single" w:color="auto"/>
          <w:color w:val="auto"/>
        </w:rPr>
        <w:t>Resetting our go-to-market</w:t>
      </w:r>
      <w:r>
        <w:rPr>
          <w:rFonts w:ascii="Times New Roman" w:cs="Times New Roman" w:eastAsia="Times New Roman" w:hAnsi="Times New Roman"/>
          <w:sz w:val="18"/>
          <w:szCs w:val="18"/>
          <w:color w:val="auto"/>
        </w:rPr>
        <w:t>: We are scrutinizing every aspect of our operating processes including product development, store labor, promotional strategies, and more to improve efficiency. This holistic review will sharpen focus on high-impact initiatives and retail KPIs across all channels.</w:t>
      </w:r>
    </w:p>
    <w:p>
      <w:pPr>
        <w:spacing w:after="0" w:line="4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u w:val="single" w:color="auto"/>
          <w:color w:val="auto"/>
        </w:rPr>
        <w:t>Reimagining How We Work</w:t>
      </w:r>
      <w:r>
        <w:rPr>
          <w:rFonts w:ascii="Times New Roman" w:cs="Times New Roman" w:eastAsia="Times New Roman" w:hAnsi="Times New Roman"/>
          <w:sz w:val="18"/>
          <w:szCs w:val="18"/>
          <w:color w:val="auto"/>
        </w:rPr>
        <w:t>: We are restructuring our organization to foster collaboration, creativity, and efficiency. As we align our talent and leadership with key growth areas, we are redesigning our structure to drive transformation and streamline costs.</w:t>
      </w:r>
    </w:p>
    <w:p>
      <w:pPr>
        <w:spacing w:after="0" w:line="38"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Macroeconomic and Other Factors. </w:t>
      </w:r>
      <w:r>
        <w:rPr>
          <w:rFonts w:ascii="Times New Roman" w:cs="Times New Roman" w:eastAsia="Times New Roman" w:hAnsi="Times New Roman"/>
          <w:sz w:val="17"/>
          <w:szCs w:val="17"/>
          <w:color w:val="auto"/>
        </w:rPr>
        <w:t>We continue to closely monitor the dynamic economic landscape and are actively managing the impact of elevated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tariff costs. Ongoing inflationary pressures and related macroeconomic factors have continued to affect consumer discretionary spending. As a result, our Vera Bradley outlet and full-line stores continue to experience softer performance through the first nine months of fiscal 2026 with an uptick in the later months. We remain focused on executing our strategic initiatives and adapting to current market conditions to position the business for long-term growth.</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Transition</w:t>
      </w:r>
    </w:p>
    <w:p>
      <w:pPr>
        <w:spacing w:after="0" w:line="108"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On June 11, 2025, the Company announced the departure of its former Chief Executive Officer, Jacqueline Ardrey, and that the Board of Directors had initiated a national search for a successor. Effective July 7, 2025, Board member, Ian Bickley, assumed the newly created role of Executive Chairman. In this interim executive capacity, Mr. Bickley will provide leadership and strategic guidance during the CEO transition period and will also serve as Chairman of the Company’s Board of Directors. The Executive Chairman role is expected to be temporary and limited to the duration of the CEO transition.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the Company announced the appointment of Martin Layding as Chief Financial Officer, effective June 12, 2025.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Transactions</w:t>
      </w:r>
    </w:p>
    <w:p>
      <w:pPr>
        <w:spacing w:after="0" w:line="108"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We completed the sale of Pura Vida on March 31, 2025. See Note 14 to the Notes to the Condensed Consolidated Financial Statements herein for additional information. The loss on sale was presented as part of results of the discontinued operations. We have reflected the results of operations of the Pura Vida business as discontinued operations in the Consolidated Statement of Operations. This business was historically presented as its own reporting 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assessing the performance of our business, we consider a variety of performance and financial measures.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106"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18"/>
          <w:szCs w:val="18"/>
          <w:color w:val="auto"/>
        </w:rPr>
        <w:t>Net revenues reflect sales of our merchandise and revenue from distribution and shipping and handling fees, less returns and discounts. Revenues for the VB Direct segment reflect sales through Vera Bradley full-line and outlet stores; e-commerce sites (verabradley.com, outlet.verabradley.com, and international.verabradley.com); and the Vera Bradley annual outlet sale. Revenues for the VB Indirect segment reflect sales of Vera Bradley-branded products to specialty retail partners; key accounts consisting of department stores, national accounts, third-party e-commerce sites, and third-party inventory liquidators; and royalties recognized through licensing agreements related to the Vera Bradley brand.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Comparable Sales</w:t>
      </w:r>
    </w:p>
    <w:p>
      <w:pPr>
        <w:spacing w:after="0" w:line="106"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8"/>
          <w:szCs w:val="18"/>
          <w:color w:val="auto"/>
        </w:rPr>
        <w:t>Comparable sales are calculated based upon our stores that have been open for at least 12 full fiscal months and net revenues from our Vera Bradley e-commerce operations. Remodeled stores are included in both comparable sales and comparable store sales unless the store was closed for more than one week of the current or comparable prior period, in which case the non-comparable temporary closure periods are not included, or the remodel resulted in a significant change in square footage. Some of our competitors and other retailers calculate comparable or “same store” sales differently than we do. As a result, data in this report regarding our comparable sales and comparable store sales may not be comparable to similar data made available by other companies. Non-comparable sales include sales from stores not included in comparable sales or comparable store sales.</w:t>
      </w:r>
    </w:p>
    <w:p>
      <w:pPr>
        <w:spacing w:after="0" w:line="60"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Measuring the change in year-over-year comparable sales allows us and our investors to evaluate how our store base and e-commerce operations are performing. Various factors affect our comparable sales, including:</w:t>
      </w:r>
    </w:p>
    <w:p>
      <w:pPr>
        <w:spacing w:after="0" w:line="40"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economic trends;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preferences and fashion trends;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releases of new patterns and collections;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product mix;</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as well as timing and level of promotions;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of store, mall, and e-commerce traffic;</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customer service that we provide in stores and to our on-line customers;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and distribute products efficiently;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stores we open and close in any period;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promotional and marketing efforts.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10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Gross profit is equal to our net revenues less our cost of sales. Cost of sales includes the direct cost of purchased merchandise, distribution center costs, operations overhead, duties, all inbound freight costs incurred, and inventory adjustments, if any. The components of our reported cost of sales may not be comparable to those of other retail and wholesale companies.</w:t>
      </w:r>
    </w:p>
    <w:p>
      <w:pPr>
        <w:spacing w:after="0" w:line="122"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Gross profit can be impacted by changes in volume; fluctuations in sales price; inbound freight and other logistical costs; outbound freight; operational efficiencies, such as leveraging of fixed costs; promotional activities, including free shipping; commodity prices, such as for cotton; tariffs; and labor costs.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 (“SG&amp;A”)</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include selling; advertising, marketing, and product development; and administrative expenses. Selling expenses include:</w:t>
      </w:r>
    </w:p>
    <w:p>
      <w:pPr>
        <w:spacing w:after="0" w:line="104"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VB Direct business expenses, such as store expenses, employee compensation, and store occupancy and supply costs;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VB Indirect business expenses consisting primarily of employee compensation and other expenses associated with sales to Indirect retailers; and</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Advertising, marketing, and product development expenses include employee compensation, media costs, creative production expenses, marketing agency fees, new product design costs, public relations expenses, and market research expenses. Administrative expenses include employee compensation for corporate functions, corporate headquarters occupancy costs, consulting and software expenses, and charitable donations, as well as severance charges and consulting fees associated with cost savings initiatives disclosed in Note 12 to the Notes to the Condensed Consolidated Financial Statements herein.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8" w:lineRule="exact"/>
        <w:rPr>
          <w:sz w:val="20"/>
          <w:szCs w:val="20"/>
          <w:color w:val="auto"/>
        </w:rPr>
      </w:pPr>
    </w:p>
    <w:p>
      <w:pPr>
        <w:ind w:right="400"/>
        <w:spacing w:after="0" w:line="270" w:lineRule="auto"/>
        <w:rPr>
          <w:sz w:val="20"/>
          <w:szCs w:val="20"/>
          <w:color w:val="auto"/>
        </w:rPr>
      </w:pPr>
      <w:r>
        <w:rPr>
          <w:rFonts w:ascii="Times New Roman" w:cs="Times New Roman" w:eastAsia="Times New Roman" w:hAnsi="Times New Roman"/>
          <w:sz w:val="18"/>
          <w:szCs w:val="18"/>
          <w:color w:val="auto"/>
        </w:rPr>
        <w:t>The following tables summarize key components of our condensed consolidated results of operations for the periods indicated, both in dollars and as a percentage of our net revenues ($ in thousands):</w:t>
      </w:r>
    </w:p>
    <w:tbl>
      <w:tblPr>
        <w:tblLayout w:type="fixed"/>
        <w:tblInd w:w="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40" w:type="dxa"/>
            <w:vAlign w:val="bottom"/>
          </w:tcPr>
          <w:p>
            <w:pPr>
              <w:spacing w:after="0"/>
              <w:rPr>
                <w:sz w:val="16"/>
                <w:szCs w:val="16"/>
                <w:color w:val="auto"/>
              </w:rPr>
            </w:pPr>
          </w:p>
        </w:tc>
        <w:tc>
          <w:tcPr>
            <w:tcW w:w="304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23"/>
        </w:trPr>
        <w:tc>
          <w:tcPr>
            <w:tcW w:w="4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r>
      <w:tr>
        <w:trPr>
          <w:trHeight w:val="131"/>
        </w:trPr>
        <w:tc>
          <w:tcPr>
            <w:tcW w:w="47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November 1,</w:t>
            </w:r>
          </w:p>
        </w:tc>
        <w:tc>
          <w:tcPr>
            <w:tcW w:w="2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292"/>
              <w:spacing w:after="0" w:line="131" w:lineRule="exact"/>
              <w:rPr>
                <w:sz w:val="20"/>
                <w:szCs w:val="20"/>
                <w:color w:val="auto"/>
              </w:rPr>
            </w:pPr>
            <w:r>
              <w:rPr>
                <w:rFonts w:ascii="Times New Roman" w:cs="Times New Roman" w:eastAsia="Times New Roman" w:hAnsi="Times New Roman"/>
                <w:sz w:val="14"/>
                <w:szCs w:val="14"/>
                <w:b w:val="1"/>
                <w:bCs w:val="1"/>
                <w:color w:val="auto"/>
              </w:rPr>
              <w:t>November 2,</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November 1,</w:t>
            </w:r>
          </w:p>
        </w:tc>
        <w:tc>
          <w:tcPr>
            <w:tcW w:w="2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292"/>
              <w:spacing w:after="0" w:line="131" w:lineRule="exact"/>
              <w:rPr>
                <w:sz w:val="20"/>
                <w:szCs w:val="20"/>
                <w:color w:val="auto"/>
              </w:rPr>
            </w:pPr>
            <w:r>
              <w:rPr>
                <w:rFonts w:ascii="Times New Roman" w:cs="Times New Roman" w:eastAsia="Times New Roman" w:hAnsi="Times New Roman"/>
                <w:sz w:val="14"/>
                <w:szCs w:val="14"/>
                <w:b w:val="1"/>
                <w:bCs w:val="1"/>
                <w:color w:val="auto"/>
              </w:rPr>
              <w:t>November 2,</w:t>
            </w:r>
          </w:p>
        </w:tc>
        <w:tc>
          <w:tcPr>
            <w:tcW w:w="140" w:type="dxa"/>
            <w:vAlign w:val="bottom"/>
          </w:tcPr>
          <w:p>
            <w:pPr>
              <w:spacing w:after="0"/>
              <w:rPr>
                <w:sz w:val="11"/>
                <w:szCs w:val="11"/>
                <w:color w:val="auto"/>
              </w:rPr>
            </w:pPr>
          </w:p>
        </w:tc>
      </w:tr>
      <w:tr>
        <w:trPr>
          <w:trHeight w:val="194"/>
        </w:trPr>
        <w:tc>
          <w:tcPr>
            <w:tcW w:w="4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r>
      <w:tr>
        <w:trPr>
          <w:trHeight w:val="216"/>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62,253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70,483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184,763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232,434</w:t>
            </w:r>
          </w:p>
        </w:tc>
        <w:tc>
          <w:tcPr>
            <w:tcW w:w="140" w:type="dxa"/>
            <w:vAlign w:val="bottom"/>
          </w:tcPr>
          <w:p>
            <w:pPr>
              <w:spacing w:after="0"/>
              <w:rPr>
                <w:sz w:val="19"/>
                <w:szCs w:val="19"/>
                <w:color w:val="auto"/>
              </w:rPr>
            </w:pPr>
          </w:p>
        </w:tc>
      </w:tr>
      <w:tr>
        <w:trPr>
          <w:trHeight w:val="230"/>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36,067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32,066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100,313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113,268</w:t>
            </w:r>
          </w:p>
        </w:tc>
        <w:tc>
          <w:tcPr>
            <w:tcW w:w="140" w:type="dxa"/>
            <w:vAlign w:val="bottom"/>
          </w:tcPr>
          <w:p>
            <w:pPr>
              <w:spacing w:after="0"/>
              <w:rPr>
                <w:sz w:val="19"/>
                <w:szCs w:val="19"/>
                <w:color w:val="auto"/>
              </w:rPr>
            </w:pPr>
          </w:p>
        </w:tc>
      </w:tr>
      <w:tr>
        <w:trPr>
          <w:trHeight w:val="223"/>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26,186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38,417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84,450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119,166</w:t>
            </w:r>
          </w:p>
        </w:tc>
        <w:tc>
          <w:tcPr>
            <w:tcW w:w="140" w:type="dxa"/>
            <w:vAlign w:val="bottom"/>
          </w:tcPr>
          <w:p>
            <w:pPr>
              <w:spacing w:after="0"/>
              <w:rPr>
                <w:sz w:val="19"/>
                <w:szCs w:val="19"/>
                <w:color w:val="auto"/>
              </w:rPr>
            </w:pP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Pr>
          <w:p>
            <w:pPr>
              <w:spacing w:after="0"/>
              <w:rPr>
                <w:sz w:val="19"/>
                <w:szCs w:val="19"/>
                <w:color w:val="auto"/>
              </w:rPr>
            </w:pP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38,670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46,703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119,916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136,247</w:t>
            </w:r>
          </w:p>
        </w:tc>
        <w:tc>
          <w:tcPr>
            <w:tcW w:w="140" w:type="dxa"/>
            <w:vAlign w:val="bottom"/>
          </w:tcPr>
          <w:p>
            <w:pPr>
              <w:spacing w:after="0"/>
              <w:rPr>
                <w:sz w:val="19"/>
                <w:szCs w:val="19"/>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704</w:t>
            </w:r>
          </w:p>
        </w:tc>
        <w:tc>
          <w:tcPr>
            <w:tcW w:w="140" w:type="dxa"/>
            <w:vAlign w:val="bottom"/>
          </w:tcPr>
          <w:p>
            <w:pPr>
              <w:spacing w:after="0"/>
              <w:rPr>
                <w:sz w:val="19"/>
                <w:szCs w:val="19"/>
                <w:color w:val="auto"/>
              </w:rPr>
            </w:pPr>
          </w:p>
        </w:tc>
      </w:tr>
      <w:tr>
        <w:trPr>
          <w:trHeight w:val="223"/>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loss from continuing operations</w:t>
            </w:r>
          </w:p>
        </w:tc>
        <w:tc>
          <w:tcPr>
            <w:tcW w:w="240" w:type="dxa"/>
            <w:vAlign w:val="bottom"/>
          </w:tcPr>
          <w:p>
            <w:pPr>
              <w:spacing w:after="0"/>
              <w:rPr>
                <w:sz w:val="19"/>
                <w:szCs w:val="19"/>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(12,174)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(8,153)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(34,623)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(16,377)</w:t>
            </w:r>
          </w:p>
        </w:tc>
        <w:tc>
          <w:tcPr>
            <w:tcW w:w="140" w:type="dxa"/>
            <w:vAlign w:val="bottom"/>
          </w:tcPr>
          <w:p>
            <w:pPr>
              <w:spacing w:after="0"/>
              <w:rPr>
                <w:sz w:val="19"/>
                <w:szCs w:val="19"/>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704</w:t>
            </w:r>
          </w:p>
        </w:tc>
        <w:tc>
          <w:tcPr>
            <w:tcW w:w="140" w:type="dxa"/>
            <w:vAlign w:val="bottom"/>
          </w:tcPr>
          <w:p>
            <w:pPr>
              <w:spacing w:after="0"/>
              <w:rPr>
                <w:sz w:val="19"/>
                <w:szCs w:val="19"/>
                <w:color w:val="auto"/>
              </w:rPr>
            </w:pPr>
          </w:p>
        </w:tc>
      </w:tr>
      <w:tr>
        <w:trPr>
          <w:trHeight w:val="223"/>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240" w:type="dxa"/>
            <w:vAlign w:val="bottom"/>
          </w:tcPr>
          <w:p>
            <w:pPr>
              <w:spacing w:after="0"/>
              <w:rPr>
                <w:sz w:val="19"/>
                <w:szCs w:val="19"/>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(12,309)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(8,138)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(34,888)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(15,673)</w:t>
            </w:r>
          </w:p>
        </w:tc>
        <w:tc>
          <w:tcPr>
            <w:tcW w:w="140" w:type="dxa"/>
            <w:vAlign w:val="bottom"/>
          </w:tcPr>
          <w:p>
            <w:pPr>
              <w:spacing w:after="0"/>
              <w:rPr>
                <w:sz w:val="19"/>
                <w:szCs w:val="19"/>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5,194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(2,264)</w:t>
            </w:r>
          </w:p>
        </w:tc>
        <w:tc>
          <w:tcPr>
            <w:tcW w:w="140" w:type="dxa"/>
            <w:vAlign w:val="bottom"/>
          </w:tcPr>
          <w:p>
            <w:pPr>
              <w:spacing w:after="0"/>
              <w:rPr>
                <w:sz w:val="19"/>
                <w:szCs w:val="19"/>
                <w:color w:val="auto"/>
              </w:rPr>
            </w:pPr>
          </w:p>
        </w:tc>
      </w:tr>
      <w:tr>
        <w:trPr>
          <w:trHeight w:val="223"/>
        </w:trPr>
        <w:tc>
          <w:tcPr>
            <w:tcW w:w="4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(12,365)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(13,332)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(35,334)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(13,409)</w:t>
            </w:r>
          </w:p>
        </w:tc>
        <w:tc>
          <w:tcPr>
            <w:tcW w:w="140" w:type="dxa"/>
            <w:vAlign w:val="bottom"/>
          </w:tcPr>
          <w:p>
            <w:pPr>
              <w:spacing w:after="0"/>
              <w:rPr>
                <w:sz w:val="19"/>
                <w:szCs w:val="19"/>
                <w:color w:val="auto"/>
              </w:rPr>
            </w:pPr>
          </w:p>
        </w:tc>
      </w:tr>
      <w:tr>
        <w:trPr>
          <w:trHeight w:val="21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Percentage of Net Revenues: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40" w:type="dxa"/>
            <w:vAlign w:val="bottom"/>
          </w:tcPr>
          <w:p>
            <w:pPr>
              <w:spacing w:after="0"/>
              <w:rPr>
                <w:sz w:val="19"/>
                <w:szCs w:val="19"/>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57.9 %</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45.5 %</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54.3 %</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48.7 %</w:t>
            </w:r>
          </w:p>
        </w:tc>
        <w:tc>
          <w:tcPr>
            <w:tcW w:w="140" w:type="dxa"/>
            <w:vAlign w:val="bottom"/>
          </w:tcPr>
          <w:p>
            <w:pPr>
              <w:spacing w:after="0"/>
              <w:rPr>
                <w:sz w:val="19"/>
                <w:szCs w:val="19"/>
                <w:color w:val="auto"/>
              </w:rPr>
            </w:pPr>
          </w:p>
        </w:tc>
      </w:tr>
      <w:tr>
        <w:trPr>
          <w:trHeight w:val="223"/>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51.3 %</w:t>
            </w:r>
          </w:p>
        </w:tc>
        <w:tc>
          <w:tcPr>
            <w:tcW w:w="140" w:type="dxa"/>
            <w:vAlign w:val="bottom"/>
          </w:tcPr>
          <w:p>
            <w:pPr>
              <w:spacing w:after="0"/>
              <w:rPr>
                <w:sz w:val="19"/>
                <w:szCs w:val="19"/>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58.6 %</w:t>
            </w:r>
          </w:p>
        </w:tc>
        <w:tc>
          <w:tcPr>
            <w:tcW w:w="140" w:type="dxa"/>
            <w:vAlign w:val="bottom"/>
          </w:tcPr>
          <w:p>
            <w:pPr>
              <w:spacing w:after="0"/>
              <w:rPr>
                <w:sz w:val="19"/>
                <w:szCs w:val="19"/>
                <w:color w:val="auto"/>
              </w:rPr>
            </w:pPr>
          </w:p>
        </w:tc>
      </w:tr>
      <w:tr>
        <w:trPr>
          <w:trHeight w:val="230"/>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40" w:type="dxa"/>
            <w:vAlign w:val="bottom"/>
          </w:tcPr>
          <w:p>
            <w:pPr>
              <w:spacing w:after="0"/>
              <w:rPr>
                <w:sz w:val="19"/>
                <w:szCs w:val="19"/>
                <w:color w:val="auto"/>
              </w:rPr>
            </w:pPr>
          </w:p>
        </w:tc>
      </w:tr>
      <w:tr>
        <w:trPr>
          <w:trHeight w:val="223"/>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loss from continuing operations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Pr>
          <w:p>
            <w:pPr>
              <w:spacing w:after="0"/>
              <w:rPr>
                <w:sz w:val="19"/>
                <w:szCs w:val="19"/>
                <w:color w:val="auto"/>
              </w:rPr>
            </w:pP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40" w:type="dxa"/>
            <w:vAlign w:val="bottom"/>
          </w:tcPr>
          <w:p>
            <w:pPr>
              <w:spacing w:after="0"/>
              <w:rPr>
                <w:sz w:val="19"/>
                <w:szCs w:val="19"/>
                <w:color w:val="auto"/>
              </w:rPr>
            </w:pPr>
          </w:p>
        </w:tc>
      </w:tr>
      <w:tr>
        <w:trPr>
          <w:trHeight w:val="223"/>
        </w:trPr>
        <w:tc>
          <w:tcPr>
            <w:tcW w:w="47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2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Pr>
          <w:p>
            <w:pPr>
              <w:spacing w:after="0"/>
              <w:rPr>
                <w:sz w:val="19"/>
                <w:szCs w:val="19"/>
                <w:color w:val="auto"/>
              </w:rPr>
            </w:pPr>
          </w:p>
        </w:tc>
      </w:tr>
      <w:tr>
        <w:trPr>
          <w:trHeight w:val="230"/>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9"/>
                <w:szCs w:val="19"/>
                <w:color w:val="auto"/>
              </w:rPr>
            </w:pPr>
          </w:p>
        </w:tc>
      </w:tr>
      <w:tr>
        <w:trPr>
          <w:trHeight w:val="248"/>
        </w:trPr>
        <w:tc>
          <w:tcPr>
            <w:tcW w:w="47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2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Pr>
          <w:p>
            <w:pPr>
              <w:spacing w:after="0"/>
              <w:rPr>
                <w:sz w:val="21"/>
                <w:szCs w:val="2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892"/>
        </w:trPr>
        <w:tc>
          <w:tcPr>
            <w:tcW w:w="4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5"/>
        </w:trPr>
        <w:tc>
          <w:tcPr>
            <w:tcW w:w="47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tables present net revenues and operating income (loss) by operating segment, both in dollars and as a percentage of associated net revenues, and store data for the periods indicated ($ in thousands, except as otherwise indicated):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80" w:type="dxa"/>
            <w:vAlign w:val="bottom"/>
            <w:gridSpan w:val="8"/>
          </w:tcPr>
          <w:p>
            <w:pPr>
              <w:ind w:left="6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00" w:type="dxa"/>
            <w:vAlign w:val="bottom"/>
            <w:gridSpan w:val="6"/>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23"/>
        </w:trPr>
        <w:tc>
          <w:tcPr>
            <w:tcW w:w="4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3"/>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November 1,</w:t>
            </w:r>
          </w:p>
        </w:tc>
        <w:tc>
          <w:tcPr>
            <w:tcW w:w="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right"/>
              <w:ind w:right="293"/>
              <w:spacing w:after="0" w:line="131" w:lineRule="exact"/>
              <w:rPr>
                <w:sz w:val="20"/>
                <w:szCs w:val="20"/>
                <w:color w:val="auto"/>
              </w:rPr>
            </w:pPr>
            <w:r>
              <w:rPr>
                <w:rFonts w:ascii="Times New Roman" w:cs="Times New Roman" w:eastAsia="Times New Roman" w:hAnsi="Times New Roman"/>
                <w:sz w:val="14"/>
                <w:szCs w:val="14"/>
                <w:b w:val="1"/>
                <w:bCs w:val="1"/>
                <w:color w:val="auto"/>
              </w:rPr>
              <w:t>November 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3"/>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November 1,</w:t>
            </w:r>
          </w:p>
        </w:tc>
        <w:tc>
          <w:tcPr>
            <w:tcW w:w="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center"/>
              <w:ind w:right="173"/>
              <w:spacing w:after="0" w:line="131" w:lineRule="exact"/>
              <w:rPr>
                <w:sz w:val="20"/>
                <w:szCs w:val="20"/>
                <w:color w:val="auto"/>
              </w:rPr>
            </w:pPr>
            <w:r>
              <w:rPr>
                <w:rFonts w:ascii="Times New Roman" w:cs="Times New Roman" w:eastAsia="Times New Roman" w:hAnsi="Times New Roman"/>
                <w:sz w:val="14"/>
                <w:szCs w:val="14"/>
                <w:b w:val="1"/>
                <w:bCs w:val="1"/>
                <w:color w:val="auto"/>
              </w:rPr>
              <w:t>November 2,</w:t>
            </w:r>
          </w:p>
        </w:tc>
        <w:tc>
          <w:tcPr>
            <w:tcW w:w="0" w:type="dxa"/>
            <w:vAlign w:val="bottom"/>
          </w:tcPr>
          <w:p>
            <w:pPr>
              <w:spacing w:after="0"/>
              <w:rPr>
                <w:sz w:val="1"/>
                <w:szCs w:val="1"/>
                <w:color w:val="auto"/>
              </w:rPr>
            </w:pPr>
          </w:p>
        </w:tc>
      </w:tr>
      <w:tr>
        <w:trPr>
          <w:trHeight w:val="194"/>
        </w:trPr>
        <w:tc>
          <w:tcPr>
            <w:tcW w:w="48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16"/>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 by Segment: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VB Direct</w:t>
            </w:r>
          </w:p>
        </w:tc>
        <w:tc>
          <w:tcPr>
            <w:tcW w:w="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49,683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52,475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153,280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181,140</w:t>
            </w:r>
          </w:p>
        </w:tc>
        <w:tc>
          <w:tcPr>
            <w:tcW w:w="0" w:type="dxa"/>
            <w:vAlign w:val="bottom"/>
          </w:tcPr>
          <w:p>
            <w:pPr>
              <w:spacing w:after="0"/>
              <w:rPr>
                <w:sz w:val="1"/>
                <w:szCs w:val="1"/>
                <w:color w:val="auto"/>
              </w:rPr>
            </w:pPr>
          </w:p>
        </w:tc>
      </w:tr>
      <w:tr>
        <w:trPr>
          <w:trHeight w:val="229"/>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VB Indirect</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12,570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18,008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31,483</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51,294</w:t>
            </w:r>
          </w:p>
        </w:tc>
        <w:tc>
          <w:tcPr>
            <w:tcW w:w="0" w:type="dxa"/>
            <w:vAlign w:val="bottom"/>
          </w:tcPr>
          <w:p>
            <w:pPr>
              <w:spacing w:after="0"/>
              <w:rPr>
                <w:sz w:val="1"/>
                <w:szCs w:val="1"/>
                <w:color w:val="auto"/>
              </w:rPr>
            </w:pPr>
          </w:p>
        </w:tc>
      </w:tr>
      <w:tr>
        <w:trPr>
          <w:trHeight w:val="248"/>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62,253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70,483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184,763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232,434</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Percentage of Net Revenues by Segment:</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8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VB Direct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77.9 %</w:t>
            </w:r>
          </w:p>
        </w:tc>
        <w:tc>
          <w:tcPr>
            <w:tcW w:w="0" w:type="dxa"/>
            <w:vAlign w:val="bottom"/>
          </w:tcPr>
          <w:p>
            <w:pPr>
              <w:spacing w:after="0"/>
              <w:rPr>
                <w:sz w:val="1"/>
                <w:szCs w:val="1"/>
                <w:color w:val="auto"/>
              </w:rPr>
            </w:pPr>
          </w:p>
        </w:tc>
      </w:tr>
      <w:tr>
        <w:trPr>
          <w:trHeight w:val="229"/>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VB Indirect</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20.2 %</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25.5 %</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0" w:type="dxa"/>
            <w:vAlign w:val="bottom"/>
          </w:tcPr>
          <w:p>
            <w:pPr>
              <w:spacing w:after="0"/>
              <w:rPr>
                <w:sz w:val="1"/>
                <w:szCs w:val="1"/>
                <w:color w:val="auto"/>
              </w:rPr>
            </w:pPr>
          </w:p>
        </w:tc>
      </w:tr>
      <w:tr>
        <w:trPr>
          <w:trHeight w:val="248"/>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4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80" w:type="dxa"/>
            <w:vAlign w:val="bottom"/>
            <w:gridSpan w:val="8"/>
          </w:tcPr>
          <w:p>
            <w:pPr>
              <w:ind w:left="6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00" w:type="dxa"/>
            <w:vAlign w:val="bottom"/>
            <w:gridSpan w:val="6"/>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23"/>
        </w:trPr>
        <w:tc>
          <w:tcPr>
            <w:tcW w:w="4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3"/>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November 1,</w:t>
            </w:r>
          </w:p>
        </w:tc>
        <w:tc>
          <w:tcPr>
            <w:tcW w:w="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right"/>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November 2,</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3"/>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November 1,</w:t>
            </w:r>
          </w:p>
        </w:tc>
        <w:tc>
          <w:tcPr>
            <w:tcW w:w="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center"/>
              <w:ind w:right="133"/>
              <w:spacing w:after="0" w:line="131" w:lineRule="exact"/>
              <w:rPr>
                <w:sz w:val="20"/>
                <w:szCs w:val="20"/>
                <w:color w:val="auto"/>
              </w:rPr>
            </w:pPr>
            <w:r>
              <w:rPr>
                <w:rFonts w:ascii="Times New Roman" w:cs="Times New Roman" w:eastAsia="Times New Roman" w:hAnsi="Times New Roman"/>
                <w:sz w:val="14"/>
                <w:szCs w:val="14"/>
                <w:b w:val="1"/>
                <w:bCs w:val="1"/>
                <w:color w:val="auto"/>
              </w:rPr>
              <w:t>November 2,</w:t>
            </w:r>
          </w:p>
        </w:tc>
        <w:tc>
          <w:tcPr>
            <w:tcW w:w="0" w:type="dxa"/>
            <w:vAlign w:val="bottom"/>
          </w:tcPr>
          <w:p>
            <w:pPr>
              <w:spacing w:after="0"/>
              <w:rPr>
                <w:sz w:val="1"/>
                <w:szCs w:val="1"/>
                <w:color w:val="auto"/>
              </w:rPr>
            </w:pPr>
          </w:p>
        </w:tc>
      </w:tr>
      <w:tr>
        <w:trPr>
          <w:trHeight w:val="194"/>
        </w:trPr>
        <w:tc>
          <w:tcPr>
            <w:tcW w:w="4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16"/>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 by Segment: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VB Direct</w:t>
            </w:r>
          </w:p>
        </w:tc>
        <w:tc>
          <w:tcPr>
            <w:tcW w:w="2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2,685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2,104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6,484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19,530</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VB Indirect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883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6,068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5,056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14,637</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Corporate unallocated</w:t>
            </w: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(15,742)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(16,325)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(46,163)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(50,544)</w:t>
            </w:r>
          </w:p>
        </w:tc>
        <w:tc>
          <w:tcPr>
            <w:tcW w:w="0" w:type="dxa"/>
            <w:vAlign w:val="bottom"/>
          </w:tcPr>
          <w:p>
            <w:pPr>
              <w:spacing w:after="0"/>
              <w:rPr>
                <w:sz w:val="1"/>
                <w:szCs w:val="1"/>
                <w:color w:val="auto"/>
              </w:rPr>
            </w:pPr>
          </w:p>
        </w:tc>
      </w:tr>
      <w:tr>
        <w:trPr>
          <w:trHeight w:val="223"/>
        </w:trPr>
        <w:tc>
          <w:tcPr>
            <w:tcW w:w="4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(12,174)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(8,153)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(34,623)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(16,377)</w:t>
            </w:r>
          </w:p>
        </w:tc>
        <w:tc>
          <w:tcPr>
            <w:tcW w:w="0" w:type="dxa"/>
            <w:vAlign w:val="bottom"/>
          </w:tcPr>
          <w:p>
            <w:pPr>
              <w:spacing w:after="0"/>
              <w:rPr>
                <w:sz w:val="1"/>
                <w:szCs w:val="1"/>
                <w:color w:val="auto"/>
              </w:rPr>
            </w:pP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8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Operating Income (Loss) as a Percentage of Net Revenues by</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VB Direct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VB Indirect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33.7 %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28.5 %</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Vera Bradley Store Data </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stores opened during period</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stores closed during period</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stores open at end of period</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117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126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117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gross square footage at end of period</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363,529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387,245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363,529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387,245</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Average net revenues per gross square foot </w:t>
            </w:r>
            <w:r>
              <w:rPr>
                <w:rFonts w:ascii="Times New Roman" w:cs="Times New Roman" w:eastAsia="Times New Roman" w:hAnsi="Times New Roman"/>
                <w:sz w:val="23"/>
                <w:szCs w:val="23"/>
                <w:color w:val="auto"/>
                <w:vertAlign w:val="superscript"/>
              </w:rPr>
              <w:t>(2)</w:t>
            </w:r>
          </w:p>
        </w:tc>
        <w:tc>
          <w:tcPr>
            <w:tcW w:w="2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236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306"/>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Comparable sales (including e-commerce) decrease </w:t>
            </w:r>
            <w:r>
              <w:rPr>
                <w:rFonts w:ascii="Times New Roman" w:cs="Times New Roman" w:eastAsia="Times New Roman" w:hAnsi="Times New Roman"/>
                <w:sz w:val="23"/>
                <w:szCs w:val="23"/>
                <w:color w:val="auto"/>
                <w:vertAlign w:val="superscript"/>
              </w:rPr>
              <w:t>(3)</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560" w:hanging="552"/>
        <w:spacing w:after="0"/>
        <w:tabs>
          <w:tab w:leader="none" w:pos="5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Vera Bradley full-line and outlet stores.</w:t>
      </w:r>
    </w:p>
    <w:p>
      <w:pPr>
        <w:spacing w:after="0" w:line="27" w:lineRule="exact"/>
        <w:rPr>
          <w:rFonts w:ascii="Times New Roman" w:cs="Times New Roman" w:eastAsia="Times New Roman" w:hAnsi="Times New Roman"/>
          <w:sz w:val="18"/>
          <w:szCs w:val="18"/>
          <w:color w:val="auto"/>
        </w:rPr>
      </w:pPr>
    </w:p>
    <w:p>
      <w:pPr>
        <w:ind w:left="580" w:right="20" w:hanging="572"/>
        <w:spacing w:after="0" w:line="250" w:lineRule="auto"/>
        <w:tabs>
          <w:tab w:leader="none" w:pos="57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Dollars not in thousands. Average net revenues per gross square foot are calculated by dividing total net revenues for our stores that have been open at least 12 full fiscal months as of the end of the period by total gross square footage for those stores. Remodeled stores are included in average net revenues per gross square foot unless the store was closed for a portion of the period.</w:t>
      </w:r>
    </w:p>
    <w:p>
      <w:pPr>
        <w:spacing w:after="0" w:line="1" w:lineRule="exact"/>
        <w:rPr>
          <w:rFonts w:ascii="Times New Roman" w:cs="Times New Roman" w:eastAsia="Times New Roman" w:hAnsi="Times New Roman"/>
          <w:sz w:val="18"/>
          <w:szCs w:val="18"/>
          <w:color w:val="auto"/>
        </w:rPr>
      </w:pPr>
    </w:p>
    <w:p>
      <w:pPr>
        <w:ind w:left="580" w:right="220" w:hanging="572"/>
        <w:spacing w:after="0" w:line="253" w:lineRule="auto"/>
        <w:tabs>
          <w:tab w:leader="none" w:pos="57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sales are calculated based upon stores that have been open for at least 12 full fiscal months and net revenues from e-commerce operations. Comparable sales decrease is reported as a percentage of the comparable sales for the same period in the prior fiscal year. Remodeled stores are included in comparable sales unless the store was closed for a portion of the current or comparable prior period, in which case the non-comparable temporary closure periods are not included, or the remodel resulted in a significant change in square footage.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Thirteen Weeks Ended November 1, 2025, Compared to Thirteen Weeks Ended November 2, 2024</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9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For the thirteen weeks ended November 1, 2025, net revenues decreased $8.2 million, or 11.7%, to $62.3 million, from $70.5 million in the comparable prior-year period.</w:t>
      </w:r>
    </w:p>
    <w:p>
      <w:pPr>
        <w:spacing w:after="0" w:line="106"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VB Direct</w:t>
      </w:r>
      <w:r>
        <w:rPr>
          <w:rFonts w:ascii="Times New Roman" w:cs="Times New Roman" w:eastAsia="Times New Roman" w:hAnsi="Times New Roman"/>
          <w:sz w:val="18"/>
          <w:szCs w:val="18"/>
          <w:color w:val="auto"/>
        </w:rPr>
        <w:t>. For the thirteen weeks ended November 1, 2025, net revenues in the VB Direct segment decreased $2.8 million, or 5.3%, to $49.7 million,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$52.5 million in the comparable prior-year period. Vera Bradley comparable sales decreased 5.8%,</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which includes a 11.4% decrease in comparable store sales, partially offset by an increase in e-commerce sales of 2.0%. In addition, non-comparable revenue increased $0.2 million. The decrease in comparable sales and comparable store sales was primarily due to reduced traffic and conversion in the outlet channels.</w:t>
      </w:r>
    </w:p>
    <w:p>
      <w:pPr>
        <w:spacing w:after="0" w:line="113" w:lineRule="exact"/>
        <w:rPr>
          <w:sz w:val="20"/>
          <w:szCs w:val="20"/>
          <w:color w:val="auto"/>
        </w:rPr>
      </w:pPr>
    </w:p>
    <w:p>
      <w:pPr>
        <w:jc w:val="both"/>
        <w:ind w:right="120"/>
        <w:spacing w:after="0" w:line="259" w:lineRule="auto"/>
        <w:rPr>
          <w:sz w:val="20"/>
          <w:szCs w:val="20"/>
          <w:color w:val="auto"/>
        </w:rPr>
      </w:pPr>
      <w:r>
        <w:rPr>
          <w:rFonts w:ascii="Times New Roman" w:cs="Times New Roman" w:eastAsia="Times New Roman" w:hAnsi="Times New Roman"/>
          <w:sz w:val="18"/>
          <w:szCs w:val="18"/>
          <w:i w:val="1"/>
          <w:iCs w:val="1"/>
          <w:color w:val="auto"/>
        </w:rPr>
        <w:t>VB Indirect</w:t>
      </w:r>
      <w:r>
        <w:rPr>
          <w:rFonts w:ascii="Times New Roman" w:cs="Times New Roman" w:eastAsia="Times New Roman" w:hAnsi="Times New Roman"/>
          <w:sz w:val="18"/>
          <w:szCs w:val="18"/>
          <w:color w:val="auto"/>
        </w:rPr>
        <w:t>. For the thirteen weeks ended November 1, 2025, net revenues in the VB Indirect segment decreased $5.4 million, or 30.2%, to $12.6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$18.0 million in the comparable prior-year period. The decrease was primarily due to a decrease in specialty and key account orders, partially offset by increased liquidation sales.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9"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18"/>
          <w:szCs w:val="18"/>
          <w:color w:val="auto"/>
        </w:rPr>
        <w:t>For the thirteen weeks ended November 1, 2025, gross profit decreased $12.2 million, or 31.8%, to $26.2 million, from $38.4 million in the comparable prior-year period. As a percentage of net revenues, gross profit decreased to 42.1% for the thirteen weeks ended November 1, 2025 from 54.5% in the comparable prior-year period. Current year gross margin was negatively impacted by a $5.9 million inventory reserve charge as well as additional duty expenses, partially offset by pricing improvements.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92"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color w:val="auto"/>
        </w:rPr>
        <w:t>For the thirteen weeks ended November 1, 2025, SG&amp;A expenses decreased $8.0 million, or 17.2%, to $38.7 million, from $46.7 million in the comparable prior-year period. As a percentage of net revenues, SG&amp;A expenses decreased to 62.1% for the thirteen weeks ended November 1, 2025, from 66.3% in the comparable prior-year period. For the thirteen weeks ended November 1, 2025, consolidated SG&amp;A expenses decreased primarily due to a a $3.5 million decrease in employee-related costs attributable to reduced headcount and reduced variable compensation expense, $2.1 million reduction in property, plant and equipment impairment charge that occurred in the prior year, a $0.8 million reduction in advertising costs and selling expenses resulting from sales decreases as described above, net of the media credit write off; and a $1.6 million reduction in net other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0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For the thirteen weeks ended November 1, 2025, net other income increased $0.2 million to $0.3 million, from $0.1 million in the comparable prior-year period. The increase in net other income was primarily due to income from the Transition Services Agreement ("TSA") resulting from the sale of Creative Genius.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(Loss) Income from Continuing Operations</w:t>
      </w:r>
    </w:p>
    <w:p>
      <w:pPr>
        <w:spacing w:after="0" w:line="10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For the thirteen weeks ended November 1, 2025, there was an operating loss from continuing operations of $(12.2) million, a $4.0 million increase, or 49.3%, from operating loss from continuing operations of $(8.2) million in the comparable prior-year period. As a percentage of net revenues, operating (loss) income from continuing operations was (19.6)% and (11.6)% for the thirteen weeks ended November 1, 2025 and November 2, 2024, respectively. Operating (loss) income from continuing operations increased due to the factors described in the captions above.</w:t>
      </w:r>
    </w:p>
    <w:p>
      <w:pPr>
        <w:spacing w:after="0" w:line="124"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i w:val="1"/>
          <w:iCs w:val="1"/>
          <w:color w:val="auto"/>
        </w:rPr>
        <w:t>VB Direct</w:t>
      </w:r>
      <w:r>
        <w:rPr>
          <w:rFonts w:ascii="Times New Roman" w:cs="Times New Roman" w:eastAsia="Times New Roman" w:hAnsi="Times New Roman"/>
          <w:sz w:val="17"/>
          <w:szCs w:val="17"/>
          <w:color w:val="auto"/>
        </w:rPr>
        <w:t>. For the thirteen weeks ended November 1, 2025, operating income in the VB Direct segment increased $0.6 million, or 27.6%, to $2.7 million,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from $2.1 million in the comparable prior-year period. As a percentage of VB Direct segment net revenues, operating income in the VB Direct segment was 5.4% and 4.0% for the thirteen weeks ended November 1, 2025 and November 2, 2024, respectively. The increase in operating income as a percentage of VB Direct segment net revenues was primarily due to decreased SG&amp;A expense, partially offset by decreased gross margin as a percentage of revenue.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VB Indirect</w:t>
      </w:r>
      <w:r>
        <w:rPr>
          <w:rFonts w:ascii="Times New Roman" w:cs="Times New Roman" w:eastAsia="Times New Roman" w:hAnsi="Times New Roman"/>
          <w:sz w:val="18"/>
          <w:szCs w:val="18"/>
          <w:color w:val="auto"/>
        </w:rPr>
        <w:t>. For the thirteen weeks ended November 1, 2025, operating income in the VB Indirect segment decreased $5.2 million, or 85.4%, to</w:t>
      </w:r>
    </w:p>
    <w:p>
      <w:pPr>
        <w:spacing w:after="0" w:line="29" w:lineRule="exact"/>
        <w:rPr>
          <w:sz w:val="20"/>
          <w:szCs w:val="20"/>
          <w:color w:val="auto"/>
        </w:rPr>
      </w:pPr>
    </w:p>
    <w:p>
      <w:pPr>
        <w:ind w:right="400"/>
        <w:spacing w:after="0" w:line="253" w:lineRule="auto"/>
        <w:rPr>
          <w:sz w:val="20"/>
          <w:szCs w:val="20"/>
          <w:color w:val="auto"/>
        </w:rPr>
      </w:pPr>
      <w:r>
        <w:rPr>
          <w:rFonts w:ascii="Times New Roman" w:cs="Times New Roman" w:eastAsia="Times New Roman" w:hAnsi="Times New Roman"/>
          <w:sz w:val="18"/>
          <w:szCs w:val="18"/>
          <w:color w:val="auto"/>
        </w:rPr>
        <w:t>$0.9 million from $6.1 million in the comparable prior-year period. As a percentage of VB Indirect segment net revenues, operating income in the VB Indirect segment was 7.0% and 33.7% for the thirteen weeks ended November 1, 2025 and November 2, 2024, respectively. The decrease in operating income as a percentage of VB Indirect segment net revenues was due to a decrease in gross margin as a percentage of revenue and SG&amp;A expense deleverage associated with decreased sales.</w:t>
      </w:r>
    </w:p>
    <w:p>
      <w:pPr>
        <w:spacing w:after="0" w:line="133" w:lineRule="exact"/>
        <w:rPr>
          <w:sz w:val="20"/>
          <w:szCs w:val="20"/>
          <w:color w:val="auto"/>
        </w:rPr>
      </w:pPr>
    </w:p>
    <w:p>
      <w:pPr>
        <w:ind w:right="380"/>
        <w:spacing w:after="0" w:line="267" w:lineRule="auto"/>
        <w:rPr>
          <w:sz w:val="20"/>
          <w:szCs w:val="20"/>
          <w:color w:val="auto"/>
        </w:rPr>
      </w:pPr>
      <w:r>
        <w:rPr>
          <w:rFonts w:ascii="Times New Roman" w:cs="Times New Roman" w:eastAsia="Times New Roman" w:hAnsi="Times New Roman"/>
          <w:sz w:val="18"/>
          <w:szCs w:val="18"/>
          <w:i w:val="1"/>
          <w:iCs w:val="1"/>
          <w:color w:val="auto"/>
        </w:rPr>
        <w:t>Corporate Unallocated</w:t>
      </w:r>
      <w:r>
        <w:rPr>
          <w:rFonts w:ascii="Times New Roman" w:cs="Times New Roman" w:eastAsia="Times New Roman" w:hAnsi="Times New Roman"/>
          <w:sz w:val="18"/>
          <w:szCs w:val="18"/>
          <w:color w:val="auto"/>
        </w:rPr>
        <w:t>. For the thirteen weeks ended November 1, 2025, unallocated expenses decreased $0.6 million, or 3.6%, to $15.7 million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$16.3 million in the comparable prior-year period. The decrease in unallocated expenses was primarily due to reduced headcount and variable compensation expense, partially offset by an increase in other income of $0.2 million from the TSA resulting from the sale of Creative Genius.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Income, Net</w:t>
      </w:r>
    </w:p>
    <w:p>
      <w:pPr>
        <w:spacing w:after="0" w:line="9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For the thirteen weeks ended November 1, 2025, interest expense was $(0.1) million, a $0.1 million increase, from interest income of $15 thousand, in the comparable prior-year period.</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0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effective tax rate for the thirteen weeks ended November 1, 2025, was (0.5)%, compared to (63.8)% for the thirteen weeks ended November 2, 2024. The change in year-over-year effective tax rate was primarily attributable to a full valuation allowance recorded against the Company's net deferred tax assets. See Note 7 "Income Taxes" of the Notes to the Condensed Consolidated Financial Statements for additional information about the Company's interim provision for income taxes.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Income from Continuing Operations</w:t>
      </w:r>
    </w:p>
    <w:p>
      <w:pPr>
        <w:spacing w:after="0" w:line="9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thirteen weeks ended November 1, 2025, there was a net loss from continuing operations of $(12.4) million, a $1.0 million decrease, from a net loss from continuing operations of $(13.3) million in the comparable prior-year period due to the factors described in the captions above.</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Thirty-Nine Weeks Ended November 1, 2025, Compared to Thirty-Nine Weeks Ended November 2, 2024</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106"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For the thirty-nine weeks ended November 1, 2025, net revenues decreased $47.6 million, or 20.5%, to $184.8 million, from $232.4 million in the comparable prior-year period.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VB Direct</w:t>
      </w:r>
      <w:r>
        <w:rPr>
          <w:rFonts w:ascii="Times New Roman" w:cs="Times New Roman" w:eastAsia="Times New Roman" w:hAnsi="Times New Roman"/>
          <w:sz w:val="18"/>
          <w:szCs w:val="18"/>
          <w:color w:val="auto"/>
        </w:rPr>
        <w:t>. For the thirty-nine weeks ended November 1, 2025, net revenues in the VB Direct segment decreased $27.9 million, or 15.4%, to</w:t>
      </w:r>
    </w:p>
    <w:p>
      <w:pPr>
        <w:spacing w:after="0" w:line="18" w:lineRule="exact"/>
        <w:rPr>
          <w:sz w:val="20"/>
          <w:szCs w:val="20"/>
          <w:color w:val="auto"/>
        </w:rPr>
      </w:pPr>
    </w:p>
    <w:p>
      <w:pPr>
        <w:ind w:right="320"/>
        <w:spacing w:after="0" w:line="242" w:lineRule="auto"/>
        <w:rPr>
          <w:sz w:val="20"/>
          <w:szCs w:val="20"/>
          <w:color w:val="auto"/>
        </w:rPr>
      </w:pPr>
      <w:r>
        <w:rPr>
          <w:rFonts w:ascii="Times New Roman" w:cs="Times New Roman" w:eastAsia="Times New Roman" w:hAnsi="Times New Roman"/>
          <w:sz w:val="18"/>
          <w:szCs w:val="18"/>
          <w:color w:val="auto"/>
        </w:rPr>
        <w:t>$153.3 million, from $181.1 million in the comparable prior-year period. Vera Bradley comparable sales decreased 16.1%, which includes a 24.9% decrease in comparable store sales as well as a decrease in e-commerce sales of 2.4%. In addition, non-comparable revenue increased $0.1 million. The decrease in comparable sales and comparable store sales was primarily due to reduced traffic, conversion, and units sold in the full-line, outlet, and e-commerce channels.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VB Indirect</w:t>
      </w:r>
      <w:r>
        <w:rPr>
          <w:rFonts w:ascii="Times New Roman" w:cs="Times New Roman" w:eastAsia="Times New Roman" w:hAnsi="Times New Roman"/>
          <w:sz w:val="18"/>
          <w:szCs w:val="18"/>
          <w:color w:val="auto"/>
        </w:rPr>
        <w:t>. For the thirty-nine weeks ended November 1, 2025, net revenues in the VB Indirect segment decreased $19.8 million, or 38.6%, to</w:t>
      </w:r>
    </w:p>
    <w:p>
      <w:pPr>
        <w:spacing w:after="0" w:line="18" w:lineRule="exact"/>
        <w:rPr>
          <w:sz w:val="20"/>
          <w:szCs w:val="20"/>
          <w:color w:val="auto"/>
        </w:rPr>
      </w:pPr>
    </w:p>
    <w:p>
      <w:pPr>
        <w:ind w:right="280"/>
        <w:spacing w:after="0" w:line="243" w:lineRule="auto"/>
        <w:rPr>
          <w:sz w:val="20"/>
          <w:szCs w:val="20"/>
          <w:color w:val="auto"/>
        </w:rPr>
      </w:pPr>
      <w:r>
        <w:rPr>
          <w:rFonts w:ascii="Times New Roman" w:cs="Times New Roman" w:eastAsia="Times New Roman" w:hAnsi="Times New Roman"/>
          <w:sz w:val="18"/>
          <w:szCs w:val="18"/>
          <w:color w:val="auto"/>
        </w:rPr>
        <w:t>$31.5 million, from $51.3 million in the comparable prior-year period. The decrease was primarily due to a decrease in specialty and key account orders coupled with a decline in liquidation sales.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For the thirty-nine weeks ended November 1, 2025, gross profit decreased $34.7 million, or 29.1%, to $84.5 million, from $119.2 million in the comparable prior-year period. As a percentage of net revenues, gross profit decreased to 45.7% for the thirty-nine weeks ended November 1, 2025, from 51.3% in the comparable prior-year period. Current year gross margin was negatively impacted by a $5.9 million inventory reserve charge, additional duty expenses and channel shifts that resulted in increased incremental shipping costs.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92" w:lineRule="exact"/>
        <w:rPr>
          <w:sz w:val="20"/>
          <w:szCs w:val="20"/>
          <w:color w:val="auto"/>
        </w:rPr>
      </w:pPr>
    </w:p>
    <w:p>
      <w:pPr>
        <w:ind w:right="300"/>
        <w:spacing w:after="0" w:line="230" w:lineRule="auto"/>
        <w:rPr>
          <w:sz w:val="20"/>
          <w:szCs w:val="20"/>
          <w:color w:val="auto"/>
        </w:rPr>
      </w:pPr>
      <w:r>
        <w:rPr>
          <w:rFonts w:ascii="Times New Roman" w:cs="Times New Roman" w:eastAsia="Times New Roman" w:hAnsi="Times New Roman"/>
          <w:sz w:val="18"/>
          <w:szCs w:val="18"/>
          <w:color w:val="auto"/>
        </w:rPr>
        <w:t>For the thirty-nine weeks ended November 1, 2025, SG&amp;A expenses decreased $16.3 million, or 12.0%, to $119.9 million, from $136.2 million in the comparable prior-year period. As a percentage of net revenues, SG&amp;A expenses increased to 64.9% for the thirty-nine weeks ended November 1, 2025, from 58.6% in the comparable prior-year period. For the thirty-nine weeks ended November 1, 2025, consolidated SG&amp;A expenses decreased primarily due to a $8.5 million reduction in employee-related costs, including reduced headcount and lower variable compensation; a $5.1 million reduction in advertising costs and selling expenses resulting from sales decreases as described above, net of the media credit write off; $1.0 million reduction in property, plant and equipment impairment charges and $1.7 million reduction in net other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0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For the thirty-nine weeks ended November 1, 2025, net other income increased $0.1 million to $0.8 million, from $0.7 million in the comparable prior-year period. The increase in net other income was primarily due to income from the TSA resulting from the sale of Creative Genius, partially offset by a legal settlement that occurred in the prior year period.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Loss from Continuing Operations</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thirty-nine weeks ended November 1, 2025, operating loss from continuing operations increased $18.2 million, or 111.4%, to $(34.6) million, from $(16.4) million in the comparable prior-year period. As a percentage of net revenues, operating loss from continuing operations was (18.9)% and (6.9)% for the thirty-nine weeks ended November 1, 2025 and November 2, 2024, respectively. Operating loss from continuing operations increased due to the factors described in the captions above.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VB Direct</w:t>
      </w:r>
      <w:r>
        <w:rPr>
          <w:rFonts w:ascii="Times New Roman" w:cs="Times New Roman" w:eastAsia="Times New Roman" w:hAnsi="Times New Roman"/>
          <w:sz w:val="18"/>
          <w:szCs w:val="18"/>
          <w:color w:val="auto"/>
        </w:rPr>
        <w:t>. For the thirty-nine weeks ended November 1, 2025, operating income in the VB Direct segment decreased $13.0 million, or 66.8%, to $6.5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from $19.5 million in the comparable prior-year period. As a percentage of VB Direct segment net revenues, operating income in the VB Direct segment was 4.2% and 10.8% for the thirty-nine weeks ended November 1, 2025 and November 2, 2024, respectively. The decrease in operating income as a percentage of VB Direct segment net revenues was primarily due to a decrease in gross margin as a percentage of net revenues as described above, SG&amp;A expense deleverage associated with decreased sales.</w:t>
      </w:r>
    </w:p>
    <w:p>
      <w:pPr>
        <w:spacing w:after="0" w:line="1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VB Indirect</w:t>
      </w:r>
      <w:r>
        <w:rPr>
          <w:rFonts w:ascii="Times New Roman" w:cs="Times New Roman" w:eastAsia="Times New Roman" w:hAnsi="Times New Roman"/>
          <w:sz w:val="18"/>
          <w:szCs w:val="18"/>
          <w:color w:val="auto"/>
        </w:rPr>
        <w:t>. For the thirty-nine weeks ended November 1, 2025, operating income in the VB Indirect segment decreased $9.6 million, or 65.5%, to $5.1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from $14.6 million in the comparable prior-year period. As a percentage of VB Indirect segment net revenues, operating income in the VB Indirect segment was 16.1% and 28.5% for the thirty-nine weeks ended November 1, 2025 and November 2, 2024, respectively. The decrease in operating income as a percentage of VB Indirect segment net revenues was due to a decrease in gross margin as a percentage of net revenues as well as SG&amp;A expense deleverage associated with decreased sales.</w:t>
      </w:r>
    </w:p>
    <w:p>
      <w:pPr>
        <w:spacing w:after="0" w:line="1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Corporate Unallocated</w:t>
      </w:r>
      <w:r>
        <w:rPr>
          <w:rFonts w:ascii="Times New Roman" w:cs="Times New Roman" w:eastAsia="Times New Roman" w:hAnsi="Times New Roman"/>
          <w:sz w:val="18"/>
          <w:szCs w:val="18"/>
          <w:color w:val="auto"/>
        </w:rPr>
        <w:t>. For the thirty-nine weeks ended November 1, 2025, unallocated expenses decreased $4.4 million, or 8.7%, to $46.2 million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$50.5 million in the comparable prior-year period. The decrease in unallocated expenses was primarily due to a $4.8 million reduction in employee-related costs, including reduced headcount and lower variable compensation and $1.6 million reduction in net other expenses. These expense reductions were partially offset by $2.0 million for severance charges for former CEO in the current year period.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Income, Net</w:t>
      </w:r>
    </w:p>
    <w:p>
      <w:pPr>
        <w:spacing w:after="0" w:line="17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For the thirty-nine weeks ended November 1, 2025, interest expense increased $1.0 million, to $(0.3) million from interest income of $0.7 million in the comparable prior-year period.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 (Benefit)</w:t>
      </w:r>
    </w:p>
    <w:p>
      <w:pPr>
        <w:spacing w:after="0" w:line="17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effective tax rate for the thirty-nine weeks ended November 1, 2025, was (1.3)%, compared to 14.4% for the thirty-nine weeks ended November 2, 2024. The change in year-over-year effective tax rate was primarily attributable to a full valuation allowance recorded against the Company's net deferred tax assets. See Note 7 "Income Taxes" of the Notes to the Condensed Consolidated Financial Statements for additional information about the Company's interim provision for income taxes.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from Continuing Operations</w:t>
      </w:r>
    </w:p>
    <w:p>
      <w:pPr>
        <w:spacing w:after="0" w:line="10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For the thirty-nine weeks ended November 1, 2025, there was a net loss from continuing operations of $(35.3) million, a $21.9 million increase, from $(13.4) million in the comparable prior-year period due to the factors described in the captions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0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primary sources of liquidity are cash on hand and cash equivalents, as well as cash flow from operations. We also have access to additional liquidity, if needed, through borrowings under our $75.0 million asset-based revolving credit agreement (the “Credit Agreement”). New borrowings under the credit agreement totaled $0.0 million and $15.0 million during the thirteen and thirty-nine weeks ended November 1, 2025. We had no borrowings under the credit agreement during the thirteen weeks ended November 2, 2024. There was $10.0 million in debt outstanding as of November 1, 2025. There was no debt outstanding as of November 2, 2024. Historically, our primary cash needs have been for merchandise inventories; payroll; store rent; capital expenditures associated with operational equipment, buildings, information technology, and opening new stores; and share repurchases. The most significant components of our working capital are cash and cash equivalents, merchandise inventories, accounts receivable, accounts payable, and other current liabilities.</w:t>
      </w:r>
    </w:p>
    <w:p>
      <w:pPr>
        <w:spacing w:after="0" w:line="21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believe that cash on hand and cash equivalents, cash flows from operating activities, and the availability of borrowings under our Credit Agreement or other financing arrangements will be sufficient to meet working capital requirements and anticipated capital expenditures, and other strategic uses of cash, if any, for the foreseeable future.</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Analysis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operating, investing, and financing activities is shown in the following table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gridSpan w:val="4"/>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23"/>
        </w:trPr>
        <w:tc>
          <w:tcPr>
            <w:tcW w:w="8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31"/>
        </w:trPr>
        <w:tc>
          <w:tcPr>
            <w:tcW w:w="8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November 1,</w:t>
            </w:r>
          </w:p>
        </w:tc>
        <w:tc>
          <w:tcPr>
            <w:tcW w:w="220" w:type="dxa"/>
            <w:vAlign w:val="bottom"/>
          </w:tcPr>
          <w:p>
            <w:pPr>
              <w:spacing w:after="0"/>
              <w:rPr>
                <w:sz w:val="11"/>
                <w:szCs w:val="11"/>
                <w:color w:val="auto"/>
              </w:rPr>
            </w:pPr>
          </w:p>
        </w:tc>
        <w:tc>
          <w:tcPr>
            <w:tcW w:w="1220" w:type="dxa"/>
            <w:vAlign w:val="bottom"/>
          </w:tcPr>
          <w:p>
            <w:pPr>
              <w:jc w:val="right"/>
              <w:ind w:right="257"/>
              <w:spacing w:after="0" w:line="131" w:lineRule="exact"/>
              <w:rPr>
                <w:sz w:val="20"/>
                <w:szCs w:val="20"/>
                <w:color w:val="auto"/>
              </w:rPr>
            </w:pPr>
            <w:r>
              <w:rPr>
                <w:rFonts w:ascii="Times New Roman" w:cs="Times New Roman" w:eastAsia="Times New Roman" w:hAnsi="Times New Roman"/>
                <w:sz w:val="14"/>
                <w:szCs w:val="14"/>
                <w:b w:val="1"/>
                <w:bCs w:val="1"/>
                <w:color w:val="auto"/>
              </w:rPr>
              <w:t>November 2,</w:t>
            </w:r>
          </w:p>
        </w:tc>
      </w:tr>
      <w:tr>
        <w:trPr>
          <w:trHeight w:val="195"/>
        </w:trPr>
        <w:tc>
          <w:tcPr>
            <w:tcW w:w="8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(35,757)</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(6,050)</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(21,871)</w:t>
            </w:r>
          </w:p>
        </w:tc>
      </w:tr>
    </w:tbl>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9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consists primarily of net loss adjusted for non-cash items, including depreciation, amortization, impairment charges, deferred taxes, and stock-based compensation; and the effect of changes in assets and liabilities.</w:t>
      </w:r>
    </w:p>
    <w:p>
      <w:pPr>
        <w:spacing w:after="0" w:line="108"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for the thirty-nine weeks ended November 1, 2025 was $27.3 million compared to $35.8 million for the thirty-nine weeks ended November 2, 2024. The decrease in cash used in operating activities was primarily related to a net loss of $(50.5) million, a $35.7 million increase, from the comparable prior-year period, partially offset by a loss on sale of business of $15.2 million, as well as the the change in inventories resulting from decreased purchasing in the current year and the inventory reserve charge of $5.9 million and a write off of media credits of $4.0 million.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06"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Investing activities consist primarily of investments and capital expenditures related to new store openings, buildings, operational equipment, and information technology investments.</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$2.0 million for the thirty-nine weeks ended November 1, 2025 compared to $6.1 million for the thirty-nine weeks ended November 2, 2024. The decrease in cash used in investing activities was primarily due to $1.0 million proceeds from the sale of Pura Vida as well as a decrease in property, plant, and equipment spending of $3.0 million.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(Used in) Financing Activities</w:t>
      </w:r>
    </w:p>
    <w:p>
      <w:pPr>
        <w:spacing w:after="0" w:line="17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$9.8 million for the thirty-nine weeks ended November 1, 2025 compared to net cash used in financing activities of $21.9 million for the thirty-nine weeks ended November 2, 2024. The increase in cash provided by financing activities was primarily due to $21.2 million of common stock repurchases in the prior-year period compared to no common stock repurchases in the current-year period, and net borrowings of $10.0 million from the credit facility in the current-year period.</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9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On September 7, 2018, Vera Bradley Designs, Inc. (“VBD”), a wholly-owned subsidiary of the Company, entered into an asset-based revolving Credit Agreement (the “Credit Agreement”) among VBD, JPMorgan Chase Bank, N.A., as administrative agent, and the lenders from time to time party thereto. On March 11, 2025, certain subsidiaries of the Company, JP Morgan Chase Bank, N.A., as the administrative agent, and lenders from time to time party thereto, entered into a Fourth Amendment (the “Fourth Amendment”) to the Credit Agreement. The Credit Agreement provides for certain credit facilities to VBD in an aggregate principal amount not to initially exceed the lesser of $75.0 million or the amount of borrowing availability determined in accordance with a borrowing base of certain assets. Borrowings under the credit facilities are available to finance general corporate purposes of VBD and its subsidiaries, including but not limited to Vera Bradley International, LLC, and Vera Bradley Sales, LLC. The Credit Agreement also contains an option for VBD to arrange with lenders to increase the aggregate principal amount by up to $50.0 million.</w:t>
      </w:r>
    </w:p>
    <w:p>
      <w:pPr>
        <w:spacing w:after="0" w:line="7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October 21, 2025, VBD amended the agreement to include, among other things: (i) permit the sale of certain real property assets without requiring the application of the proceeds from such sale to be used to repay amounts outstanding under the Credit Agreement, (ii) remove the prohibition against sale and leaseback transactions and (iii) increase the amount of Company assets permitted to be disposed of in any fiscal year outside the ordinary course of business from $5,000,000 to $10,000,000.</w:t>
      </w:r>
    </w:p>
    <w:p>
      <w:pPr>
        <w:spacing w:after="0" w:line="5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of November 1, 2025, the Company had $10.0 million borrowings outstanding and availability of $65.0 million under the Credit Agreement, compared to no borrowings outstanding and availability of $75.0 million as of February 1, 2025 under the Credit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regarding the Credit Agreement, please see Note 6 of the Notes to Condensed Consolidated Financial Statements herein.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of November 1, 2025, there were no material changes outside the ordinary course of business to material cash requirements, as disclosed in our Annual Report on Form 10-K for the fiscal year ended February 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Off-Balance-Sheet Arrangements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off-balance-sheet financing or unconsolidated special-purpose entities.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94"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accounting principles generally accepted in the United States requires management to make estimates and assumptions that affect the reported amounts of assets, liabilities, revenues, and expenses, as well as the related disclosures of contingent assets and liabilities at the date of the financial statements. A summary of the Company’s significant accounting policies is included in Note 2 to the Company’s consolidated financial statements in the Company’s Annual Report on Form 10-K for the fiscal year ended February 1, 2025.</w:t>
      </w:r>
    </w:p>
    <w:p>
      <w:pPr>
        <w:spacing w:after="0" w:line="12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Certain accounting policies and estimates of the Company are considered critical, as these policies and estimates are the most important to the depiction of the Company’s consolidated financial statements and require significant, difficult, or complex judgments, often about the effect of matters that are inherently uncertain. Such policies are summarized in the “Management’s Discussion and Analysis of Financial Condition and Results of Operations” in the Company’s Annual Report on Form 10-K for the fiscal year ended February 1, 2025. There were no significant changes to any of the critical accounting policies and estimates described in the Annual Report as of November 1, 2025.</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Refer to Note 1 “Description of the Company and Basis of Presentation” within Item 1 “Financial Statements” of this Quarterly Report on Form 10-Q for a discussion of recently issued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November 1, 2025, there was no material change in the market risks described in “Quantitative and Qualitative Disclosures About Market Risks” in the Company’s Annual Report on Form 10-K for the fiscal year ended February 1, 2025.</w:t>
      </w:r>
    </w:p>
    <w:p>
      <w:pPr>
        <w:spacing w:after="0" w:line="1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 the end of the period covered by this Quarterly Report on Form 10-Q, the Company carried out an evaluation, under the supervision and with the participation of the Company’s Disclosure Committee and management, including the Chief Executive Officer and the Chief Financial Officer, of the effectiveness of the design and operation of the Company’s disclosure controls and procedures pursuant to Rule 13a-15 of the Securities Exchange Act of 1934. Based on that evaluation, the Chief Executive Officer and Chief Financial Officer concluded that the Company’s disclosure controls and procedures were effective as of November 1, 2025.</w:t>
      </w:r>
    </w:p>
    <w:p>
      <w:pPr>
        <w:spacing w:after="0" w:line="1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most recent fiscal quarter that has materially affected, or that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0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may be involved from time to time, as a plaintiff or a defendant, in various routine legal proceedings incidental to the ordinary course of our business. In the ordinary course, we are involved in the policing of our intellectual property rights. As part of our policing program, from time to time we file lawsuits in the United States and abroad, alleging acts of trademark counterfeiting, trademark infringement, trademark dilution, and ancillary and pendent state and foreign law claims. These actions often result in seizure of counterfeit merchandise and negotiated settlements with defendants. Defendants sometimes raise as affirmative defenses, or as counterclaims, the purported invalidity or unenforceability of our proprietary rights.</w:t>
      </w:r>
    </w:p>
    <w:p>
      <w:pPr>
        <w:spacing w:after="0" w:line="35"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In June of 2025, the Company received a notice from the buyer of Creative Genius requesting a purchase price adjustment of approximately $4.6 million related to the sale of Creative Genius. The demand was based on certain working capital adjustments. The Company has disputed this purchase price adjustment request. On August 27, 2025, the Company filed an action in the Chancery Court of Delaware seeking a judgment declaring that the buyer’s claim for a purchase price adjustment is improper and barred by the purchase Agreement. The Company has filed for summary judgment in that action. At this time, we are not able to estimate a possible loss or range of loss that may result from this matter or to determine whether such loss, if any, would have a material adverse effect on our financial condition or results of operations due to the fact that the Company believes the purchase price adjustment is improper, and is seeking to have it declared as such by a Delaware Court. The Company believes that it has a number of meritorious legal approaches in defending itself against these claims. The Company is also subject to other legal proceedings from time to time in the ordinary course of business but does not believe any of these such claims would have a material adverse impact on the Company at this time.</w:t>
      </w:r>
    </w:p>
    <w:p>
      <w:pPr>
        <w:spacing w:after="0" w:line="30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08"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set forth in the Company’s Annual Report on Form 10-K for the fiscal year ended February 1, 2025.</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108"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In December 2024, the Company's board of directors approved a new share repurchase plan (the “2024 Share Repurchase Program”) which authorized Company management to utilize up to $30.0 million of available cash for repurchases of shares of the Company's common stock. The 2024 Share Repurchase Program went into effect beginning December 14, 2024 and expires in December 2027. The Company does not currently plan to purchase under the 2024 Share Repurchase Program, but anticipates utilizing it in the future depending on the Company's cash position.</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November 1, 2025, there were no purchases made under the 2024 Share Repurchase Program.</w:t>
      </w:r>
    </w:p>
    <w:p>
      <w:pPr>
        <w:spacing w:after="0" w:line="34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Trading Plans of Directors and Executive Officers</w:t>
      </w:r>
    </w:p>
    <w:p>
      <w:pPr>
        <w:spacing w:after="0" w:line="10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thirteen weeks ended November 1, 2025,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spacing w:after="0" w:line="200" w:lineRule="exact"/>
        <w:rPr>
          <w:sz w:val="20"/>
          <w:szCs w:val="20"/>
          <w:color w:val="auto"/>
        </w:rPr>
      </w:pPr>
    </w:p>
    <w:p>
      <w:pPr>
        <w:spacing w:after="0" w:line="3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44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80" w:type="dxa"/>
            <w:vAlign w:val="bottom"/>
            <w:gridSpan w:val="7"/>
          </w:tcPr>
          <w:p>
            <w:pPr>
              <w:ind w:left="120"/>
              <w:spacing w:after="0"/>
              <w:rPr>
                <w:sz w:val="20"/>
                <w:szCs w:val="20"/>
                <w:color w:val="auto"/>
              </w:rPr>
            </w:pPr>
            <w:r>
              <w:rPr>
                <w:rFonts w:ascii="Times New Roman" w:cs="Times New Roman" w:eastAsia="Times New Roman" w:hAnsi="Times New Roman"/>
                <w:sz w:val="18"/>
                <w:szCs w:val="18"/>
                <w:color w:val="auto"/>
              </w:rPr>
              <w:t>a. Exhibits</w:t>
            </w: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4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tcBorders>
              <w:bottom w:val="single" w:sz="8" w:color="auto"/>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CEO Section 302 Certification</w:t>
            </w:r>
          </w:p>
        </w:tc>
        <w:tc>
          <w:tcPr>
            <w:tcW w:w="7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CFO Section 302 Certification</w:t>
            </w:r>
          </w:p>
        </w:tc>
        <w:tc>
          <w:tcPr>
            <w:tcW w:w="77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9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Section 906 Certifications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80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300" w:hanging="127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76"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640" w:type="dxa"/>
            <w:vAlign w:val="bottom"/>
          </w:tcPr>
          <w:p>
            <w:pPr>
              <w:spacing w:after="0"/>
              <w:rPr>
                <w:sz w:val="17"/>
                <w:szCs w:val="17"/>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Vera Bradley, Inc.</w:t>
            </w:r>
          </w:p>
        </w:tc>
      </w:tr>
      <w:tr>
        <w:trPr>
          <w:trHeight w:val="234"/>
        </w:trPr>
        <w:tc>
          <w:tcPr>
            <w:tcW w:w="564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508"/>
        </w:trPr>
        <w:tc>
          <w:tcPr>
            <w:tcW w:w="5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Date: December 11, 2025</w:t>
            </w:r>
          </w:p>
        </w:tc>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Martin Layding</w:t>
            </w:r>
          </w:p>
        </w:tc>
      </w:tr>
      <w:tr>
        <w:trPr>
          <w:trHeight w:val="218"/>
        </w:trPr>
        <w:tc>
          <w:tcPr>
            <w:tcW w:w="564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Martin Layding</w:t>
            </w:r>
          </w:p>
        </w:tc>
      </w:tr>
      <w:tr>
        <w:trPr>
          <w:trHeight w:val="234"/>
        </w:trPr>
        <w:tc>
          <w:tcPr>
            <w:tcW w:w="564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20"/>
          </w:cols>
          <w:pgMar w:left="320" w:top="117" w:right="35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Ian Bickley, certify that:</w:t>
      </w:r>
    </w:p>
    <w:p>
      <w:pPr>
        <w:spacing w:after="0" w:line="104"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Vera Bradley, Inc.;</w:t>
      </w:r>
    </w:p>
    <w:p>
      <w:pPr>
        <w:spacing w:after="0" w:line="90"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0"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1300" w:right="200" w:hanging="644"/>
        <w:spacing w:after="0" w:line="266"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300" w:right="140" w:hanging="644"/>
        <w:spacing w:after="0" w:line="273"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132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Date: December 11, 2025</w:t>
            </w:r>
          </w:p>
        </w:tc>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Ian Bickley</w:t>
            </w:r>
          </w:p>
        </w:tc>
      </w:tr>
      <w:tr>
        <w:trPr>
          <w:trHeight w:val="216"/>
        </w:trPr>
        <w:tc>
          <w:tcPr>
            <w:tcW w:w="4980" w:type="dxa"/>
            <w:vAlign w:val="bottom"/>
          </w:tcPr>
          <w:p>
            <w:pPr>
              <w:spacing w:after="0"/>
              <w:rPr>
                <w:sz w:val="18"/>
                <w:szCs w:val="18"/>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Ian Bickley</w:t>
            </w:r>
          </w:p>
        </w:tc>
      </w:tr>
      <w:tr>
        <w:trPr>
          <w:trHeight w:val="236"/>
        </w:trPr>
        <w:tc>
          <w:tcPr>
            <w:tcW w:w="498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Executive Chairman &amp; Interim Chief Executive Officer</w:t>
            </w:r>
          </w:p>
        </w:tc>
      </w:tr>
    </w:tbl>
    <w:p>
      <w:pPr>
        <w:sectPr>
          <w:pgSz w:w="11900" w:h="16838" w:orient="portrait"/>
          <w:cols w:equalWidth="0" w:num="1">
            <w:col w:w="11240"/>
          </w:cols>
          <w:pgMar w:left="320" w:top="88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Martin Layding, certify that:</w:t>
      </w:r>
    </w:p>
    <w:p>
      <w:pPr>
        <w:spacing w:after="0" w:line="104"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Vera Bradley, Inc.;</w:t>
      </w:r>
    </w:p>
    <w:p>
      <w:pPr>
        <w:spacing w:after="0" w:line="90"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0"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1300" w:right="200" w:hanging="644"/>
        <w:spacing w:after="0" w:line="266"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300" w:right="140" w:hanging="644"/>
        <w:spacing w:after="0" w:line="273"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1320"/>
        <w:spacing w:after="0"/>
        <w:tabs>
          <w:tab w:leader="none" w:pos="6300" w:val="left"/>
        </w:tabs>
        <w:rPr>
          <w:sz w:val="20"/>
          <w:szCs w:val="20"/>
          <w:color w:val="auto"/>
        </w:rPr>
      </w:pPr>
      <w:r>
        <w:rPr>
          <w:rFonts w:ascii="Times New Roman" w:cs="Times New Roman" w:eastAsia="Times New Roman" w:hAnsi="Times New Roman"/>
          <w:sz w:val="16"/>
          <w:szCs w:val="16"/>
          <w:b w:val="1"/>
          <w:bCs w:val="1"/>
          <w:color w:val="auto"/>
        </w:rPr>
        <w:t>Date: December 11, 2025</w:t>
      </w:r>
      <w:r>
        <w:rPr>
          <w:sz w:val="20"/>
          <w:szCs w:val="20"/>
          <w:color w:val="auto"/>
        </w:rPr>
        <w:tab/>
      </w:r>
      <w:r>
        <w:rPr>
          <w:rFonts w:ascii="Times New Roman" w:cs="Times New Roman" w:eastAsia="Times New Roman" w:hAnsi="Times New Roman"/>
          <w:sz w:val="17"/>
          <w:szCs w:val="17"/>
          <w:color w:val="auto"/>
        </w:rPr>
        <w:t>/s/ Martin Layding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24765</wp:posOffset>
            </wp:positionV>
            <wp:extent cx="31203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122"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Martin Layding</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1240"/>
          </w:cols>
          <w:pgMar w:left="320" w:top="887"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ind w:right="60" w:firstLine="180"/>
        <w:spacing w:after="0" w:line="261" w:lineRule="auto"/>
        <w:rPr>
          <w:sz w:val="20"/>
          <w:szCs w:val="20"/>
          <w:color w:val="auto"/>
        </w:rPr>
      </w:pPr>
      <w:r>
        <w:rPr>
          <w:rFonts w:ascii="Times New Roman" w:cs="Times New Roman" w:eastAsia="Times New Roman" w:hAnsi="Times New Roman"/>
          <w:sz w:val="18"/>
          <w:szCs w:val="18"/>
          <w:color w:val="auto"/>
        </w:rPr>
        <w:t>I, Ian Bickley, the Executive Chairman &amp; Interim Chief Executive Officer of Vera Bradley, Inc., certify that (i) the quarterly report on Form 10-Q for the fiscal quarter ended November 1, 2025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Ian Bickley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318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Ian Bickley</w:t>
      </w:r>
    </w:p>
    <w:p>
      <w:pPr>
        <w:spacing w:after="0" w:line="2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i w:val="1"/>
          <w:iCs w:val="1"/>
          <w:color w:val="auto"/>
        </w:rPr>
        <w:t>Executive Chairman &amp; Interim Chief Executive Officer</w:t>
      </w:r>
    </w:p>
    <w:p>
      <w:pPr>
        <w:spacing w:after="0" w:line="28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December 11,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318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Date</w:t>
      </w:r>
    </w:p>
    <w:p>
      <w:pPr>
        <w:spacing w:after="0" w:line="347" w:lineRule="exact"/>
        <w:rPr>
          <w:sz w:val="20"/>
          <w:szCs w:val="20"/>
          <w:color w:val="auto"/>
        </w:rPr>
      </w:pPr>
    </w:p>
    <w:p>
      <w:pPr>
        <w:ind w:right="160" w:firstLine="180"/>
        <w:spacing w:after="0" w:line="261" w:lineRule="auto"/>
        <w:rPr>
          <w:sz w:val="20"/>
          <w:szCs w:val="20"/>
          <w:color w:val="auto"/>
        </w:rPr>
      </w:pPr>
      <w:r>
        <w:rPr>
          <w:rFonts w:ascii="Times New Roman" w:cs="Times New Roman" w:eastAsia="Times New Roman" w:hAnsi="Times New Roman"/>
          <w:sz w:val="18"/>
          <w:szCs w:val="18"/>
          <w:color w:val="auto"/>
        </w:rPr>
        <w:t>I, Martin Layding, the Chief Financial Officer of Vera Bradley, Inc., certify that (i) the quarterly report on Form 10-Q for the fiscal quarter ended November 1, 2025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Martin Layding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318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Martin Layding</w:t>
      </w:r>
    </w:p>
    <w:p>
      <w:pPr>
        <w:spacing w:after="0" w:line="2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8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December 11,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318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Date</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1."/>
      <w:numFmt w:val="decimal"/>
      <w:start w:val="1"/>
    </w:lvl>
    <w:lvl w:ilvl="1">
      <w:lvlJc w:val="left"/>
      <w:lvlText w:val="•"/>
      <w:numFmt w:val="bullet"/>
      <w:start w:val="1"/>
    </w:lvl>
  </w:abstractNum>
  <w:abstractNum w:abstractNumId="4">
    <w:nsid w:val="4E6AFB66"/>
    <w:multiLevelType w:val="hybridMultilevel"/>
    <w:lvl w:ilvl="0">
      <w:lvlJc w:val="left"/>
      <w:lvlText w:val="%1."/>
      <w:numFmt w:val="decimal"/>
      <w:start w:val="2"/>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1."/>
      <w:numFmt w:val="decimal"/>
      <w:start w:val="3"/>
    </w:lvl>
  </w:abstractNum>
  <w:abstractNum w:abstractNumId="10">
    <w:nsid w:val="257130A3"/>
    <w:multiLevelType w:val="hybridMultilevel"/>
    <w:lvl w:ilvl="0">
      <w:lvlJc w:val="left"/>
      <w:lvlText w:val="%1"/>
      <w:numFmt w:val="decimal"/>
      <w:start w:val="1"/>
    </w:lvl>
    <w:lvl w:ilvl="1">
      <w:lvlJc w:val="left"/>
      <w:lvlText w:val="(%2)"/>
      <w:numFmt w:val="decimal"/>
      <w:start w:val="1"/>
    </w:lvl>
  </w:abstractNum>
  <w:abstractNum w:abstractNumId="11">
    <w:nsid w:val="62BBD95A"/>
    <w:multiLevelType w:val="hybridMultilevel"/>
    <w:lvl w:ilvl="0">
      <w:lvlJc w:val="left"/>
      <w:lvlText w:val="%1."/>
      <w:numFmt w:val="decimal"/>
      <w:start w:val="4"/>
    </w:lvl>
    <w:lvl w:ilvl="1">
      <w:lvlJc w:val="left"/>
      <w:lvlText w:val="%2"/>
      <w:numFmt w:val="decimal"/>
      <w:start w:val="1"/>
    </w:lvl>
  </w:abstractNum>
  <w:abstractNum w:abstractNumId="12">
    <w:nsid w:val="436C6125"/>
    <w:multiLevelType w:val="hybridMultilevel"/>
    <w:lvl w:ilvl="0">
      <w:lvlJc w:val="left"/>
      <w:lvlText w:val="%1."/>
      <w:numFmt w:val="decimal"/>
      <w:start w:val="5"/>
    </w:lvl>
    <w:lvl w:ilvl="1">
      <w:lvlJc w:val="left"/>
      <w:lvlText w:val="•"/>
      <w:numFmt w:val="bullet"/>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decimal"/>
      <w:start w:val="6"/>
    </w:lvl>
  </w:abstractNum>
  <w:abstractNum w:abstractNumId="15">
    <w:nsid w:val="721DA317"/>
    <w:multiLevelType w:val="hybridMultilevel"/>
    <w:lvl w:ilvl="0">
      <w:lvlJc w:val="left"/>
      <w:lvlText w:val="%1."/>
      <w:numFmt w:val="decimal"/>
      <w:start w:val="7"/>
    </w:lvl>
  </w:abstractNum>
  <w:abstractNum w:abstractNumId="16">
    <w:nsid w:val="2443A858"/>
    <w:multiLevelType w:val="hybridMultilevel"/>
    <w:lvl w:ilvl="0">
      <w:lvlJc w:val="left"/>
      <w:lvlText w:val="%1."/>
      <w:numFmt w:val="decimal"/>
      <w:start w:val="9"/>
    </w:lvl>
  </w:abstractNum>
  <w:abstractNum w:abstractNumId="17">
    <w:nsid w:val="2D1D5AE9"/>
    <w:multiLevelType w:val="hybridMultilevel"/>
    <w:lvl w:ilvl="0">
      <w:lvlJc w:val="left"/>
      <w:lvlText w:val="%1."/>
      <w:numFmt w:val="decimal"/>
      <w:start w:val="10"/>
    </w:lvl>
  </w:abstractNum>
  <w:abstractNum w:abstractNumId="18">
    <w:nsid w:val="6763845E"/>
    <w:multiLevelType w:val="hybridMultilevel"/>
    <w:lvl w:ilvl="0">
      <w:lvlJc w:val="left"/>
      <w:lvlText w:val="%1."/>
      <w:numFmt w:val="decimal"/>
      <w:start w:val="12"/>
    </w:lvl>
  </w:abstractNum>
  <w:abstractNum w:abstractNumId="19">
    <w:nsid w:val="75A2A8D4"/>
    <w:multiLevelType w:val="hybridMultilevel"/>
    <w:lvl w:ilvl="0">
      <w:lvlJc w:val="left"/>
      <w:lvlText w:val="%1"/>
      <w:numFmt w:val="decimal"/>
      <w:start w:val="1"/>
    </w:lvl>
    <w:lvl w:ilvl="1">
      <w:lvlJc w:val="left"/>
      <w:lvlText w:val="(%2)"/>
      <w:numFmt w:val="decimal"/>
      <w:start w:val="1"/>
    </w:lvl>
  </w:abstractNum>
  <w:abstractNum w:abstractNumId="20">
    <w:nsid w:val="8EDBDAB"/>
    <w:multiLevelType w:val="hybridMultilevel"/>
    <w:lvl w:ilvl="0">
      <w:lvlJc w:val="left"/>
      <w:lvlText w:val="%1."/>
      <w:numFmt w:val="decimal"/>
      <w:start w:val="13"/>
    </w:lvl>
    <w:lvl w:ilvl="1">
      <w:lvlJc w:val="left"/>
      <w:lvlText w:val="%2"/>
      <w:numFmt w:val="decimal"/>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decimal"/>
      <w:start w:val="1"/>
    </w:lvl>
  </w:abstractNum>
  <w:abstractNum w:abstractNumId="25">
    <w:nsid w:val="54E49EB4"/>
    <w:multiLevelType w:val="hybridMultilevel"/>
    <w:lvl w:ilvl="0">
      <w:lvlJc w:val="left"/>
      <w:lvlText w:val="%1"/>
      <w:numFmt w:val="decimal"/>
      <w:start w:val="104"/>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2025-12-11T15:09:04Z</dcterms:created>
  <dcterms:modified xsi:type="dcterms:W3CDTF">2025-12-11T15:09:04Z</dcterms:modified>
</cp:coreProperties>
</file>