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3"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302260</wp:posOffset>
            </wp:positionH>
            <wp:positionV relativeFrom="page">
              <wp:posOffset>697230</wp:posOffset>
            </wp:positionV>
            <wp:extent cx="695198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51980" cy="8255"/>
                    </a:xfrm>
                    <a:prstGeom prst="rect">
                      <a:avLst/>
                    </a:prstGeom>
                    <a:noFill/>
                  </pic:spPr>
                </pic:pic>
              </a:graphicData>
            </a:graphic>
          </wp:anchor>
        </w:drawing>
        <w:drawing>
          <wp:anchor simplePos="0" relativeHeight="251657728" behindDoc="1" locked="0" layoutInCell="0" allowOverlap="1">
            <wp:simplePos x="0" y="0"/>
            <wp:positionH relativeFrom="page">
              <wp:posOffset>302260</wp:posOffset>
            </wp:positionH>
            <wp:positionV relativeFrom="page">
              <wp:posOffset>662940</wp:posOffset>
            </wp:positionV>
            <wp:extent cx="695198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51980" cy="8890"/>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 w:lineRule="exact"/>
        <w:rPr>
          <w:sz w:val="24"/>
          <w:szCs w:val="24"/>
          <w:color w:val="auto"/>
        </w:rPr>
      </w:pPr>
    </w:p>
    <w:p>
      <w:pPr>
        <w:ind w:left="4400"/>
        <w:spacing w:after="0"/>
        <w:rPr>
          <w:sz w:val="20"/>
          <w:szCs w:val="20"/>
          <w:color w:val="auto"/>
        </w:rPr>
      </w:pPr>
      <w:r>
        <w:rPr>
          <w:rFonts w:ascii="Times New Roman" w:cs="Times New Roman" w:eastAsia="Times New Roman" w:hAnsi="Times New Roman"/>
          <w:sz w:val="18"/>
          <w:szCs w:val="18"/>
          <w:color w:val="auto"/>
        </w:rPr>
        <w:t>___________________________</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5" w:lineRule="exact"/>
        <w:rPr>
          <w:sz w:val="24"/>
          <w:szCs w:val="24"/>
          <w:color w:val="auto"/>
        </w:rPr>
      </w:pPr>
    </w:p>
    <w:p>
      <w:pPr>
        <w:ind w:left="4400"/>
        <w:spacing w:after="0"/>
        <w:rPr>
          <w:sz w:val="20"/>
          <w:szCs w:val="20"/>
          <w:color w:val="auto"/>
        </w:rPr>
      </w:pPr>
      <w:r>
        <w:rPr>
          <w:rFonts w:ascii="Times New Roman" w:cs="Times New Roman" w:eastAsia="Times New Roman" w:hAnsi="Times New Roman"/>
          <w:sz w:val="18"/>
          <w:szCs w:val="18"/>
          <w:color w:val="auto"/>
        </w:rPr>
        <w:t>___________________________</w:t>
      </w:r>
    </w:p>
    <w:p>
      <w:pPr>
        <w:spacing w:after="0" w:line="20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9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June 4, 2026</w:t>
      </w:r>
    </w:p>
    <w:p>
      <w:pPr>
        <w:spacing w:after="0" w:line="23" w:lineRule="exact"/>
        <w:rPr>
          <w:sz w:val="24"/>
          <w:szCs w:val="24"/>
          <w:color w:val="auto"/>
        </w:rPr>
      </w:pPr>
    </w:p>
    <w:p>
      <w:pPr>
        <w:ind w:left="4380"/>
        <w:spacing w:after="0"/>
        <w:rPr>
          <w:sz w:val="20"/>
          <w:szCs w:val="20"/>
          <w:color w:val="auto"/>
        </w:rPr>
      </w:pPr>
      <w:r>
        <w:rPr>
          <w:rFonts w:ascii="Times New Roman" w:cs="Times New Roman" w:eastAsia="Times New Roman" w:hAnsi="Times New Roman"/>
          <w:sz w:val="18"/>
          <w:szCs w:val="18"/>
          <w:color w:val="auto"/>
        </w:rPr>
        <w:t>___________________________</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VERA BRADLEY, INC.</w:t>
      </w:r>
    </w:p>
    <w:p>
      <w:pPr>
        <w:spacing w:after="0" w:line="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7" w:lineRule="exact"/>
        <w:rPr>
          <w:sz w:val="24"/>
          <w:szCs w:val="24"/>
          <w:color w:val="auto"/>
        </w:rPr>
      </w:pPr>
    </w:p>
    <w:p>
      <w:pPr>
        <w:ind w:left="4400"/>
        <w:spacing w:after="0"/>
        <w:rPr>
          <w:sz w:val="20"/>
          <w:szCs w:val="20"/>
          <w:color w:val="auto"/>
        </w:rPr>
      </w:pPr>
      <w:r>
        <w:rPr>
          <w:rFonts w:ascii="Times New Roman" w:cs="Times New Roman" w:eastAsia="Times New Roman" w:hAnsi="Times New Roman"/>
          <w:sz w:val="18"/>
          <w:szCs w:val="18"/>
          <w:color w:val="auto"/>
        </w:rPr>
        <w:t>___________________________</w:t>
      </w:r>
    </w:p>
    <w:p>
      <w:pPr>
        <w:spacing w:after="0" w:line="284" w:lineRule="exact"/>
        <w:rPr>
          <w:sz w:val="24"/>
          <w:szCs w:val="24"/>
          <w:color w:val="auto"/>
        </w:rPr>
      </w:pPr>
    </w:p>
    <w:tbl>
      <w:tblPr>
        <w:tblLayout w:type="fixed"/>
        <w:tblInd w:w="540" w:type="dxa"/>
        <w:tblCellMar>
          <w:top w:w="0" w:type="dxa"/>
          <w:left w:w="0" w:type="dxa"/>
          <w:bottom w:w="0" w:type="dxa"/>
          <w:right w:w="0" w:type="dxa"/>
        </w:tblCellMar>
      </w:tblPr>
      <w:tr>
        <w:trPr>
          <w:trHeight w:val="227"/>
        </w:trPr>
        <w:tc>
          <w:tcPr>
            <w:tcW w:w="4120" w:type="dxa"/>
            <w:vAlign w:val="bottom"/>
          </w:tcPr>
          <w:p>
            <w:pPr>
              <w:jc w:val="center"/>
              <w:ind w:right="2319"/>
              <w:spacing w:after="0"/>
              <w:rPr>
                <w:sz w:val="20"/>
                <w:szCs w:val="20"/>
                <w:color w:val="auto"/>
              </w:rPr>
            </w:pPr>
            <w:r>
              <w:rPr>
                <w:rFonts w:ascii="Times New Roman" w:cs="Times New Roman" w:eastAsia="Times New Roman" w:hAnsi="Times New Roman"/>
                <w:sz w:val="18"/>
                <w:szCs w:val="18"/>
                <w:b w:val="1"/>
                <w:bCs w:val="1"/>
                <w:color w:val="auto"/>
                <w:w w:val="99"/>
              </w:rPr>
              <w:t>Indiana</w:t>
            </w:r>
          </w:p>
        </w:tc>
        <w:tc>
          <w:tcPr>
            <w:tcW w:w="250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001-34918</w:t>
            </w:r>
          </w:p>
        </w:tc>
        <w:tc>
          <w:tcPr>
            <w:tcW w:w="3320" w:type="dxa"/>
            <w:vAlign w:val="bottom"/>
          </w:tcPr>
          <w:p>
            <w:pPr>
              <w:jc w:val="center"/>
              <w:ind w:left="2121"/>
              <w:spacing w:after="0"/>
              <w:rPr>
                <w:sz w:val="20"/>
                <w:szCs w:val="20"/>
                <w:color w:val="auto"/>
              </w:rPr>
            </w:pPr>
            <w:r>
              <w:rPr>
                <w:rFonts w:ascii="Times New Roman" w:cs="Times New Roman" w:eastAsia="Times New Roman" w:hAnsi="Times New Roman"/>
                <w:sz w:val="18"/>
                <w:szCs w:val="18"/>
                <w:b w:val="1"/>
                <w:bCs w:val="1"/>
                <w:color w:val="auto"/>
              </w:rPr>
              <w:t>27-2935063</w:t>
            </w:r>
          </w:p>
        </w:tc>
        <w:tc>
          <w:tcPr>
            <w:tcW w:w="0" w:type="dxa"/>
            <w:vAlign w:val="bottom"/>
          </w:tcPr>
          <w:p>
            <w:pPr>
              <w:spacing w:after="0"/>
              <w:rPr>
                <w:sz w:val="1"/>
                <w:szCs w:val="1"/>
                <w:color w:val="auto"/>
              </w:rPr>
            </w:pPr>
          </w:p>
        </w:tc>
      </w:tr>
      <w:tr>
        <w:trPr>
          <w:trHeight w:val="149"/>
        </w:trPr>
        <w:tc>
          <w:tcPr>
            <w:tcW w:w="4120" w:type="dxa"/>
            <w:vAlign w:val="bottom"/>
          </w:tcPr>
          <w:p>
            <w:pPr>
              <w:jc w:val="center"/>
              <w:ind w:right="231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2500" w:type="dxa"/>
            <w:vAlign w:val="bottom"/>
          </w:tcPr>
          <w:p>
            <w:pPr>
              <w:ind w:left="640"/>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3320" w:type="dxa"/>
            <w:vAlign w:val="bottom"/>
          </w:tcPr>
          <w:p>
            <w:pPr>
              <w:jc w:val="center"/>
              <w:ind w:left="212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c>
          <w:tcPr>
            <w:tcW w:w="0" w:type="dxa"/>
            <w:vAlign w:val="bottom"/>
          </w:tcPr>
          <w:p>
            <w:pPr>
              <w:spacing w:after="0"/>
              <w:rPr>
                <w:sz w:val="1"/>
                <w:szCs w:val="1"/>
                <w:color w:val="auto"/>
              </w:rPr>
            </w:pPr>
          </w:p>
        </w:tc>
      </w:tr>
      <w:tr>
        <w:trPr>
          <w:trHeight w:val="190"/>
        </w:trPr>
        <w:tc>
          <w:tcPr>
            <w:tcW w:w="4120" w:type="dxa"/>
            <w:vAlign w:val="bottom"/>
          </w:tcPr>
          <w:p>
            <w:pPr>
              <w:jc w:val="center"/>
              <w:ind w:right="2319"/>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2500" w:type="dxa"/>
            <w:vAlign w:val="bottom"/>
          </w:tcPr>
          <w:p>
            <w:pPr>
              <w:ind w:left="64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3320" w:type="dxa"/>
            <w:vAlign w:val="bottom"/>
          </w:tcPr>
          <w:p>
            <w:pPr>
              <w:jc w:val="center"/>
              <w:ind w:left="2121"/>
              <w:spacing w:after="0"/>
              <w:rPr>
                <w:sz w:val="20"/>
                <w:szCs w:val="20"/>
                <w:color w:val="auto"/>
              </w:rPr>
            </w:pPr>
            <w:r>
              <w:rPr>
                <w:rFonts w:ascii="Times New Roman" w:cs="Times New Roman" w:eastAsia="Times New Roman" w:hAnsi="Times New Roman"/>
                <w:sz w:val="14"/>
                <w:szCs w:val="14"/>
                <w:b w:val="1"/>
                <w:bCs w:val="1"/>
                <w:color w:val="auto"/>
              </w:rPr>
              <w:t>Identification No.)</w:t>
            </w:r>
          </w:p>
        </w:tc>
        <w:tc>
          <w:tcPr>
            <w:tcW w:w="0" w:type="dxa"/>
            <w:vAlign w:val="bottom"/>
          </w:tcPr>
          <w:p>
            <w:pPr>
              <w:spacing w:after="0"/>
              <w:rPr>
                <w:sz w:val="1"/>
                <w:szCs w:val="1"/>
                <w:color w:val="auto"/>
              </w:rPr>
            </w:pPr>
          </w:p>
        </w:tc>
      </w:tr>
      <w:tr>
        <w:trPr>
          <w:trHeight w:val="307"/>
        </w:trPr>
        <w:tc>
          <w:tcPr>
            <w:tcW w:w="4120" w:type="dxa"/>
            <w:vAlign w:val="bottom"/>
          </w:tcPr>
          <w:p>
            <w:pPr>
              <w:jc w:val="center"/>
              <w:ind w:left="279"/>
              <w:spacing w:after="0"/>
              <w:rPr>
                <w:sz w:val="20"/>
                <w:szCs w:val="20"/>
                <w:color w:val="auto"/>
              </w:rPr>
            </w:pPr>
            <w:r>
              <w:rPr>
                <w:rFonts w:ascii="Times New Roman" w:cs="Times New Roman" w:eastAsia="Times New Roman" w:hAnsi="Times New Roman"/>
                <w:sz w:val="18"/>
                <w:szCs w:val="18"/>
                <w:b w:val="1"/>
                <w:bCs w:val="1"/>
                <w:color w:val="auto"/>
                <w:w w:val="99"/>
              </w:rPr>
              <w:t>12420 Stonebridge Road,</w:t>
            </w:r>
          </w:p>
        </w:tc>
        <w:tc>
          <w:tcPr>
            <w:tcW w:w="2500" w:type="dxa"/>
            <w:vAlign w:val="bottom"/>
          </w:tcPr>
          <w:p>
            <w:pPr>
              <w:spacing w:after="0"/>
              <w:rPr>
                <w:sz w:val="24"/>
                <w:szCs w:val="24"/>
                <w:color w:val="auto"/>
              </w:rPr>
            </w:pPr>
          </w:p>
        </w:tc>
        <w:tc>
          <w:tcPr>
            <w:tcW w:w="3320" w:type="dxa"/>
            <w:vAlign w:val="bottom"/>
            <w:vMerge w:val="restart"/>
          </w:tcPr>
          <w:p>
            <w:pPr>
              <w:jc w:val="right"/>
              <w:ind w:right="1621"/>
              <w:spacing w:after="0"/>
              <w:rPr>
                <w:sz w:val="20"/>
                <w:szCs w:val="20"/>
                <w:color w:val="auto"/>
              </w:rPr>
            </w:pPr>
            <w:r>
              <w:rPr>
                <w:rFonts w:ascii="Times New Roman" w:cs="Times New Roman" w:eastAsia="Times New Roman" w:hAnsi="Times New Roman"/>
                <w:sz w:val="18"/>
                <w:szCs w:val="18"/>
                <w:b w:val="1"/>
                <w:bCs w:val="1"/>
                <w:color w:val="auto"/>
              </w:rPr>
              <w:t>46783</w:t>
            </w:r>
          </w:p>
        </w:tc>
        <w:tc>
          <w:tcPr>
            <w:tcW w:w="0" w:type="dxa"/>
            <w:vAlign w:val="bottom"/>
          </w:tcPr>
          <w:p>
            <w:pPr>
              <w:spacing w:after="0"/>
              <w:rPr>
                <w:sz w:val="1"/>
                <w:szCs w:val="1"/>
                <w:color w:val="auto"/>
              </w:rPr>
            </w:pPr>
          </w:p>
        </w:tc>
      </w:tr>
      <w:tr>
        <w:trPr>
          <w:trHeight w:val="232"/>
        </w:trPr>
        <w:tc>
          <w:tcPr>
            <w:tcW w:w="4120" w:type="dxa"/>
            <w:vAlign w:val="bottom"/>
          </w:tcPr>
          <w:p>
            <w:pPr>
              <w:jc w:val="center"/>
              <w:ind w:left="279"/>
              <w:spacing w:after="0"/>
              <w:rPr>
                <w:sz w:val="20"/>
                <w:szCs w:val="20"/>
                <w:color w:val="auto"/>
              </w:rPr>
            </w:pPr>
            <w:r>
              <w:rPr>
                <w:rFonts w:ascii="Times New Roman" w:cs="Times New Roman" w:eastAsia="Times New Roman" w:hAnsi="Times New Roman"/>
                <w:sz w:val="18"/>
                <w:szCs w:val="18"/>
                <w:b w:val="1"/>
                <w:bCs w:val="1"/>
                <w:color w:val="auto"/>
                <w:w w:val="99"/>
              </w:rPr>
              <w:t>Roanoke, Indiana</w:t>
            </w:r>
          </w:p>
        </w:tc>
        <w:tc>
          <w:tcPr>
            <w:tcW w:w="2500" w:type="dxa"/>
            <w:vAlign w:val="bottom"/>
          </w:tcPr>
          <w:p>
            <w:pPr>
              <w:spacing w:after="0"/>
              <w:rPr>
                <w:sz w:val="20"/>
                <w:szCs w:val="20"/>
                <w:color w:val="auto"/>
              </w:rPr>
            </w:pPr>
          </w:p>
        </w:tc>
        <w:tc>
          <w:tcPr>
            <w:tcW w:w="33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0"/>
        </w:trPr>
        <w:tc>
          <w:tcPr>
            <w:tcW w:w="4120" w:type="dxa"/>
            <w:vAlign w:val="bottom"/>
          </w:tcPr>
          <w:p>
            <w:pPr>
              <w:jc w:val="center"/>
              <w:ind w:left="25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500" w:type="dxa"/>
            <w:vAlign w:val="bottom"/>
          </w:tcPr>
          <w:p>
            <w:pPr>
              <w:spacing w:after="0"/>
              <w:rPr>
                <w:sz w:val="16"/>
                <w:szCs w:val="16"/>
                <w:color w:val="auto"/>
              </w:rPr>
            </w:pPr>
          </w:p>
        </w:tc>
        <w:tc>
          <w:tcPr>
            <w:tcW w:w="3320" w:type="dxa"/>
            <w:vAlign w:val="bottom"/>
          </w:tcPr>
          <w:p>
            <w:pPr>
              <w:jc w:val="center"/>
              <w:ind w:right="461"/>
              <w:spacing w:after="0"/>
              <w:rPr>
                <w:sz w:val="20"/>
                <w:szCs w:val="20"/>
                <w:color w:val="auto"/>
              </w:rPr>
            </w:pPr>
            <w:r>
              <w:rPr>
                <w:rFonts w:ascii="Times New Roman" w:cs="Times New Roman" w:eastAsia="Times New Roman" w:hAnsi="Times New Roman"/>
                <w:sz w:val="14"/>
                <w:szCs w:val="14"/>
                <w:b w:val="1"/>
                <w:bCs w:val="1"/>
                <w:color w:val="auto"/>
              </w:rPr>
              <w:t>(Zip Code)</w:t>
            </w:r>
          </w:p>
        </w:tc>
        <w:tc>
          <w:tcPr>
            <w:tcW w:w="0" w:type="dxa"/>
            <w:vAlign w:val="bottom"/>
          </w:tcPr>
          <w:p>
            <w:pPr>
              <w:spacing w:after="0"/>
              <w:rPr>
                <w:sz w:val="1"/>
                <w:szCs w:val="1"/>
                <w:color w:val="auto"/>
              </w:rPr>
            </w:pPr>
          </w:p>
        </w:tc>
      </w:tr>
    </w:tbl>
    <w:p>
      <w:pPr>
        <w:spacing w:after="0" w:line="37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(877) 708-8372</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2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None</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(Former name, former address and former fiscal year, if changed since last report)</w:t>
      </w:r>
    </w:p>
    <w:p>
      <w:pPr>
        <w:spacing w:after="0" w:line="11" w:lineRule="exact"/>
        <w:rPr>
          <w:sz w:val="24"/>
          <w:szCs w:val="24"/>
          <w:color w:val="auto"/>
        </w:rPr>
      </w:pPr>
    </w:p>
    <w:p>
      <w:pPr>
        <w:ind w:left="4400"/>
        <w:spacing w:after="0"/>
        <w:rPr>
          <w:sz w:val="20"/>
          <w:szCs w:val="20"/>
          <w:color w:val="auto"/>
        </w:rPr>
      </w:pPr>
      <w:r>
        <w:rPr>
          <w:rFonts w:ascii="Times New Roman" w:cs="Times New Roman" w:eastAsia="Times New Roman" w:hAnsi="Times New Roman"/>
          <w:sz w:val="18"/>
          <w:szCs w:val="18"/>
          <w:color w:val="auto"/>
        </w:rPr>
        <w:t>___________________________</w:t>
      </w:r>
    </w:p>
    <w:p>
      <w:pPr>
        <w:spacing w:after="0" w:line="244" w:lineRule="exact"/>
        <w:rPr>
          <w:sz w:val="24"/>
          <w:szCs w:val="24"/>
          <w:color w:val="auto"/>
        </w:rPr>
      </w:pPr>
    </w:p>
    <w:p>
      <w:pPr>
        <w:ind w:right="680"/>
        <w:spacing w:after="0" w:line="261"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General Instruction A.2. below):</w:t>
      </w:r>
    </w:p>
    <w:p>
      <w:pPr>
        <w:ind w:left="600" w:hanging="574"/>
        <w:spacing w:after="0" w:line="181" w:lineRule="auto"/>
        <w:tabs>
          <w:tab w:leader="none" w:pos="600" w:val="left"/>
        </w:tabs>
        <w:numPr>
          <w:ilvl w:val="0"/>
          <w:numId w:val="1"/>
        </w:numPr>
        <w:rPr>
          <w:rFonts w:ascii="MS PGothic" w:cs="MS PGothic" w:eastAsia="MS PGothic" w:hAnsi="MS PGothic"/>
          <w:sz w:val="34"/>
          <w:szCs w:val="34"/>
          <w:color w:val="auto"/>
          <w:vertAlign w:val="subscript"/>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84" w:lineRule="exact"/>
        <w:rPr>
          <w:rFonts w:ascii="MS PGothic" w:cs="MS PGothic" w:eastAsia="MS PGothic" w:hAnsi="MS PGothic"/>
          <w:sz w:val="34"/>
          <w:szCs w:val="34"/>
          <w:color w:val="auto"/>
          <w:vertAlign w:val="subscript"/>
        </w:rPr>
      </w:pPr>
    </w:p>
    <w:p>
      <w:pPr>
        <w:ind w:left="600" w:hanging="574"/>
        <w:spacing w:after="0" w:line="184" w:lineRule="auto"/>
        <w:tabs>
          <w:tab w:leader="none" w:pos="600" w:val="left"/>
        </w:tabs>
        <w:numPr>
          <w:ilvl w:val="0"/>
          <w:numId w:val="1"/>
        </w:numPr>
        <w:rPr>
          <w:rFonts w:ascii="MS PGothic" w:cs="MS PGothic" w:eastAsia="MS PGothic" w:hAnsi="MS PGothic"/>
          <w:sz w:val="33"/>
          <w:szCs w:val="33"/>
          <w:color w:val="auto"/>
          <w:vertAlign w:val="subscript"/>
        </w:rPr>
      </w:pPr>
      <w:r>
        <w:rPr>
          <w:rFonts w:ascii="Times New Roman" w:cs="Times New Roman" w:eastAsia="Times New Roman" w:hAnsi="Times New Roman"/>
          <w:sz w:val="15"/>
          <w:szCs w:val="15"/>
          <w:color w:val="auto"/>
        </w:rPr>
        <w:t>Soliciting material pursuant to Rule 14a-12 under the Exchange Act (17 CFR 240.14a-12)</w:t>
      </w:r>
    </w:p>
    <w:p>
      <w:pPr>
        <w:spacing w:after="0" w:line="84" w:lineRule="exact"/>
        <w:rPr>
          <w:rFonts w:ascii="MS PGothic" w:cs="MS PGothic" w:eastAsia="MS PGothic" w:hAnsi="MS PGothic"/>
          <w:sz w:val="33"/>
          <w:szCs w:val="33"/>
          <w:color w:val="auto"/>
          <w:vertAlign w:val="subscript"/>
        </w:rPr>
      </w:pPr>
    </w:p>
    <w:p>
      <w:pPr>
        <w:ind w:left="600" w:hanging="574"/>
        <w:spacing w:after="0" w:line="184" w:lineRule="auto"/>
        <w:tabs>
          <w:tab w:leader="none" w:pos="600" w:val="left"/>
        </w:tabs>
        <w:numPr>
          <w:ilvl w:val="0"/>
          <w:numId w:val="1"/>
        </w:numPr>
        <w:rPr>
          <w:rFonts w:ascii="MS PGothic" w:cs="MS PGothic" w:eastAsia="MS PGothic" w:hAnsi="MS PGothic"/>
          <w:sz w:val="33"/>
          <w:szCs w:val="33"/>
          <w:color w:val="auto"/>
          <w:vertAlign w:val="subscript"/>
        </w:rPr>
      </w:pPr>
      <w:r>
        <w:rPr>
          <w:rFonts w:ascii="Times New Roman" w:cs="Times New Roman" w:eastAsia="Times New Roman" w:hAnsi="Times New Roman"/>
          <w:sz w:val="15"/>
          <w:szCs w:val="15"/>
          <w:color w:val="auto"/>
        </w:rPr>
        <w:t>Pre-commencement communications pursuant to Rule 14d-2(b) under the Exchange Act (17 CFR 240.14d-2(b))</w:t>
      </w:r>
    </w:p>
    <w:p>
      <w:pPr>
        <w:spacing w:after="0" w:line="84" w:lineRule="exact"/>
        <w:rPr>
          <w:rFonts w:ascii="MS PGothic" w:cs="MS PGothic" w:eastAsia="MS PGothic" w:hAnsi="MS PGothic"/>
          <w:sz w:val="33"/>
          <w:szCs w:val="33"/>
          <w:color w:val="auto"/>
          <w:vertAlign w:val="subscript"/>
        </w:rPr>
      </w:pPr>
    </w:p>
    <w:p>
      <w:pPr>
        <w:ind w:left="600" w:hanging="574"/>
        <w:spacing w:after="0" w:line="184" w:lineRule="auto"/>
        <w:tabs>
          <w:tab w:leader="none" w:pos="600" w:val="left"/>
        </w:tabs>
        <w:numPr>
          <w:ilvl w:val="0"/>
          <w:numId w:val="1"/>
        </w:numPr>
        <w:rPr>
          <w:rFonts w:ascii="MS PGothic" w:cs="MS PGothic" w:eastAsia="MS PGothic" w:hAnsi="MS PGothic"/>
          <w:sz w:val="33"/>
          <w:szCs w:val="33"/>
          <w:color w:val="auto"/>
          <w:vertAlign w:val="subscript"/>
        </w:rPr>
      </w:pPr>
      <w:r>
        <w:rPr>
          <w:rFonts w:ascii="Times New Roman" w:cs="Times New Roman" w:eastAsia="Times New Roman" w:hAnsi="Times New Roman"/>
          <w:sz w:val="15"/>
          <w:szCs w:val="15"/>
          <w:color w:val="auto"/>
        </w:rPr>
        <w:t>Pre-commencement communications pursuant to Rule 13e-4(c) under the Exchange Act (17 CFR 240.13e-4(c))</w:t>
      </w: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75" w:lineRule="exact"/>
        <w:rPr>
          <w:sz w:val="24"/>
          <w:szCs w:val="24"/>
          <w:color w:val="auto"/>
        </w:rPr>
      </w:pPr>
    </w:p>
    <w:tbl>
      <w:tblPr>
        <w:tblLayout w:type="fixed"/>
        <w:tblInd w:w="10" w:type="dxa"/>
        <w:tblCellMar>
          <w:top w:w="0" w:type="dxa"/>
          <w:left w:w="0" w:type="dxa"/>
          <w:bottom w:w="0" w:type="dxa"/>
          <w:right w:w="0" w:type="dxa"/>
        </w:tblCellMar>
      </w:tblPr>
      <w:tr>
        <w:trPr>
          <w:trHeight w:val="243"/>
        </w:trPr>
        <w:tc>
          <w:tcPr>
            <w:tcW w:w="382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Title of Each Class</w:t>
            </w:r>
          </w:p>
        </w:tc>
        <w:tc>
          <w:tcPr>
            <w:tcW w:w="30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1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c>
          <w:tcPr>
            <w:tcW w:w="220" w:type="dxa"/>
            <w:vAlign w:val="bottom"/>
          </w:tcPr>
          <w:p>
            <w:pPr>
              <w:spacing w:after="0"/>
              <w:rPr>
                <w:sz w:val="21"/>
                <w:szCs w:val="21"/>
                <w:color w:val="auto"/>
              </w:rPr>
            </w:pPr>
          </w:p>
        </w:tc>
      </w:tr>
      <w:tr>
        <w:trPr>
          <w:trHeight w:val="223"/>
        </w:trPr>
        <w:tc>
          <w:tcPr>
            <w:tcW w:w="38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without par value</w:t>
            </w:r>
          </w:p>
        </w:tc>
        <w:tc>
          <w:tcPr>
            <w:tcW w:w="3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VRA</w:t>
            </w:r>
          </w:p>
        </w:tc>
        <w:tc>
          <w:tcPr>
            <w:tcW w:w="41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NASDAQ Global Select Market</w:t>
            </w:r>
          </w:p>
        </w:tc>
        <w:tc>
          <w:tcPr>
            <w:tcW w:w="220" w:type="dxa"/>
            <w:vAlign w:val="bottom"/>
          </w:tcPr>
          <w:p>
            <w:pPr>
              <w:spacing w:after="0"/>
              <w:rPr>
                <w:sz w:val="19"/>
                <w:szCs w:val="19"/>
                <w:color w:val="auto"/>
              </w:rPr>
            </w:pPr>
          </w:p>
        </w:tc>
      </w:tr>
      <w:tr>
        <w:trPr>
          <w:trHeight w:val="973"/>
        </w:trPr>
        <w:tc>
          <w:tcPr>
            <w:tcW w:w="3820" w:type="dxa"/>
            <w:vAlign w:val="bottom"/>
            <w:tcBorders>
              <w:bottom w:val="single" w:sz="8" w:color="9A9A9A"/>
            </w:tcBorders>
          </w:tcPr>
          <w:p>
            <w:pPr>
              <w:spacing w:after="0"/>
              <w:rPr>
                <w:sz w:val="24"/>
                <w:szCs w:val="24"/>
                <w:color w:val="auto"/>
              </w:rPr>
            </w:pPr>
          </w:p>
        </w:tc>
        <w:tc>
          <w:tcPr>
            <w:tcW w:w="3020" w:type="dxa"/>
            <w:vAlign w:val="bottom"/>
            <w:tcBorders>
              <w:bottom w:val="single" w:sz="8" w:color="9A9A9A"/>
            </w:tcBorders>
          </w:tcPr>
          <w:p>
            <w:pPr>
              <w:spacing w:after="0"/>
              <w:rPr>
                <w:sz w:val="24"/>
                <w:szCs w:val="24"/>
                <w:color w:val="auto"/>
              </w:rPr>
            </w:pPr>
          </w:p>
        </w:tc>
        <w:tc>
          <w:tcPr>
            <w:tcW w:w="41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spacing w:after="0" w:line="237"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3" w:lineRule="exact"/>
        <w:rPr>
          <w:sz w:val="20"/>
          <w:szCs w:val="20"/>
          <w:color w:val="auto"/>
        </w:rPr>
      </w:pPr>
    </w:p>
    <w:p>
      <w:pPr>
        <w:ind w:left="85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129" w:lineRule="exact"/>
        <w:rPr>
          <w:sz w:val="20"/>
          <w:szCs w:val="20"/>
          <w:color w:val="auto"/>
        </w:rPr>
      </w:pPr>
    </w:p>
    <w:p>
      <w:pPr>
        <w:ind w:right="260" w:firstLine="45"/>
        <w:spacing w:after="0" w:line="237"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8"/>
          <w:szCs w:val="18"/>
          <w:b w:val="1"/>
          <w:bCs w:val="1"/>
          <w:color w:val="auto"/>
        </w:rPr>
        <w: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879475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120650</wp:posOffset>
            </wp:positionV>
            <wp:extent cx="69265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26580" cy="825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86360</wp:posOffset>
            </wp:positionV>
            <wp:extent cx="69265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26580" cy="8255"/>
                    </a:xfrm>
                    <a:prstGeom prst="rect">
                      <a:avLst/>
                    </a:prstGeom>
                    <a:noFill/>
                  </pic:spPr>
                </pic:pic>
              </a:graphicData>
            </a:graphic>
          </wp:anchor>
        </w:drawing>
      </w:r>
    </w:p>
    <w:p>
      <w:pPr>
        <w:sectPr>
          <w:pgSz w:w="11900" w:h="16838" w:orient="portrait"/>
          <w:cols w:equalWidth="0" w:num="1">
            <w:col w:w="10720"/>
          </w:cols>
          <w:pgMar w:left="580" w:top="931" w:right="5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Item 5.07 Submission of Matters to a Vote of Security Holders.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2026 Annual Meeting of Shareholders was held on June 4, 2026. At the meeting, the Company’s shareholders:</w:t>
      </w:r>
    </w:p>
    <w:p>
      <w:pPr>
        <w:spacing w:after="0" w:line="171" w:lineRule="exact"/>
        <w:rPr>
          <w:sz w:val="20"/>
          <w:szCs w:val="20"/>
          <w:color w:val="auto"/>
        </w:rPr>
      </w:pPr>
    </w:p>
    <w:p>
      <w:pPr>
        <w:ind w:left="900" w:right="320" w:hanging="874"/>
        <w:spacing w:after="0" w:line="250" w:lineRule="auto"/>
        <w:tabs>
          <w:tab w:leader="none" w:pos="9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elected Ian Bickley, Ivan Brockman, Kristina Cashman, Robert J. Hall, Andrew Meslow, and Jessica Rodriguez to serve as Directors of the Company’s Board of Directors for a one-year term;</w:t>
      </w:r>
    </w:p>
    <w:p>
      <w:pPr>
        <w:spacing w:after="0" w:line="41" w:lineRule="exact"/>
        <w:rPr>
          <w:rFonts w:ascii="Times New Roman" w:cs="Times New Roman" w:eastAsia="Times New Roman" w:hAnsi="Times New Roman"/>
          <w:sz w:val="18"/>
          <w:szCs w:val="18"/>
          <w:color w:val="auto"/>
        </w:rPr>
      </w:pPr>
    </w:p>
    <w:p>
      <w:pPr>
        <w:ind w:left="900" w:right="60" w:hanging="874"/>
        <w:spacing w:after="0" w:line="250" w:lineRule="auto"/>
        <w:tabs>
          <w:tab w:leader="none" w:pos="9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ratified the appointment of Deloitte &amp; Touche LLP to serve as the Company’s independent registered public accounting firm for the fiscal year ending January 30, 2027;</w:t>
      </w:r>
    </w:p>
    <w:p>
      <w:pPr>
        <w:spacing w:after="0" w:line="41" w:lineRule="exact"/>
        <w:rPr>
          <w:rFonts w:ascii="Times New Roman" w:cs="Times New Roman" w:eastAsia="Times New Roman" w:hAnsi="Times New Roman"/>
          <w:sz w:val="18"/>
          <w:szCs w:val="18"/>
          <w:color w:val="auto"/>
        </w:rPr>
      </w:pPr>
    </w:p>
    <w:p>
      <w:pPr>
        <w:ind w:left="900" w:hanging="874"/>
        <w:spacing w:after="0"/>
        <w:tabs>
          <w:tab w:leader="none" w:pos="9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approved, on an advisory basis, the compensation of the Company’s named executive officers; and</w:t>
      </w:r>
    </w:p>
    <w:p>
      <w:pPr>
        <w:spacing w:after="0" w:line="76" w:lineRule="exact"/>
        <w:rPr>
          <w:rFonts w:ascii="Times New Roman" w:cs="Times New Roman" w:eastAsia="Times New Roman" w:hAnsi="Times New Roman"/>
          <w:sz w:val="18"/>
          <w:szCs w:val="18"/>
          <w:color w:val="auto"/>
        </w:rPr>
      </w:pPr>
    </w:p>
    <w:p>
      <w:pPr>
        <w:ind w:left="900" w:hanging="874"/>
        <w:spacing w:after="0"/>
        <w:tabs>
          <w:tab w:leader="none" w:pos="9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approved an amendment to the 2020 Equity and Incentive Plan to add an additional 3,000,000 shares of common stock to the plan.</w:t>
      </w:r>
    </w:p>
    <w:p>
      <w:pPr>
        <w:spacing w:after="0" w:line="200" w:lineRule="exact"/>
        <w:rPr>
          <w:sz w:val="20"/>
          <w:szCs w:val="20"/>
          <w:color w:val="auto"/>
        </w:rPr>
      </w:pPr>
    </w:p>
    <w:p>
      <w:pPr>
        <w:spacing w:after="0" w:line="322"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Set forth below, with respect to each such matter, are the number of votes cast for or against, the number of abstentions, and the number of broker non-votes.</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w:t>
            </w:r>
          </w:p>
        </w:tc>
        <w:tc>
          <w:tcPr>
            <w:tcW w:w="980" w:type="dxa"/>
            <w:vAlign w:val="bottom"/>
          </w:tcPr>
          <w:p>
            <w:pPr>
              <w:spacing w:after="0"/>
              <w:rPr>
                <w:sz w:val="22"/>
                <w:szCs w:val="22"/>
                <w:color w:val="auto"/>
              </w:rPr>
            </w:pPr>
          </w:p>
        </w:tc>
        <w:tc>
          <w:tcPr>
            <w:tcW w:w="24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Election of Directors</w:t>
            </w:r>
          </w:p>
        </w:tc>
        <w:tc>
          <w:tcPr>
            <w:tcW w:w="2520" w:type="dxa"/>
            <w:vAlign w:val="bottom"/>
          </w:tcPr>
          <w:p>
            <w:pPr>
              <w:spacing w:after="0"/>
              <w:rPr>
                <w:sz w:val="22"/>
                <w:szCs w:val="22"/>
                <w:color w:val="auto"/>
              </w:rPr>
            </w:pPr>
          </w:p>
        </w:tc>
        <w:tc>
          <w:tcPr>
            <w:tcW w:w="4420" w:type="dxa"/>
            <w:vAlign w:val="bottom"/>
          </w:tcPr>
          <w:p>
            <w:pPr>
              <w:spacing w:after="0"/>
              <w:rPr>
                <w:sz w:val="22"/>
                <w:szCs w:val="22"/>
                <w:color w:val="auto"/>
              </w:rPr>
            </w:pPr>
          </w:p>
        </w:tc>
      </w:tr>
      <w:tr>
        <w:trPr>
          <w:trHeight w:val="540"/>
        </w:trPr>
        <w:tc>
          <w:tcPr>
            <w:tcW w:w="9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Nominee</w:t>
            </w:r>
          </w:p>
        </w:tc>
        <w:tc>
          <w:tcPr>
            <w:tcW w:w="980" w:type="dxa"/>
            <w:vAlign w:val="bottom"/>
          </w:tcPr>
          <w:p>
            <w:pPr>
              <w:spacing w:after="0"/>
              <w:rPr>
                <w:sz w:val="24"/>
                <w:szCs w:val="24"/>
                <w:color w:val="auto"/>
              </w:rPr>
            </w:pPr>
          </w:p>
        </w:tc>
        <w:tc>
          <w:tcPr>
            <w:tcW w:w="2420" w:type="dxa"/>
            <w:vAlign w:val="bottom"/>
          </w:tcPr>
          <w:p>
            <w:pPr>
              <w:ind w:left="540"/>
              <w:spacing w:after="0"/>
              <w:rPr>
                <w:sz w:val="20"/>
                <w:szCs w:val="20"/>
                <w:color w:val="auto"/>
              </w:rPr>
            </w:pPr>
            <w:r>
              <w:rPr>
                <w:rFonts w:ascii="Times New Roman" w:cs="Times New Roman" w:eastAsia="Times New Roman" w:hAnsi="Times New Roman"/>
                <w:sz w:val="18"/>
                <w:szCs w:val="18"/>
                <w:b w:val="1"/>
                <w:bCs w:val="1"/>
                <w:color w:val="auto"/>
              </w:rPr>
              <w:t>For</w:t>
            </w:r>
          </w:p>
        </w:tc>
        <w:tc>
          <w:tcPr>
            <w:tcW w:w="252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Withhold</w:t>
            </w:r>
          </w:p>
        </w:tc>
        <w:tc>
          <w:tcPr>
            <w:tcW w:w="442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Broker Non-Votes</w:t>
            </w:r>
          </w:p>
        </w:tc>
      </w:tr>
      <w:tr>
        <w:trPr>
          <w:trHeight w:val="270"/>
        </w:trPr>
        <w:tc>
          <w:tcPr>
            <w:tcW w:w="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Ian Bickley</w:t>
            </w:r>
          </w:p>
        </w:tc>
        <w:tc>
          <w:tcPr>
            <w:tcW w:w="980" w:type="dxa"/>
            <w:vAlign w:val="bottom"/>
          </w:tcPr>
          <w:p>
            <w:pPr>
              <w:spacing w:after="0"/>
              <w:rPr>
                <w:sz w:val="23"/>
                <w:szCs w:val="23"/>
                <w:color w:val="auto"/>
              </w:rPr>
            </w:pPr>
          </w:p>
        </w:tc>
        <w:tc>
          <w:tcPr>
            <w:tcW w:w="24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17,304,509</w:t>
            </w:r>
          </w:p>
        </w:tc>
        <w:tc>
          <w:tcPr>
            <w:tcW w:w="25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16,085</w:t>
            </w:r>
          </w:p>
        </w:tc>
        <w:tc>
          <w:tcPr>
            <w:tcW w:w="44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5,235,449</w:t>
            </w:r>
          </w:p>
        </w:tc>
      </w:tr>
      <w:tr>
        <w:trPr>
          <w:trHeight w:val="270"/>
        </w:trPr>
        <w:tc>
          <w:tcPr>
            <w:tcW w:w="1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Ivan Brockman</w:t>
            </w:r>
          </w:p>
        </w:tc>
        <w:tc>
          <w:tcPr>
            <w:tcW w:w="24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17,301,956</w:t>
            </w:r>
          </w:p>
        </w:tc>
        <w:tc>
          <w:tcPr>
            <w:tcW w:w="25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18,638</w:t>
            </w:r>
          </w:p>
        </w:tc>
        <w:tc>
          <w:tcPr>
            <w:tcW w:w="44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5,235,449</w:t>
            </w:r>
          </w:p>
        </w:tc>
      </w:tr>
      <w:tr>
        <w:trPr>
          <w:trHeight w:val="270"/>
        </w:trPr>
        <w:tc>
          <w:tcPr>
            <w:tcW w:w="1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Kristina Cashman</w:t>
            </w:r>
          </w:p>
        </w:tc>
        <w:tc>
          <w:tcPr>
            <w:tcW w:w="24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16,413,577</w:t>
            </w:r>
          </w:p>
        </w:tc>
        <w:tc>
          <w:tcPr>
            <w:tcW w:w="25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907,017</w:t>
            </w:r>
          </w:p>
        </w:tc>
        <w:tc>
          <w:tcPr>
            <w:tcW w:w="44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5,235,449</w:t>
            </w:r>
          </w:p>
        </w:tc>
      </w:tr>
      <w:tr>
        <w:trPr>
          <w:trHeight w:val="270"/>
        </w:trPr>
        <w:tc>
          <w:tcPr>
            <w:tcW w:w="1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Robert J. Hall</w:t>
            </w:r>
          </w:p>
        </w:tc>
        <w:tc>
          <w:tcPr>
            <w:tcW w:w="24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12,405,467</w:t>
            </w:r>
          </w:p>
        </w:tc>
        <w:tc>
          <w:tcPr>
            <w:tcW w:w="25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4,915,127</w:t>
            </w:r>
          </w:p>
        </w:tc>
        <w:tc>
          <w:tcPr>
            <w:tcW w:w="44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5,235,449</w:t>
            </w:r>
          </w:p>
        </w:tc>
      </w:tr>
      <w:tr>
        <w:trPr>
          <w:trHeight w:val="270"/>
        </w:trPr>
        <w:tc>
          <w:tcPr>
            <w:tcW w:w="1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Andrew Meslow</w:t>
            </w:r>
          </w:p>
        </w:tc>
        <w:tc>
          <w:tcPr>
            <w:tcW w:w="24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17,301,363</w:t>
            </w:r>
          </w:p>
        </w:tc>
        <w:tc>
          <w:tcPr>
            <w:tcW w:w="25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19,231</w:t>
            </w:r>
          </w:p>
        </w:tc>
        <w:tc>
          <w:tcPr>
            <w:tcW w:w="44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5,235,449</w:t>
            </w:r>
          </w:p>
        </w:tc>
      </w:tr>
      <w:tr>
        <w:trPr>
          <w:trHeight w:val="270"/>
        </w:trPr>
        <w:tc>
          <w:tcPr>
            <w:tcW w:w="1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Jessica Rodriguez</w:t>
            </w:r>
          </w:p>
        </w:tc>
        <w:tc>
          <w:tcPr>
            <w:tcW w:w="24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17,189,289</w:t>
            </w:r>
          </w:p>
        </w:tc>
        <w:tc>
          <w:tcPr>
            <w:tcW w:w="25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131,305</w:t>
            </w:r>
          </w:p>
        </w:tc>
        <w:tc>
          <w:tcPr>
            <w:tcW w:w="44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5,235,449</w:t>
            </w:r>
          </w:p>
        </w:tc>
      </w:tr>
      <w:tr>
        <w:trPr>
          <w:trHeight w:val="715"/>
        </w:trPr>
        <w:tc>
          <w:tcPr>
            <w:tcW w:w="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w:t>
            </w:r>
          </w:p>
        </w:tc>
        <w:tc>
          <w:tcPr>
            <w:tcW w:w="980" w:type="dxa"/>
            <w:vAlign w:val="bottom"/>
          </w:tcPr>
          <w:p>
            <w:pPr>
              <w:spacing w:after="0"/>
              <w:rPr>
                <w:sz w:val="24"/>
                <w:szCs w:val="24"/>
                <w:color w:val="auto"/>
              </w:rPr>
            </w:pPr>
          </w:p>
        </w:tc>
        <w:tc>
          <w:tcPr>
            <w:tcW w:w="9360" w:type="dxa"/>
            <w:vAlign w:val="bottom"/>
            <w:gridSpan w:val="3"/>
          </w:tcPr>
          <w:p>
            <w:pPr>
              <w:ind w:left="540"/>
              <w:spacing w:after="0"/>
              <w:rPr>
                <w:sz w:val="20"/>
                <w:szCs w:val="20"/>
                <w:color w:val="auto"/>
              </w:rPr>
            </w:pPr>
            <w:r>
              <w:rPr>
                <w:rFonts w:ascii="Times New Roman" w:cs="Times New Roman" w:eastAsia="Times New Roman" w:hAnsi="Times New Roman"/>
                <w:sz w:val="18"/>
                <w:szCs w:val="18"/>
                <w:color w:val="auto"/>
              </w:rPr>
              <w:t>Ratification of Appointment of Independent Registered Public Accounting Firm</w:t>
            </w:r>
          </w:p>
        </w:tc>
      </w:tr>
      <w:tr>
        <w:trPr>
          <w:trHeight w:val="378"/>
        </w:trPr>
        <w:tc>
          <w:tcPr>
            <w:tcW w:w="9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For</w:t>
            </w:r>
          </w:p>
        </w:tc>
        <w:tc>
          <w:tcPr>
            <w:tcW w:w="980" w:type="dxa"/>
            <w:vAlign w:val="bottom"/>
          </w:tcPr>
          <w:p>
            <w:pPr>
              <w:spacing w:after="0"/>
              <w:rPr>
                <w:sz w:val="24"/>
                <w:szCs w:val="24"/>
                <w:color w:val="auto"/>
              </w:rPr>
            </w:pPr>
          </w:p>
        </w:tc>
        <w:tc>
          <w:tcPr>
            <w:tcW w:w="2420" w:type="dxa"/>
            <w:vAlign w:val="bottom"/>
          </w:tcPr>
          <w:p>
            <w:pPr>
              <w:ind w:left="54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252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Abstentions</w:t>
            </w:r>
          </w:p>
        </w:tc>
        <w:tc>
          <w:tcPr>
            <w:tcW w:w="442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Broker Non-Votes</w:t>
            </w:r>
          </w:p>
        </w:tc>
      </w:tr>
      <w:tr>
        <w:trPr>
          <w:trHeight w:val="270"/>
        </w:trPr>
        <w:tc>
          <w:tcPr>
            <w:tcW w:w="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21,251,971</w:t>
            </w:r>
          </w:p>
        </w:tc>
        <w:tc>
          <w:tcPr>
            <w:tcW w:w="980" w:type="dxa"/>
            <w:vAlign w:val="bottom"/>
          </w:tcPr>
          <w:p>
            <w:pPr>
              <w:spacing w:after="0"/>
              <w:rPr>
                <w:sz w:val="23"/>
                <w:szCs w:val="23"/>
                <w:color w:val="auto"/>
              </w:rPr>
            </w:pPr>
          </w:p>
        </w:tc>
        <w:tc>
          <w:tcPr>
            <w:tcW w:w="24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1,296,078</w:t>
            </w:r>
          </w:p>
        </w:tc>
        <w:tc>
          <w:tcPr>
            <w:tcW w:w="2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7,994</w:t>
            </w:r>
          </w:p>
        </w:tc>
        <w:tc>
          <w:tcPr>
            <w:tcW w:w="44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365"/>
        </w:trPr>
        <w:tc>
          <w:tcPr>
            <w:tcW w:w="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w:t>
            </w:r>
          </w:p>
        </w:tc>
        <w:tc>
          <w:tcPr>
            <w:tcW w:w="980" w:type="dxa"/>
            <w:vAlign w:val="bottom"/>
          </w:tcPr>
          <w:p>
            <w:pPr>
              <w:spacing w:after="0"/>
              <w:rPr>
                <w:sz w:val="24"/>
                <w:szCs w:val="24"/>
                <w:color w:val="auto"/>
              </w:rPr>
            </w:pPr>
          </w:p>
        </w:tc>
        <w:tc>
          <w:tcPr>
            <w:tcW w:w="9360" w:type="dxa"/>
            <w:vAlign w:val="bottom"/>
            <w:gridSpan w:val="3"/>
          </w:tcPr>
          <w:p>
            <w:pPr>
              <w:ind w:left="540"/>
              <w:spacing w:after="0"/>
              <w:rPr>
                <w:sz w:val="20"/>
                <w:szCs w:val="20"/>
                <w:color w:val="auto"/>
              </w:rPr>
            </w:pPr>
            <w:r>
              <w:rPr>
                <w:rFonts w:ascii="Times New Roman" w:cs="Times New Roman" w:eastAsia="Times New Roman" w:hAnsi="Times New Roman"/>
                <w:sz w:val="18"/>
                <w:szCs w:val="18"/>
                <w:color w:val="auto"/>
              </w:rPr>
              <w:t>Advisory Approval of the Company's Named Executive Officer Compensation</w:t>
            </w:r>
          </w:p>
        </w:tc>
      </w:tr>
      <w:tr>
        <w:trPr>
          <w:trHeight w:val="364"/>
        </w:trPr>
        <w:tc>
          <w:tcPr>
            <w:tcW w:w="9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For</w:t>
            </w:r>
          </w:p>
        </w:tc>
        <w:tc>
          <w:tcPr>
            <w:tcW w:w="980" w:type="dxa"/>
            <w:vAlign w:val="bottom"/>
          </w:tcPr>
          <w:p>
            <w:pPr>
              <w:spacing w:after="0"/>
              <w:rPr>
                <w:sz w:val="24"/>
                <w:szCs w:val="24"/>
                <w:color w:val="auto"/>
              </w:rPr>
            </w:pPr>
          </w:p>
        </w:tc>
        <w:tc>
          <w:tcPr>
            <w:tcW w:w="2420" w:type="dxa"/>
            <w:vAlign w:val="bottom"/>
          </w:tcPr>
          <w:p>
            <w:pPr>
              <w:ind w:left="54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252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Abstentions</w:t>
            </w:r>
          </w:p>
        </w:tc>
        <w:tc>
          <w:tcPr>
            <w:tcW w:w="442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Broker Non-Votes</w:t>
            </w:r>
          </w:p>
        </w:tc>
      </w:tr>
      <w:tr>
        <w:trPr>
          <w:trHeight w:val="270"/>
        </w:trPr>
        <w:tc>
          <w:tcPr>
            <w:tcW w:w="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13,401,721</w:t>
            </w:r>
          </w:p>
        </w:tc>
        <w:tc>
          <w:tcPr>
            <w:tcW w:w="980" w:type="dxa"/>
            <w:vAlign w:val="bottom"/>
          </w:tcPr>
          <w:p>
            <w:pPr>
              <w:spacing w:after="0"/>
              <w:rPr>
                <w:sz w:val="23"/>
                <w:szCs w:val="23"/>
                <w:color w:val="auto"/>
              </w:rPr>
            </w:pPr>
          </w:p>
        </w:tc>
        <w:tc>
          <w:tcPr>
            <w:tcW w:w="24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3,889,590</w:t>
            </w:r>
          </w:p>
        </w:tc>
        <w:tc>
          <w:tcPr>
            <w:tcW w:w="2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29,283</w:t>
            </w:r>
          </w:p>
        </w:tc>
        <w:tc>
          <w:tcPr>
            <w:tcW w:w="44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5,235,449</w:t>
            </w:r>
          </w:p>
        </w:tc>
      </w:tr>
      <w:tr>
        <w:trPr>
          <w:trHeight w:val="283"/>
        </w:trPr>
        <w:tc>
          <w:tcPr>
            <w:tcW w:w="9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360" w:type="dxa"/>
            <w:vAlign w:val="bottom"/>
            <w:gridSpan w:val="3"/>
          </w:tcPr>
          <w:p>
            <w:pPr>
              <w:ind w:left="540"/>
              <w:spacing w:after="0"/>
              <w:rPr>
                <w:sz w:val="20"/>
                <w:szCs w:val="20"/>
                <w:color w:val="auto"/>
              </w:rPr>
            </w:pPr>
            <w:r>
              <w:rPr>
                <w:rFonts w:ascii="Times New Roman" w:cs="Times New Roman" w:eastAsia="Times New Roman" w:hAnsi="Times New Roman"/>
                <w:sz w:val="18"/>
                <w:szCs w:val="18"/>
                <w:color w:val="auto"/>
              </w:rPr>
              <w:t>Approval to add an additional 3,000,000 shares of common stock to the 2020 Equity and</w:t>
            </w:r>
          </w:p>
        </w:tc>
      </w:tr>
      <w:tr>
        <w:trPr>
          <w:trHeight w:val="243"/>
        </w:trPr>
        <w:tc>
          <w:tcPr>
            <w:tcW w:w="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w:t>
            </w:r>
          </w:p>
        </w:tc>
        <w:tc>
          <w:tcPr>
            <w:tcW w:w="980" w:type="dxa"/>
            <w:vAlign w:val="bottom"/>
          </w:tcPr>
          <w:p>
            <w:pPr>
              <w:spacing w:after="0"/>
              <w:rPr>
                <w:sz w:val="21"/>
                <w:szCs w:val="21"/>
                <w:color w:val="auto"/>
              </w:rPr>
            </w:pPr>
          </w:p>
        </w:tc>
        <w:tc>
          <w:tcPr>
            <w:tcW w:w="24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Incentive Plan</w:t>
            </w:r>
          </w:p>
        </w:tc>
        <w:tc>
          <w:tcPr>
            <w:tcW w:w="2520" w:type="dxa"/>
            <w:vAlign w:val="bottom"/>
          </w:tcPr>
          <w:p>
            <w:pPr>
              <w:spacing w:after="0"/>
              <w:rPr>
                <w:sz w:val="21"/>
                <w:szCs w:val="21"/>
                <w:color w:val="auto"/>
              </w:rPr>
            </w:pPr>
          </w:p>
        </w:tc>
        <w:tc>
          <w:tcPr>
            <w:tcW w:w="4420" w:type="dxa"/>
            <w:vAlign w:val="bottom"/>
          </w:tcPr>
          <w:p>
            <w:pPr>
              <w:spacing w:after="0"/>
              <w:rPr>
                <w:sz w:val="21"/>
                <w:szCs w:val="21"/>
                <w:color w:val="auto"/>
              </w:rPr>
            </w:pPr>
          </w:p>
        </w:tc>
      </w:tr>
      <w:tr>
        <w:trPr>
          <w:trHeight w:val="351"/>
        </w:trPr>
        <w:tc>
          <w:tcPr>
            <w:tcW w:w="9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For</w:t>
            </w:r>
          </w:p>
        </w:tc>
        <w:tc>
          <w:tcPr>
            <w:tcW w:w="980" w:type="dxa"/>
            <w:vAlign w:val="bottom"/>
          </w:tcPr>
          <w:p>
            <w:pPr>
              <w:spacing w:after="0"/>
              <w:rPr>
                <w:sz w:val="24"/>
                <w:szCs w:val="24"/>
                <w:color w:val="auto"/>
              </w:rPr>
            </w:pPr>
          </w:p>
        </w:tc>
        <w:tc>
          <w:tcPr>
            <w:tcW w:w="2420" w:type="dxa"/>
            <w:vAlign w:val="bottom"/>
          </w:tcPr>
          <w:p>
            <w:pPr>
              <w:ind w:left="54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252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Abstentions</w:t>
            </w:r>
          </w:p>
        </w:tc>
        <w:tc>
          <w:tcPr>
            <w:tcW w:w="442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Broker Non-Votes</w:t>
            </w:r>
          </w:p>
        </w:tc>
      </w:tr>
      <w:tr>
        <w:trPr>
          <w:trHeight w:val="270"/>
        </w:trPr>
        <w:tc>
          <w:tcPr>
            <w:tcW w:w="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11,501,853</w:t>
            </w:r>
          </w:p>
        </w:tc>
        <w:tc>
          <w:tcPr>
            <w:tcW w:w="980" w:type="dxa"/>
            <w:vAlign w:val="bottom"/>
          </w:tcPr>
          <w:p>
            <w:pPr>
              <w:spacing w:after="0"/>
              <w:rPr>
                <w:sz w:val="23"/>
                <w:szCs w:val="23"/>
                <w:color w:val="auto"/>
              </w:rPr>
            </w:pPr>
          </w:p>
        </w:tc>
        <w:tc>
          <w:tcPr>
            <w:tcW w:w="24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5,157,094</w:t>
            </w:r>
          </w:p>
        </w:tc>
        <w:tc>
          <w:tcPr>
            <w:tcW w:w="2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661,647</w:t>
            </w:r>
          </w:p>
        </w:tc>
        <w:tc>
          <w:tcPr>
            <w:tcW w:w="44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5,235,449</w:t>
            </w:r>
          </w:p>
        </w:tc>
      </w:tr>
      <w:tr>
        <w:trPr>
          <w:trHeight w:val="756"/>
        </w:trPr>
        <w:tc>
          <w:tcPr>
            <w:tcW w:w="43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tc>
        <w:tc>
          <w:tcPr>
            <w:tcW w:w="2520" w:type="dxa"/>
            <w:vAlign w:val="bottom"/>
          </w:tcPr>
          <w:p>
            <w:pPr>
              <w:spacing w:after="0"/>
              <w:rPr>
                <w:sz w:val="24"/>
                <w:szCs w:val="24"/>
                <w:color w:val="auto"/>
              </w:rPr>
            </w:pPr>
          </w:p>
        </w:tc>
        <w:tc>
          <w:tcPr>
            <w:tcW w:w="4420" w:type="dxa"/>
            <w:vAlign w:val="bottom"/>
          </w:tcPr>
          <w:p>
            <w:pPr>
              <w:spacing w:after="0"/>
              <w:rPr>
                <w:sz w:val="24"/>
                <w:szCs w:val="24"/>
                <w:color w:val="auto"/>
              </w:rPr>
            </w:pPr>
          </w:p>
        </w:tc>
      </w:tr>
      <w:tr>
        <w:trPr>
          <w:trHeight w:val="365"/>
        </w:trPr>
        <w:tc>
          <w:tcPr>
            <w:tcW w:w="188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(d) Exhibits</w:t>
            </w:r>
          </w:p>
        </w:tc>
        <w:tc>
          <w:tcPr>
            <w:tcW w:w="242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4420" w:type="dxa"/>
            <w:vAlign w:val="bottom"/>
          </w:tcPr>
          <w:p>
            <w:pPr>
              <w:spacing w:after="0"/>
              <w:rPr>
                <w:sz w:val="24"/>
                <w:szCs w:val="24"/>
                <w:color w:val="auto"/>
              </w:rPr>
            </w:pPr>
          </w:p>
        </w:tc>
      </w:tr>
      <w:tr>
        <w:trPr>
          <w:trHeight w:val="270"/>
        </w:trPr>
        <w:tc>
          <w:tcPr>
            <w:tcW w:w="9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104</w:t>
            </w:r>
          </w:p>
        </w:tc>
        <w:tc>
          <w:tcPr>
            <w:tcW w:w="59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4420" w:type="dxa"/>
            <w:vAlign w:val="bottom"/>
          </w:tcPr>
          <w:p>
            <w:pPr>
              <w:spacing w:after="0"/>
              <w:rPr>
                <w:sz w:val="23"/>
                <w:szCs w:val="23"/>
                <w:color w:val="auto"/>
              </w:rPr>
            </w:pPr>
          </w:p>
        </w:tc>
      </w:tr>
      <w:tr>
        <w:trPr>
          <w:trHeight w:val="1465"/>
        </w:trPr>
        <w:tc>
          <w:tcPr>
            <w:tcW w:w="90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2420" w:type="dxa"/>
            <w:vAlign w:val="bottom"/>
            <w:tcBorders>
              <w:bottom w:val="single" w:sz="8" w:color="9A9A9A"/>
            </w:tcBorders>
          </w:tcPr>
          <w:p>
            <w:pPr>
              <w:spacing w:after="0"/>
              <w:rPr>
                <w:sz w:val="24"/>
                <w:szCs w:val="24"/>
                <w:color w:val="auto"/>
              </w:rPr>
            </w:pPr>
          </w:p>
        </w:tc>
        <w:tc>
          <w:tcPr>
            <w:tcW w:w="2520" w:type="dxa"/>
            <w:vAlign w:val="bottom"/>
            <w:tcBorders>
              <w:bottom w:val="single" w:sz="8" w:color="9A9A9A"/>
            </w:tcBorders>
          </w:tcPr>
          <w:p>
            <w:pPr>
              <w:spacing w:after="0"/>
              <w:rPr>
                <w:sz w:val="24"/>
                <w:szCs w:val="24"/>
                <w:color w:val="auto"/>
              </w:rPr>
            </w:pPr>
          </w:p>
        </w:tc>
        <w:tc>
          <w:tcPr>
            <w:tcW w:w="44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14" w:right="339" w:bottom="1440" w:gutter="0" w:footer="0" w:header="0"/>
        </w:sectPr>
      </w:pPr>
    </w:p>
    <w:bookmarkStart w:id="3" w:name="page4"/>
    <w:bookmarkEnd w:id="3"/>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70" w:lineRule="exact"/>
        <w:rPr>
          <w:sz w:val="20"/>
          <w:szCs w:val="20"/>
          <w:color w:val="auto"/>
        </w:rPr>
      </w:pPr>
    </w:p>
    <w:p>
      <w:pPr>
        <w:spacing w:after="0" w:line="329"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5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Vera Bradley, Inc.</w:t>
      </w:r>
    </w:p>
    <w:p>
      <w:pPr>
        <w:spacing w:after="0" w:line="50"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(Registrant)</w:t>
      </w:r>
    </w:p>
    <w:p>
      <w:pPr>
        <w:spacing w:after="0" w:line="320" w:lineRule="exact"/>
        <w:rPr>
          <w:sz w:val="20"/>
          <w:szCs w:val="20"/>
          <w:color w:val="auto"/>
        </w:rPr>
      </w:pPr>
    </w:p>
    <w:p>
      <w:pPr>
        <w:ind w:left="20"/>
        <w:spacing w:after="0"/>
        <w:tabs>
          <w:tab w:leader="none" w:pos="5940" w:val="left"/>
        </w:tabs>
        <w:rPr>
          <w:sz w:val="20"/>
          <w:szCs w:val="20"/>
          <w:color w:val="auto"/>
        </w:rPr>
      </w:pPr>
      <w:r>
        <w:rPr>
          <w:rFonts w:ascii="Times New Roman" w:cs="Times New Roman" w:eastAsia="Times New Roman" w:hAnsi="Times New Roman"/>
          <w:sz w:val="18"/>
          <w:szCs w:val="18"/>
          <w:b w:val="1"/>
          <w:bCs w:val="1"/>
          <w:color w:val="auto"/>
        </w:rPr>
        <w:t>Date: June 9, 2026</w:t>
      </w:r>
      <w:r>
        <w:rPr>
          <w:sz w:val="20"/>
          <w:szCs w:val="20"/>
          <w:color w:val="auto"/>
        </w:rPr>
        <w:tab/>
      </w:r>
      <w:r>
        <w:rPr>
          <w:rFonts w:ascii="Times New Roman" w:cs="Times New Roman" w:eastAsia="Times New Roman" w:hAnsi="Times New Roman"/>
          <w:sz w:val="18"/>
          <w:szCs w:val="18"/>
          <w:color w:val="auto"/>
        </w:rPr>
        <w:t>/s/ Daniel Ross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677227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772275" cy="8255"/>
                    </a:xfrm>
                    <a:prstGeom prst="rect">
                      <a:avLst/>
                    </a:prstGeom>
                    <a:noFill/>
                  </pic:spPr>
                </pic:pic>
              </a:graphicData>
            </a:graphic>
          </wp:anchor>
        </w:drawing>
      </w:r>
    </w:p>
    <w:p>
      <w:pPr>
        <w:spacing w:after="0" w:line="4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Daniel Ross</w:t>
      </w:r>
    </w:p>
    <w:p>
      <w:pPr>
        <w:spacing w:after="0" w:line="2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General Counsel</w:t>
      </w:r>
    </w:p>
    <w:sectPr>
      <w:pgSz w:w="11900" w:h="16838" w:orient="portrait"/>
      <w:cols w:equalWidth="0" w:num="1">
        <w:col w:w="11200"/>
      </w:cols>
      <w:pgMar w:left="320" w:top="1157"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2026-06-09T08:10:39Z</dcterms:created>
  <dcterms:modified xsi:type="dcterms:W3CDTF">2026-06-09T08:10:39Z</dcterms:modified>
</cp:coreProperties>
</file>