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358"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30, 2016</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14605</wp:posOffset>
            </wp:positionV>
            <wp:extent cx="1766570" cy="892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6570" cy="892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VERA BRADLEY,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460" w:type="dxa"/>
            <w:vAlign w:val="bottom"/>
          </w:tcPr>
          <w:p>
            <w:pPr>
              <w:jc w:val="center"/>
              <w:ind w:right="19"/>
              <w:spacing w:after="0"/>
              <w:rPr>
                <w:sz w:val="20"/>
                <w:szCs w:val="20"/>
                <w:color w:val="auto"/>
              </w:rPr>
            </w:pPr>
            <w:r>
              <w:rPr>
                <w:rFonts w:ascii="Arial" w:cs="Arial" w:eastAsia="Arial" w:hAnsi="Arial"/>
                <w:sz w:val="18"/>
                <w:szCs w:val="18"/>
                <w:b w:val="1"/>
                <w:bCs w:val="1"/>
                <w:color w:val="auto"/>
                <w:w w:val="95"/>
              </w:rPr>
              <w:t>Indiana</w:t>
            </w:r>
          </w:p>
        </w:tc>
        <w:tc>
          <w:tcPr>
            <w:tcW w:w="516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12420 Stonebridge Road,</w:t>
            </w:r>
          </w:p>
        </w:tc>
        <w:tc>
          <w:tcPr>
            <w:tcW w:w="516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Roanoke, Indiana</w:t>
            </w:r>
          </w:p>
        </w:tc>
        <w:tc>
          <w:tcPr>
            <w:tcW w:w="5160" w:type="dxa"/>
            <w:vAlign w:val="bottom"/>
          </w:tcPr>
          <w:p>
            <w:pPr>
              <w:jc w:val="right"/>
              <w:ind w:right="260"/>
              <w:spacing w:after="0"/>
              <w:rPr>
                <w:sz w:val="20"/>
                <w:szCs w:val="20"/>
                <w:color w:val="auto"/>
              </w:rPr>
            </w:pPr>
            <w:r>
              <w:rPr>
                <w:rFonts w:ascii="Arial" w:cs="Arial" w:eastAsia="Arial" w:hAnsi="Arial"/>
                <w:sz w:val="18"/>
                <w:szCs w:val="18"/>
                <w:b w:val="1"/>
                <w:bCs w:val="1"/>
                <w:color w:val="auto"/>
              </w:rPr>
              <w:t>46783</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60" w:type="dxa"/>
            <w:vAlign w:val="bottom"/>
          </w:tcPr>
          <w:p>
            <w:pPr>
              <w:jc w:val="center"/>
              <w:ind w:left="398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15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300" w:space="720"/>
            <w:col w:w="4180" w:space="720"/>
            <w:col w:w="2460" w:space="720"/>
            <w:col w:w="320"/>
          </w:cols>
          <w:pgMar w:left="240" w:top="229" w:right="239" w:bottom="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300" w:space="720"/>
            <w:col w:w="160" w:space="100"/>
            <w:col w:w="3920" w:space="720"/>
            <w:col w:w="2460" w:space="720"/>
            <w:col w:w="320"/>
          </w:cols>
          <w:pgMar w:left="240" w:top="229" w:right="239" w:bottom="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ectPr>
          <w:pgSz w:w="11900" w:h="16838" w:orient="portrait"/>
          <w:cols w:equalWidth="0" w:num="2">
            <w:col w:w="8880" w:space="180"/>
            <w:col w:w="2360"/>
          </w:cols>
          <w:pgMar w:left="240" w:top="229"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registrant had 37,004,561 shares of its common stock outstanding as of June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8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22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60" w:type="dxa"/>
            <w:vAlign w:val="bottom"/>
            <w:gridSpan w:val="8"/>
          </w:tcPr>
          <w:p>
            <w:pPr>
              <w:ind w:left="40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FINANCIAL INFORMATION</w:t>
              </w:r>
            </w:hyperlink>
          </w:p>
        </w:tc>
        <w:tc>
          <w:tcPr>
            <w:tcW w:w="812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78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April 30, 2016, and January 30, 2016</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Income for the Thirteen Weeks Ended April 30, 2016, and May 2, 2015</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Comprehensive Income for the Thirteen Weeks Ended April 30, 2016, and May 2, 2015</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Cash Flows for the Thirteen Weeks Ended April 30, 2016, and May 2, 2015</w:t>
              </w:r>
            </w:hyperlink>
          </w:p>
        </w:tc>
        <w:tc>
          <w:tcPr>
            <w:tcW w:w="86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the 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24</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26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24</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6"/>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PART II. OTHER INFORMATION</w:t>
              </w:r>
            </w:hyperlink>
          </w:p>
        </w:tc>
        <w:tc>
          <w:tcPr>
            <w:tcW w:w="84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9360" w:type="dxa"/>
            <w:vAlign w:val="bottom"/>
            <w:gridSpan w:val="1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3740" w:type="dxa"/>
            <w:vAlign w:val="bottom"/>
            <w:tcBorders>
              <w:top w:val="single" w:sz="8" w:color="0000EE"/>
            </w:tcBorders>
            <w:gridSpan w:val="7"/>
          </w:tcPr>
          <w:p>
            <w:pPr>
              <w:spacing w:after="0"/>
              <w:rPr>
                <w:sz w:val="24"/>
                <w:szCs w:val="24"/>
                <w:color w:val="auto"/>
              </w:rPr>
            </w:pPr>
          </w:p>
        </w:tc>
        <w:tc>
          <w:tcPr>
            <w:tcW w:w="592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0" w:type="dxa"/>
            <w:vAlign w:val="bottom"/>
            <w:gridSpan w:val="11"/>
          </w:tcPr>
          <w:p>
            <w:pPr>
              <w:ind w:left="4700"/>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5" w:lineRule="exact"/>
        <w:rPr>
          <w:sz w:val="20"/>
          <w:szCs w:val="20"/>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continued declines in our comparable sales;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 and</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w:t>
      </w:r>
    </w:p>
    <w:p>
      <w:pPr>
        <w:spacing w:after="0" w:line="21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a discussion of these risks and other risks and uncertainties that could cause actual results to differ materially from those contained in our forward-looking statements, please refer to “Risk Factors” in Item 1A of our Annual Report on Form 10-K for the fiscal year ended January 30, 2016.</w:t>
      </w:r>
    </w:p>
    <w:p>
      <w:pPr>
        <w:spacing w:after="0" w:line="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Vera Bradley, Inc.</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87"/>
              </w:rPr>
              <w:t>Consolidated Balance Sheets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97,681</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31,294</w:t>
            </w:r>
          </w:p>
        </w:tc>
        <w:tc>
          <w:tcPr>
            <w:tcW w:w="0" w:type="dxa"/>
            <w:vAlign w:val="bottom"/>
          </w:tcPr>
          <w:p>
            <w:pPr>
              <w:spacing w:after="0"/>
              <w:rPr>
                <w:sz w:val="1"/>
                <w:szCs w:val="1"/>
                <w:color w:val="auto"/>
              </w:rPr>
            </w:pPr>
          </w:p>
        </w:tc>
      </w:tr>
      <w:tr>
        <w:trPr>
          <w:trHeight w:val="243"/>
        </w:trPr>
        <w:tc>
          <w:tcPr>
            <w:tcW w:w="12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113,412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113,590</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11,947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10,292</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237,642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253,642</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114,904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113,711</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11,363</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380,679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360" w:type="dxa"/>
            <w:vAlign w:val="bottom"/>
            <w:gridSpan w:val="2"/>
          </w:tcPr>
          <w:p>
            <w:pPr>
              <w:spacing w:after="0"/>
              <w:rPr>
                <w:sz w:val="4"/>
                <w:szCs w:val="4"/>
                <w:color w:val="auto"/>
              </w:rPr>
            </w:pPr>
          </w:p>
        </w:tc>
        <w:tc>
          <w:tcPr>
            <w:tcW w:w="7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26,378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24,606</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Accrued employment costs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14,937</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Other accrued liabilities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16,924</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66,552</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28,872</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83,481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95,424</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gridSpan w:val="3"/>
          </w:tcPr>
          <w:p>
            <w:pPr>
              <w:ind w:left="280"/>
              <w:spacing w:after="0"/>
              <w:rPr>
                <w:sz w:val="20"/>
                <w:szCs w:val="20"/>
                <w:color w:val="auto"/>
              </w:rPr>
            </w:pPr>
            <w:r>
              <w:rPr>
                <w:rFonts w:ascii="Arial" w:cs="Arial" w:eastAsia="Arial" w:hAnsi="Arial"/>
                <w:sz w:val="18"/>
                <w:szCs w:val="18"/>
                <w:color w:val="auto"/>
                <w:w w:val="93"/>
              </w:rPr>
              <w:t>Common stock, without par value; 200,000 shares authorized, 40,905 and 40,804 shares issued and 37,449</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and 37,701 shares outstanding, respectively</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Additional paid-in-capital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85,436</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246,427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244,009</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Treasury stock</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(44,147)</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282,264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285,255</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365,745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380,679</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15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w:t>
            </w:r>
          </w:p>
        </w:tc>
        <w:tc>
          <w:tcPr>
            <w:tcW w:w="320" w:type="dxa"/>
            <w:vAlign w:val="bottom"/>
          </w:tcPr>
          <w:p>
            <w:pPr>
              <w:spacing w:after="0"/>
              <w:rPr>
                <w:sz w:val="14"/>
                <w:szCs w:val="14"/>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May 2,</w:t>
            </w: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101,104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45,525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49,410</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51,694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56,376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57,612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(4,971)</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(4,136)</w:t>
            </w:r>
          </w:p>
        </w:tc>
      </w:tr>
      <w:tr>
        <w:trPr>
          <w:trHeight w:val="67"/>
        </w:trPr>
        <w:tc>
          <w:tcPr>
            <w:tcW w:w="8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39,884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37,724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39,884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8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Basic net income (loss)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7"/>
        </w:trPr>
        <w:tc>
          <w:tcPr>
            <w:tcW w:w="8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30,</w:t>
            </w:r>
          </w:p>
        </w:tc>
        <w:tc>
          <w:tcPr>
            <w:tcW w:w="320" w:type="dxa"/>
            <w:vAlign w:val="bottom"/>
          </w:tcPr>
          <w:p>
            <w:pPr>
              <w:spacing w:after="0"/>
              <w:rPr>
                <w:sz w:val="13"/>
                <w:szCs w:val="13"/>
                <w:color w:val="auto"/>
              </w:rPr>
            </w:pPr>
          </w:p>
        </w:tc>
        <w:tc>
          <w:tcPr>
            <w:tcW w:w="116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May 2,</w:t>
            </w: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2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10</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30,</w:t>
            </w:r>
          </w:p>
        </w:tc>
        <w:tc>
          <w:tcPr>
            <w:tcW w:w="320" w:type="dxa"/>
            <w:vAlign w:val="bottom"/>
          </w:tcPr>
          <w:p>
            <w:pPr>
              <w:spacing w:after="0"/>
              <w:rPr>
                <w:sz w:val="13"/>
                <w:szCs w:val="13"/>
                <w:color w:val="auto"/>
              </w:rPr>
            </w:pPr>
          </w:p>
        </w:tc>
        <w:tc>
          <w:tcPr>
            <w:tcW w:w="1160" w:type="dxa"/>
            <w:vAlign w:val="bottom"/>
          </w:tcPr>
          <w:p>
            <w:pPr>
              <w:jc w:val="right"/>
              <w:ind w:right="451"/>
              <w:spacing w:after="0" w:line="153" w:lineRule="exact"/>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short-term investment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Accrued and other liabilities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Purchase of short-term investments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withholdings for equity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(45,868)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97,681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112,292</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51,813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96,579</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Non-cash operating, investing, and financing activities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Expenditures incurred but not yet paid as of April 30, 2016 and May 2, 2015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Expenditures incurred but not yet paid as of January 30, 2016 and January 31,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Expenditures incurred but not yet paid as of April 30, 2016 and May 2,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Expenditures incurred but not yet paid as of January 30, 2016 and January 31, 2015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Description of the Company and Basis of Presentation</w:t>
      </w:r>
    </w:p>
    <w:p>
      <w:pPr>
        <w:spacing w:after="0" w:line="94"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The terms “Company” and “Vera Bradley” refer to Vera Bradley, Inc. and its subsidiaries, except where the context requires otherwise or where otherwise indicated.</w:t>
      </w:r>
    </w:p>
    <w:p>
      <w:pPr>
        <w:spacing w:after="0" w:line="35"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46"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April 30, 2016, the Company operated 111 full-line stores and 41 factory outlet stores. The Indirect business consists of sales of Vera Bradley products to approximately 2,600 specialty retail locations, substantially all of which are located in the United States, as well as department stores, national accounts, third-party e-commerce sites, the Company's wholesale customer in Japan, and third-party inventory liquidators.</w:t>
      </w:r>
    </w:p>
    <w:p>
      <w:pPr>
        <w:spacing w:after="0" w:line="54"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January 30, 2016, filed with the SEC.</w:t>
      </w:r>
    </w:p>
    <w:p>
      <w:pPr>
        <w:spacing w:after="0" w:line="37"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April 30, 2016, are not necessarily indicative of the results to be expected for the full fiscal year.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9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April 30, 2016, and May 2, 2015, refer to the thirteen-week periods ended on those dates.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April 30, 2016 and January 30, 2016, deferred rent liability was $11.8 million and $11.5 million, respectively, and is included within long-term liabilities on the Consolidated Balance Sheets.</w:t>
      </w:r>
    </w:p>
    <w:p>
      <w:pPr>
        <w:spacing w:after="0" w:line="188"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April 30, 2016 and January 30, 2016, the deferred lease credit liability was $16.5 million and $16.2 million, respectively. Of these amounts, $2.3 million is included within other accrued liabilities as of April 30, 2016 and January 30, 2016; and $14.2 million and $13.9 million is included within long-term liabilities as of April 30, 2016 and January 30, 2016,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2016-09,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Improvements to Employee Share-Based Payment Accounting</w:t>
      </w:r>
      <w:r>
        <w:rPr>
          <w:rFonts w:ascii="Arial" w:cs="Arial" w:eastAsia="Arial" w:hAnsi="Arial"/>
          <w:sz w:val="16"/>
          <w:szCs w:val="16"/>
          <w:color w:val="auto"/>
        </w:rPr>
        <w:t>. The updated guidance changes how companies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aspects of share-based payment awards to employees, including the accounting for income taxes, forfeitures, and statutory tax withholding requirements, as well as the classification of related matters in the statement of cash flows. The standard is effective for public entities for annual periods beginning after December 15, 2016, and interim periods within those annual periods. Early adoption is permitted.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early adopted this standard for the quarter ended April 30, 2016. The impact of the adoption of this standard was as follows:</w:t>
      </w:r>
    </w:p>
    <w:p>
      <w:pPr>
        <w:spacing w:after="0" w:line="10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approximately $55,000 of excess tax benefits was recorded through income tax expense as a discrete item, adopted on a prospective basis;</w:t>
      </w:r>
    </w:p>
    <w:p>
      <w:pPr>
        <w:spacing w:after="0" w:line="113"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excess tax benefits were combined with other income tax cash flows within operating cash flows adopted on a prospective basis; and</w:t>
      </w:r>
    </w:p>
    <w:p>
      <w:pPr>
        <w:spacing w:after="0" w:line="101" w:lineRule="exact"/>
        <w:rPr>
          <w:rFonts w:ascii="Arial" w:cs="Arial" w:eastAsia="Arial" w:hAnsi="Arial"/>
          <w:sz w:val="17"/>
          <w:szCs w:val="17"/>
          <w:color w:val="auto"/>
        </w:rPr>
      </w:pPr>
    </w:p>
    <w:p>
      <w:pPr>
        <w:ind w:left="980" w:right="3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paid by the Company when directly withholding shares to satisfy an employee's statutory tax obligations continued to be classified as a financing activity.</w:t>
      </w:r>
    </w:p>
    <w:p>
      <w:pPr>
        <w:spacing w:after="0" w:line="35" w:lineRule="exact"/>
        <w:rPr>
          <w:rFonts w:ascii="Arial" w:cs="Arial" w:eastAsia="Arial" w:hAnsi="Arial"/>
          <w:sz w:val="18"/>
          <w:szCs w:val="18"/>
          <w:color w:val="auto"/>
        </w:rPr>
      </w:pPr>
    </w:p>
    <w:p>
      <w:pPr>
        <w:ind w:left="660" w:right="880" w:hanging="4"/>
        <w:spacing w:after="0" w:line="344" w:lineRule="auto"/>
        <w:tabs>
          <w:tab w:leader="none" w:pos="98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Company has elected to continue its current policy of estimating forfeitures rather than recognizing forfeitures when they occur. </w:t>
      </w:r>
      <w:r>
        <w:rPr>
          <w:rFonts w:ascii="Arial" w:cs="Arial" w:eastAsia="Arial" w:hAnsi="Arial"/>
          <w:sz w:val="18"/>
          <w:szCs w:val="18"/>
          <w:i w:val="1"/>
          <w:iCs w:val="1"/>
          <w:color w:val="auto"/>
        </w:rPr>
        <w:t>Recently Issued Accounting Pronouncements Not Yet Adopted</w:t>
      </w:r>
    </w:p>
    <w:p>
      <w:pPr>
        <w:spacing w:after="0" w:line="1" w:lineRule="exact"/>
        <w:rPr>
          <w:sz w:val="20"/>
          <w:szCs w:val="20"/>
          <w:color w:val="auto"/>
        </w:rPr>
      </w:pPr>
    </w:p>
    <w:p>
      <w:pPr>
        <w:ind w:left="660" w:right="80"/>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is fiscal 2019. Earlier application is permitted as of the original effective date, annual reporting periods beginning after December 2016, including interim periods within that reporting period. The Company is currently evaluating the impact of this standard, including the transition method, on its consolidated results of operations, financial position and cash flows.</w:t>
      </w:r>
    </w:p>
    <w:p>
      <w:pPr>
        <w:spacing w:after="0" w:line="47"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w:t>
      </w:r>
      <w:r>
        <w:rPr>
          <w:rFonts w:ascii="Arial" w:cs="Arial" w:eastAsia="Arial" w:hAnsi="Arial"/>
          <w:sz w:val="18"/>
          <w:szCs w:val="18"/>
          <w:color w:val="auto"/>
        </w:rPr>
        <w:t>, which requires entities to measure inventory at the lower of cost and net realizable value. This guidance is effective for interim and annual periods beginning on or after December 15, 2016. The Company is currently evaluating this guidance and does not expect the application of this standard to have a material impact on the Company’s Consolidated Financial Statements upon adoption.</w:t>
      </w:r>
    </w:p>
    <w:p>
      <w:pPr>
        <w:spacing w:after="0" w:line="227"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The Company is currently evaluating the impact of the standard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Earnings Per Share</w:t>
      </w:r>
    </w:p>
    <w:p>
      <w:pPr>
        <w:spacing w:after="0" w:line="94"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The components of basic and diluted earnings per share were as follows (in thousands, except per share data):</w:t>
      </w:r>
    </w:p>
    <w:p>
      <w:pPr>
        <w:spacing w:after="0" w:line="36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7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3"/>
                <w:szCs w:val="13"/>
                <w:color w:val="auto"/>
              </w:rPr>
            </w:pPr>
          </w:p>
        </w:tc>
        <w:tc>
          <w:tcPr>
            <w:tcW w:w="88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May 2,</w:t>
            </w:r>
          </w:p>
        </w:tc>
      </w:tr>
      <w:tr>
        <w:trPr>
          <w:trHeight w:val="192"/>
        </w:trPr>
        <w:tc>
          <w:tcPr>
            <w:tcW w:w="7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(4,136)</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39,884</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37,724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39,884</w:t>
            </w:r>
          </w:p>
        </w:tc>
      </w:tr>
      <w:tr>
        <w:trPr>
          <w:trHeight w:val="67"/>
        </w:trPr>
        <w:tc>
          <w:tcPr>
            <w:tcW w:w="77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7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(loss)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7"/>
        </w:trPr>
        <w:tc>
          <w:tcPr>
            <w:tcW w:w="7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As of April 30, 2016 and May 2, 2015, there were an immaterial number of additional shares issuable upon the vesting of restricted stock units that were excluded from the diluted share calculations because they were anti-dilutive.</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of Financial Instruments</w:t>
      </w:r>
    </w:p>
    <w:p>
      <w:pPr>
        <w:spacing w:after="0" w:line="94"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carrying amounts reflected on the Consolidated Balance Sheets for cash and cash equivalents, receivables, other current assets, and payables as of April 30, 2016, and January 30, 2016, approximated their fair values.</w:t>
      </w:r>
    </w:p>
    <w:p>
      <w:pPr>
        <w:spacing w:after="0" w:line="35"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Short-term investments consist of a certificate of deposit with an original maturity of one year and a one-time option to accelerate maturity to 31 days without penalty. The initial investment was $30.0 million and the Company has the positive intent and ability to hold the certificate of deposit to maturity. The accrued interest on the certificate of deposit is recognized in interest expense, net, in the Company's Consolidated Financial Statements. Due to the observable inputs, the certificate of deposit approximated its fair value as of April 30, 2016, and is classified within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121"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were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4"/>
                <w:szCs w:val="14"/>
                <w:color w:val="auto"/>
              </w:rPr>
            </w:pPr>
          </w:p>
        </w:tc>
        <w:tc>
          <w:tcPr>
            <w:tcW w:w="1180" w:type="dxa"/>
            <w:vAlign w:val="bottom"/>
          </w:tcPr>
          <w:p>
            <w:pPr>
              <w:jc w:val="right"/>
              <w:ind w:right="277"/>
              <w:spacing w:after="0"/>
              <w:rPr>
                <w:sz w:val="20"/>
                <w:szCs w:val="20"/>
                <w:color w:val="auto"/>
              </w:rPr>
            </w:pPr>
            <w:r>
              <w:rPr>
                <w:rFonts w:ascii="Arial" w:cs="Arial" w:eastAsia="Arial" w:hAnsi="Arial"/>
                <w:sz w:val="14"/>
                <w:szCs w:val="14"/>
                <w:b w:val="1"/>
                <w:bCs w:val="1"/>
                <w:color w:val="auto"/>
              </w:rPr>
              <w:t>January 30,</w:t>
            </w:r>
          </w:p>
        </w:tc>
      </w:tr>
      <w:tr>
        <w:trPr>
          <w:trHeight w:val="192"/>
        </w:trPr>
        <w:tc>
          <w:tcPr>
            <w:tcW w:w="7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113,412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113,439</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inventories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113,412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113,590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Debt</w:t>
      </w:r>
    </w:p>
    <w:p>
      <w:pPr>
        <w:spacing w:after="0" w:line="94"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the Company's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54" w:lineRule="exact"/>
        <w:rPr>
          <w:sz w:val="20"/>
          <w:szCs w:val="20"/>
          <w:color w:val="auto"/>
        </w:rPr>
      </w:pPr>
    </w:p>
    <w:p>
      <w:pPr>
        <w:ind w:left="660" w:right="360"/>
        <w:spacing w:after="0" w:line="293" w:lineRule="auto"/>
        <w:rPr>
          <w:sz w:val="20"/>
          <w:szCs w:val="20"/>
          <w:color w:val="auto"/>
        </w:rPr>
      </w:pPr>
      <w:r>
        <w:rPr>
          <w:rFonts w:ascii="Arial" w:cs="Arial" w:eastAsia="Arial" w:hAnsi="Arial"/>
          <w:sz w:val="16"/>
          <w:szCs w:val="16"/>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w:t>
      </w:r>
    </w:p>
    <w:p>
      <w:pPr>
        <w:spacing w:after="0" w:line="3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46"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w:t>
      </w:r>
    </w:p>
    <w:p>
      <w:pPr>
        <w:spacing w:after="0" w:line="31"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As of April 30, 2016 and January 30, 2016, the Company had borrowing availability of $125.0 million under its second amended and restated credit agreement.</w:t>
      </w: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94" w:lineRule="exact"/>
        <w:rPr>
          <w:sz w:val="20"/>
          <w:szCs w:val="20"/>
          <w:color w:val="auto"/>
        </w:rPr>
      </w:pPr>
    </w:p>
    <w:p>
      <w:pPr>
        <w:ind w:left="660" w:right="220"/>
        <w:spacing w:after="0" w:line="308" w:lineRule="auto"/>
        <w:rPr>
          <w:sz w:val="20"/>
          <w:szCs w:val="20"/>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240"/>
        <w:spacing w:after="0" w:line="302" w:lineRule="auto"/>
        <w:rPr>
          <w:sz w:val="20"/>
          <w:szCs w:val="20"/>
          <w:color w:val="auto"/>
        </w:rPr>
      </w:pPr>
      <w:r>
        <w:rPr>
          <w:rFonts w:ascii="Arial" w:cs="Arial" w:eastAsia="Arial" w:hAnsi="Arial"/>
          <w:sz w:val="16"/>
          <w:szCs w:val="16"/>
          <w:color w:val="auto"/>
        </w:rPr>
        <w:t>The effective tax rate for the thirteen weeks ended April 30, 2016, was 36.5%, compared to 18.1% for the thirteen weeks ended May 2, 2015. The year-over year increase is primarily due to an increase in income before income taxes in the current year, partially offset by the relative impact of permanent items, as well as an income tax reserve for uncertain tax positions in the prior year and a discrete item related to an excess tax benefit from share-based payments as a result of the early adoption of ASU 2016-09, as further described in Note 1 herein.</w:t>
      </w:r>
    </w:p>
    <w:p>
      <w:pPr>
        <w:spacing w:after="0" w:line="2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Stock-Based Compensation</w:t>
      </w:r>
    </w:p>
    <w:p>
      <w:pPr>
        <w:spacing w:after="0" w:line="94"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3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Awards of Restricted Stock Units</w:t>
      </w:r>
    </w:p>
    <w:p>
      <w:pPr>
        <w:spacing w:after="0" w:line="171" w:lineRule="exact"/>
        <w:rPr>
          <w:sz w:val="20"/>
          <w:szCs w:val="20"/>
          <w:color w:val="auto"/>
        </w:rPr>
      </w:pPr>
    </w:p>
    <w:p>
      <w:pPr>
        <w:ind w:left="660" w:right="140"/>
        <w:spacing w:after="0" w:line="302" w:lineRule="auto"/>
        <w:rPr>
          <w:sz w:val="20"/>
          <w:szCs w:val="20"/>
          <w:color w:val="auto"/>
        </w:rPr>
      </w:pPr>
      <w:r>
        <w:rPr>
          <w:rFonts w:ascii="Arial" w:cs="Arial" w:eastAsia="Arial" w:hAnsi="Arial"/>
          <w:sz w:val="16"/>
          <w:szCs w:val="16"/>
          <w:color w:val="auto"/>
        </w:rPr>
        <w:t>During the thirteen weeks ended April 30, 2016, the Company granted 295,148 time-based and performance-based restricted stock units with an aggregate fair value of $5.8 million to certain employees and non-employee directors under the 2010 Equity and Incentive Plan compared to a total of 562,630 time-based and performance-based restricted stock units with an aggregate fair value of $9.1 million granted in the same period of the prior year. The Company determined the fair value of the awards based on the closing price of the Company’s common stock on the grant date.</w:t>
      </w:r>
    </w:p>
    <w:p>
      <w:pPr>
        <w:spacing w:after="0" w:line="100"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3"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Performance-based restricted stock units vest upon the completion of a three-year period of time (cliff vesting), subject to the employee’s continuing employment throughout the three-year performance period and the Company’s achievement of annual earnings per share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restricted stock unit activity for the thirteen weeks ended April 30, 2016 (units in thousands):</w:t>
      </w: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8"/>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30, 2016</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18.58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April 30, 2016</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501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18.48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As of April 30, 2016, there was $9.5 million of total unrecognized compensation cost, net of estimated forfeitures, related to nonvested restricted stock units. That cost is expected to be recognized over a weighted-average period of 2.0 years.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94"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environmental, and other matters. Management believes that it is not reasonably possible that any of these claims will have a material adverse effect on the Company’s financial condition, results of operations, or cash flows.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Common Stock</w:t>
      </w:r>
    </w:p>
    <w:p>
      <w:pPr>
        <w:spacing w:after="0" w:line="94" w:lineRule="exact"/>
        <w:rPr>
          <w:sz w:val="20"/>
          <w:szCs w:val="20"/>
          <w:color w:val="auto"/>
        </w:rPr>
      </w:pPr>
    </w:p>
    <w:p>
      <w:pPr>
        <w:ind w:left="660" w:right="100"/>
        <w:spacing w:after="0" w:line="302" w:lineRule="auto"/>
        <w:rPr>
          <w:sz w:val="20"/>
          <w:szCs w:val="20"/>
          <w:color w:val="auto"/>
        </w:rPr>
      </w:pPr>
      <w:r>
        <w:rPr>
          <w:rFonts w:ascii="Arial" w:cs="Arial" w:eastAsia="Arial" w:hAnsi="Arial"/>
          <w:sz w:val="16"/>
          <w:szCs w:val="16"/>
          <w:color w:val="auto"/>
        </w:rPr>
        <w:t>On December 8, 2015, the Company's board of directors approved a share repurchase program (the “2015 Share Repurchase Program”) authorizing up to $50.0 million of repurchases of shares of the Company's common stock. The 2015 Share Repurchase Program expires in December 2017. The prior share repurchase program (the “2014 Share Repurchase Program”) was approved by the board of directors on September 9, 2014, and authorized share repurchases up to $40.0 million. The 2014 Share Repurchase Program was completed in fiscal 2016.</w:t>
      </w:r>
    </w:p>
    <w:p>
      <w:pPr>
        <w:spacing w:after="0" w:line="19" w:lineRule="exact"/>
        <w:rPr>
          <w:sz w:val="20"/>
          <w:szCs w:val="20"/>
          <w:color w:val="auto"/>
        </w:rPr>
      </w:pPr>
    </w:p>
    <w:p>
      <w:pPr>
        <w:ind w:left="660" w:right="40"/>
        <w:spacing w:after="0" w:line="286" w:lineRule="auto"/>
        <w:rPr>
          <w:sz w:val="20"/>
          <w:szCs w:val="20"/>
          <w:color w:val="auto"/>
        </w:rPr>
      </w:pPr>
      <w:r>
        <w:rPr>
          <w:rFonts w:ascii="Arial" w:cs="Arial" w:eastAsia="Arial" w:hAnsi="Arial"/>
          <w:sz w:val="17"/>
          <w:szCs w:val="17"/>
          <w:color w:val="auto"/>
        </w:rPr>
        <w:t>The Company purchased 354,052 shares at an average price of $16.05 per share, excluding commissions, for an aggregate amount of $5.7 million during the thirteen weeks ended April 30, 2016, under the 2015 Share Repurchase Program. As of April 30, 2016, there was $40.2 million remaining available to repurchase shares of the Company's common stock under the 2015 Share Repurchase Program.</w:t>
      </w:r>
    </w:p>
    <w:p>
      <w:pPr>
        <w:spacing w:after="0" w:line="111"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As of April 30, 2016, the Company held as treasury shares 3,456,404 shares of its common stock at an average price of $14.42 per share, excluding commissions, for an aggregate carrying amount of $49.8 million. The Company’s treasury shares may be issued under the 2010 Equity and Incentive Plan or for other corporate purposes.</w:t>
      </w:r>
    </w:p>
    <w:p>
      <w:pPr>
        <w:spacing w:after="0" w:line="200" w:lineRule="exact"/>
        <w:rPr>
          <w:sz w:val="20"/>
          <w:szCs w:val="20"/>
          <w:color w:val="auto"/>
        </w:rPr>
      </w:pPr>
    </w:p>
    <w:p>
      <w:pPr>
        <w:spacing w:after="0" w:line="2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Restructuring and Other Charges</w:t>
      </w:r>
    </w:p>
    <w:p>
      <w:pPr>
        <w:spacing w:after="0" w:line="94" w:lineRule="exact"/>
        <w:rPr>
          <w:sz w:val="20"/>
          <w:szCs w:val="20"/>
          <w:color w:val="auto"/>
        </w:rPr>
      </w:pPr>
    </w:p>
    <w:p>
      <w:pPr>
        <w:ind w:left="660" w:right="160"/>
        <w:spacing w:after="0" w:line="254" w:lineRule="auto"/>
        <w:rPr>
          <w:sz w:val="20"/>
          <w:szCs w:val="20"/>
          <w:color w:val="auto"/>
        </w:rPr>
      </w:pPr>
      <w:r>
        <w:rPr>
          <w:rFonts w:ascii="Arial" w:cs="Arial" w:eastAsia="Arial" w:hAnsi="Arial"/>
          <w:sz w:val="18"/>
          <w:szCs w:val="18"/>
          <w:color w:val="auto"/>
        </w:rPr>
        <w:t>In the first quarter of fiscal 2016, the Company closed its manufacturing facility located in New Haven, Indiana. The Company incurred restructuring and other charges during the first quarter of fiscal 2016 of approximately $3.4 million ($2.1 million after the associated tax benefit), related to the facility closing. These charges include severance and benefit costs of approximately $1.7 million, lease termination costs of approximately $0.7 million, inventory-related charges of approximately $0.6 million, and other associated net costs, which include accelerated depreciation related to fixed assets, of approximately $0.4 million. These charges are reflected in cost of sales in the Company's Consolidated Financial Statements. Management expects that the facility closure will reduce operating costs by approximately $12.0 million annually. All production from the facility was absorbed by the Company’s third party manufacturing suppliers. There are no remaining liabilities associated with the facility closure.</w:t>
      </w:r>
    </w:p>
    <w:p>
      <w:pPr>
        <w:spacing w:after="0" w:line="57" w:lineRule="exact"/>
        <w:rPr>
          <w:sz w:val="20"/>
          <w:szCs w:val="20"/>
          <w:color w:val="auto"/>
        </w:rPr>
      </w:pPr>
    </w:p>
    <w:p>
      <w:pPr>
        <w:ind w:left="660" w:right="200"/>
        <w:spacing w:after="0" w:line="276" w:lineRule="auto"/>
        <w:rPr>
          <w:sz w:val="20"/>
          <w:szCs w:val="20"/>
          <w:color w:val="auto"/>
        </w:rPr>
      </w:pPr>
      <w:r>
        <w:rPr>
          <w:rFonts w:ascii="Arial" w:cs="Arial" w:eastAsia="Arial" w:hAnsi="Arial"/>
          <w:sz w:val="17"/>
          <w:szCs w:val="17"/>
          <w:color w:val="auto"/>
        </w:rPr>
        <w:t>Additional charges affecting comparability of the financial results for the thirteen weeks ended April 30, 2016 and May 2, 2015 totaled approximately $3.1 million ($2.1 million after the associated tax benefit) consisting of charges in the first quarter of fiscal 2016 of $1.3 million in employee severance (reflected in selling, general, and administrative expenses), $1.2 million due to a retail store early lease termination agreement (reflected in selling, general, and administrative expenses), and $0.6 million related to an increase in income tax reserves for uncertain federal and state tax positions related to research and development tax credits (reflected in income tax expense).</w:t>
      </w:r>
    </w:p>
    <w:p>
      <w:pPr>
        <w:spacing w:after="0" w:line="2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Short-Term Investments</w:t>
      </w:r>
    </w:p>
    <w:p>
      <w:pPr>
        <w:spacing w:after="0" w:line="94"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Short-term investments consist of a certificate of deposit with an original maturity of one year and a one-time option to accelerate maturity to 31 days without penalty. Interest income from the investment is included in interest expense, net, in the Company's Consolidated Financial Statements. The Company’s objective with respect to this investment is to earn a higher rate of return on funds that are otherwise not anticipated to be required to meet liquidity needs in the near term while maintaining a low level of investment risk with the positive intent and ability to hold this investment to maturity. As of April 30, 2016, the Company held $30.0 million in short-term investments. The Company did not have short-term investments as of January 30, 2016.</w:t>
      </w:r>
    </w:p>
    <w:p>
      <w:pPr>
        <w:spacing w:after="0" w:line="2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Segment Reporting</w:t>
      </w:r>
    </w:p>
    <w:p>
      <w:pPr>
        <w:spacing w:after="0" w:line="94"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The Company has two operating segments, which are also its reportable segments: Direct and Indirect. These operating segments are components of the Company for which separate financial information is available and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which operating results are evaluated on a regular basis by the chief operating decision maker in deciding how to allocate resources and in assessing the performance of the segments.</w:t>
      </w:r>
    </w:p>
    <w:p>
      <w:pPr>
        <w:spacing w:after="0" w:line="35"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The Direct segment includes the Company’s full-line and factory outlet stores, the Company’s website, verabradley.com, direct-to-consumer eBay sales, and the annual outlet sale. Revenues generated through this segment are driven through the sale of Company-branded products from Vera Bradley to end consumers.</w:t>
      </w:r>
    </w:p>
    <w:p>
      <w:pPr>
        <w:spacing w:after="0" w:line="46" w:lineRule="exact"/>
        <w:rPr>
          <w:sz w:val="20"/>
          <w:szCs w:val="20"/>
          <w:color w:val="auto"/>
        </w:rPr>
      </w:pPr>
    </w:p>
    <w:p>
      <w:pPr>
        <w:ind w:left="660" w:right="120"/>
        <w:spacing w:after="0" w:line="312" w:lineRule="auto"/>
        <w:rPr>
          <w:sz w:val="20"/>
          <w:szCs w:val="20"/>
          <w:color w:val="auto"/>
        </w:rPr>
      </w:pPr>
      <w:r>
        <w:rPr>
          <w:rFonts w:ascii="Arial" w:cs="Arial" w:eastAsia="Arial" w:hAnsi="Arial"/>
          <w:sz w:val="16"/>
          <w:szCs w:val="16"/>
          <w:color w:val="auto"/>
        </w:rPr>
        <w:t>The Indirect segment represents revenues generated through the distribution of Company-branded products to specialty retailers representing approximately 2,600 locations, substantially all of which are located in the United States, as well as key accounts, which include department stores, national accounts, third-party e-commerce sites, the Company's wholesale customer in Japan, and third-party inventory liquidators.</w:t>
      </w:r>
    </w:p>
    <w:p>
      <w:pPr>
        <w:spacing w:after="0" w:line="1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merchandising, and various other corporate-level-activity-related expenses. All intercompany-related activities are eliminated in consolidation and are excluded from the segment reporting.</w:t>
      </w:r>
    </w:p>
    <w:p>
      <w:pPr>
        <w:spacing w:after="0" w:line="46" w:lineRule="exact"/>
        <w:rPr>
          <w:sz w:val="20"/>
          <w:szCs w:val="20"/>
          <w:color w:val="auto"/>
        </w:rPr>
      </w:pPr>
    </w:p>
    <w:p>
      <w:pPr>
        <w:ind w:left="660" w:right="20"/>
        <w:spacing w:after="0" w:line="286" w:lineRule="auto"/>
        <w:rPr>
          <w:sz w:val="20"/>
          <w:szCs w:val="20"/>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weeks ended April 30, 2016 and May 2, 2015, respectively, consisted of the following (in thousands):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April 30,</w:t>
            </w:r>
          </w:p>
        </w:tc>
        <w:tc>
          <w:tcPr>
            <w:tcW w:w="340" w:type="dxa"/>
            <w:vAlign w:val="bottom"/>
          </w:tcPr>
          <w:p>
            <w:pPr>
              <w:spacing w:after="0"/>
              <w:rPr>
                <w:sz w:val="13"/>
                <w:szCs w:val="13"/>
                <w:color w:val="auto"/>
              </w:rPr>
            </w:pPr>
          </w:p>
        </w:tc>
        <w:tc>
          <w:tcPr>
            <w:tcW w:w="1260" w:type="dxa"/>
            <w:vAlign w:val="bottom"/>
          </w:tcPr>
          <w:p>
            <w:pPr>
              <w:jc w:val="right"/>
              <w:ind w:right="513"/>
              <w:spacing w:after="0" w:line="153" w:lineRule="exact"/>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Direct</w:t>
            </w:r>
          </w:p>
        </w:tc>
        <w:tc>
          <w:tcPr>
            <w:tcW w:w="32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72,946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70,433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30,671</w:t>
            </w:r>
          </w:p>
        </w:tc>
        <w:tc>
          <w:tcPr>
            <w:tcW w:w="0" w:type="dxa"/>
            <w:vAlign w:val="bottom"/>
          </w:tcPr>
          <w:p>
            <w:pPr>
              <w:spacing w:after="0"/>
              <w:rPr>
                <w:sz w:val="1"/>
                <w:szCs w:val="1"/>
                <w:color w:val="auto"/>
              </w:rPr>
            </w:pPr>
          </w:p>
        </w:tc>
      </w:tr>
      <w:tr>
        <w:trPr>
          <w:trHeight w:val="237"/>
        </w:trPr>
        <w:tc>
          <w:tcPr>
            <w:tcW w:w="3760" w:type="dxa"/>
            <w:vAlign w:val="bottom"/>
          </w:tcPr>
          <w:p>
            <w:pPr>
              <w:ind w:left="48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105,181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101,104</w:t>
            </w:r>
          </w:p>
        </w:tc>
        <w:tc>
          <w:tcPr>
            <w:tcW w:w="0" w:type="dxa"/>
            <w:vAlign w:val="bottom"/>
          </w:tcPr>
          <w:p>
            <w:pPr>
              <w:spacing w:after="0"/>
              <w:rPr>
                <w:sz w:val="1"/>
                <w:szCs w:val="1"/>
                <w:color w:val="auto"/>
              </w:rPr>
            </w:pPr>
          </w:p>
        </w:tc>
      </w:tr>
      <w:tr>
        <w:trPr>
          <w:trHeight w:val="67"/>
        </w:trPr>
        <w:tc>
          <w:tcPr>
            <w:tcW w:w="3760" w:type="dxa"/>
            <w:vAlign w:val="bottom"/>
            <w:tcBorders>
              <w:bottom w:val="single" w:sz="8" w:color="CCEEFF"/>
            </w:tcBorders>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9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Direct</w:t>
            </w:r>
          </w:p>
        </w:tc>
        <w:tc>
          <w:tcPr>
            <w:tcW w:w="32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12,137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8,027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37"/>
        </w:trPr>
        <w:tc>
          <w:tcPr>
            <w:tcW w:w="3760" w:type="dxa"/>
            <w:vAlign w:val="bottom"/>
          </w:tcPr>
          <w:p>
            <w:pPr>
              <w:ind w:left="48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24,735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17,931</w:t>
            </w:r>
          </w:p>
        </w:tc>
        <w:tc>
          <w:tcPr>
            <w:tcW w:w="0" w:type="dxa"/>
            <w:vAlign w:val="bottom"/>
          </w:tcPr>
          <w:p>
            <w:pPr>
              <w:spacing w:after="0"/>
              <w:rPr>
                <w:sz w:val="1"/>
                <w:szCs w:val="1"/>
                <w:color w:val="auto"/>
              </w:rPr>
            </w:pPr>
          </w:p>
        </w:tc>
      </w:tr>
      <w:tr>
        <w:trPr>
          <w:trHeight w:val="67"/>
        </w:trPr>
        <w:tc>
          <w:tcPr>
            <w:tcW w:w="3760" w:type="dxa"/>
            <w:vAlign w:val="bottom"/>
            <w:tcBorders>
              <w:bottom w:val="single" w:sz="8" w:color="CCEEFF"/>
            </w:tcBorders>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9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32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24,735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17,931</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2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2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(22,902)</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2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1450"/>
              <w:spacing w:after="0"/>
              <w:rPr>
                <w:sz w:val="20"/>
                <w:szCs w:val="20"/>
                <w:color w:val="auto"/>
              </w:rPr>
            </w:pPr>
            <w:r>
              <w:rPr>
                <w:rFonts w:ascii="Arial" w:cs="Arial" w:eastAsia="Arial" w:hAnsi="Arial"/>
                <w:sz w:val="18"/>
                <w:szCs w:val="18"/>
                <w:color w:val="auto"/>
              </w:rPr>
              <w:t>14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the Company as of and for the thirteen weeks ended April 30, 2016 and May 2, 2015. The following discussion should be read in conjunction with our Annual Report on Form 10-K for the fiscal year ended January 30, 2016, and our unaudited consolidated financial statements and the related notes included in Item 1 of this Quarterly Report. The results of operations for the thirteen weeks ended April 30, 2016, are not necessarily indicative of the results to be expected for the full fiscal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results for the first quarter of fiscal 2017:</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980" w:right="32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opened one new full-line store in metropolitan Chicago and one new factory outlet store in Foley, Alabama during the first quarter and relocated our full-line Park Meadows store in metropolitan Denver to a higher traffic location. Both full-line stores feature our new, modern interior store design and updated logo and facade.</w:t>
      </w:r>
    </w:p>
    <w:p>
      <w:pPr>
        <w:spacing w:after="0" w:line="46"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working with our store teams to drive traffic and sales through enhancing our sell-and-service culture, as well as nurturing more customer and community outreach.</w:t>
      </w:r>
    </w:p>
    <w:p>
      <w:pPr>
        <w:spacing w:after="0" w:line="3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continuing to reinvigorate and modernize our cotton assortment with new patterns, styles, silhouettes, hardware, and functionality. We are also continuing to innovate and drive sales with the addition of non-cotton offerings to our assortment.</w:t>
      </w:r>
    </w:p>
    <w:p>
      <w:pPr>
        <w:spacing w:after="0" w:line="3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continuing work on the redesign and conversion of verabradley.com to a new platform, creating a dynamic digital flagship which will be launched in September 2016. The new site will offer a number of of enhancements including the ability to strategically segment and personalize messaging, express check-out, and “order on-line, pickup in-store,” among many others.</w:t>
      </w:r>
    </w:p>
    <w:p>
      <w:pPr>
        <w:spacing w:after="0" w:line="46"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positioning for additional department store growth not only by adding more distribution points but by building the productivity of our existing doors through editing and curating assortments by location, adding more floor space where appropriate, and delivering visual consistency across locations.</w:t>
      </w:r>
    </w:p>
    <w:p>
      <w:pPr>
        <w:spacing w:after="0" w:line="46"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opened a sourcing and procurement office in Hong Kong to lead our global supply chain in Asia.</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(all comparisons are to the first quarter of fiscal 2016)</w:t>
      </w:r>
    </w:p>
    <w:p>
      <w:pPr>
        <w:spacing w:after="0" w:line="94"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increased 4.0% to $105.2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segment sales increased 3.6% to $72.9 million. Comparable sales (including e-commerce) decreased 6.7%.</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Indirect segment sales increased 5.1% to $32.2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was $59.7 million, or 56.7%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was $3.9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was $2.4 million, or $0.06 per diluted share.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and short-term investments were $81.8 million at April 30, 2016.</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totaled $5.6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Repurchases of common stock totaled $5.7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 Affecting Comparability of the Periods ended April 30, 2016, and May 2, 2015</w:t>
      </w:r>
    </w:p>
    <w:p>
      <w:pPr>
        <w:spacing w:after="0" w:line="9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the first quarter of fiscal 2016 (the comparable prior-year period), we closed our manufacturing facility located in New Haven, Indiana. We incurred restructuring and other charges during the first quarter of fiscal 2016 of approximately $3.4 million ($2.1 million after the associated tax benefit), related to the facility closing. These charges include severance and benefit costs of approximately $1.7 million, lease termination costs of approximately $0.7 million, inventory-related charges of approximately $0.6 million, and other associated net costs, which include accelerated depreciation related to fixed assets, of approximately $0.4 million. These charges are reflected in cost of sales in our Consolidated Financial Statements. We expect that the facility closure will reduce operating costs by approximately $12.0 million annually. All production from the facility was absorbed by our third party manufacturing suppliers.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1"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Additional charges affecting comparability of the financial results for the thirteen weeks ended April 30, 2016 and May 2, 2015, totaled approximately $3.1 million ($2.1 million after the associated tax benefit) consisting of charges in the first quarter of fiscal 2016 of $1.3 million in employee severance (reflected in selling, general, and administrative expenses), $1.2 million due to a retail store early lease termination agreement (reflected in selling, general, and administrative expenses), and $0.6 million related to an increase in income tax reserves for uncertain federal and state tax positions related to research and development tax credits (reflected in income tax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reflect sales of our merchandise and revenue from distribution and shipping and handling fees, less returns and discounts. Revenues for the Direct segment reflect sales through our full-line and factory outlet stores, verabradley.com, direct-to-consumer eBay sales, and our annual outlet sale in Fort Wayne, Indiana. Revenues for the Indirect segment reflect sales to specialty retail partners, department stores, national accounts, third-party e-commerce sites, our wholesale customer in Japan, and third-party inventory liquidators.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Comparable sales (including e-commerce)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comparable sales and comparable 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Overall levels of mall and e-commerce traffic;</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and labor costs.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income (loss) is equal to gross profit less SG&amp;A expenses plus other income. Operating income (loss) excludes interest income, interest expense,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is equal to operating income less net interest expense and income taxes.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1"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30,</w:t>
            </w:r>
          </w:p>
        </w:tc>
        <w:tc>
          <w:tcPr>
            <w:tcW w:w="340" w:type="dxa"/>
            <w:vAlign w:val="bottom"/>
          </w:tcPr>
          <w:p>
            <w:pPr>
              <w:spacing w:after="0"/>
              <w:rPr>
                <w:sz w:val="13"/>
                <w:szCs w:val="13"/>
                <w:color w:val="auto"/>
              </w:rPr>
            </w:pPr>
          </w:p>
        </w:tc>
        <w:tc>
          <w:tcPr>
            <w:tcW w:w="1260" w:type="dxa"/>
            <w:vAlign w:val="bottom"/>
          </w:tcPr>
          <w:p>
            <w:pPr>
              <w:jc w:val="right"/>
              <w:ind w:right="512"/>
              <w:spacing w:after="0" w:line="153" w:lineRule="exact"/>
              <w:rPr>
                <w:sz w:val="20"/>
                <w:szCs w:val="20"/>
                <w:color w:val="auto"/>
              </w:rPr>
            </w:pPr>
            <w:r>
              <w:rPr>
                <w:rFonts w:ascii="Arial" w:cs="Arial" w:eastAsia="Arial" w:hAnsi="Arial"/>
                <w:sz w:val="14"/>
                <w:szCs w:val="14"/>
                <w:b w:val="1"/>
                <w:bCs w:val="1"/>
                <w:color w:val="auto"/>
              </w:rPr>
              <w:t>May 2,</w:t>
            </w:r>
          </w:p>
        </w:tc>
      </w:tr>
      <w:tr>
        <w:trPr>
          <w:trHeight w:val="192"/>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30"/>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8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105,181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101,104</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45,525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49,410</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59,656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51,694</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56,376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57,612</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947</w:t>
            </w:r>
          </w:p>
        </w:tc>
      </w:tr>
      <w:tr>
        <w:trPr>
          <w:trHeight w:val="237"/>
        </w:trPr>
        <w:tc>
          <w:tcPr>
            <w:tcW w:w="8180" w:type="dxa"/>
            <w:vAlign w:val="bottom"/>
          </w:tcPr>
          <w:p>
            <w:pPr>
              <w:ind w:left="28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(4,971)</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77</w:t>
            </w:r>
          </w:p>
        </w:tc>
      </w:tr>
      <w:tr>
        <w:trPr>
          <w:trHeight w:val="237"/>
        </w:trPr>
        <w:tc>
          <w:tcPr>
            <w:tcW w:w="8180" w:type="dxa"/>
            <w:vAlign w:val="bottom"/>
          </w:tcPr>
          <w:p>
            <w:pPr>
              <w:ind w:left="28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(5,048)</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(912)</w:t>
            </w:r>
          </w:p>
        </w:tc>
      </w:tr>
      <w:tr>
        <w:trPr>
          <w:trHeight w:val="237"/>
        </w:trPr>
        <w:tc>
          <w:tcPr>
            <w:tcW w:w="818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(4,136)</w:t>
            </w:r>
          </w:p>
        </w:tc>
      </w:tr>
      <w:tr>
        <w:trPr>
          <w:trHeight w:val="67"/>
        </w:trPr>
        <w:tc>
          <w:tcPr>
            <w:tcW w:w="81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8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48.9 %</w:t>
            </w:r>
          </w:p>
        </w:tc>
      </w:tr>
      <w:tr>
        <w:trPr>
          <w:trHeight w:val="237"/>
        </w:trPr>
        <w:tc>
          <w:tcPr>
            <w:tcW w:w="81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51.1 %</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57.0 %</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April 30,</w:t>
            </w:r>
          </w:p>
        </w:tc>
        <w:tc>
          <w:tcPr>
            <w:tcW w:w="340" w:type="dxa"/>
            <w:vAlign w:val="bottom"/>
          </w:tcPr>
          <w:p>
            <w:pPr>
              <w:spacing w:after="0"/>
              <w:rPr>
                <w:sz w:val="13"/>
                <w:szCs w:val="13"/>
                <w:color w:val="auto"/>
              </w:rPr>
            </w:pPr>
          </w:p>
        </w:tc>
        <w:tc>
          <w:tcPr>
            <w:tcW w:w="1220" w:type="dxa"/>
            <w:vAlign w:val="bottom"/>
          </w:tcPr>
          <w:p>
            <w:pPr>
              <w:jc w:val="right"/>
              <w:ind w:right="497"/>
              <w:spacing w:after="0" w:line="153" w:lineRule="exact"/>
              <w:rPr>
                <w:sz w:val="20"/>
                <w:szCs w:val="20"/>
                <w:color w:val="auto"/>
              </w:rPr>
            </w:pPr>
            <w:r>
              <w:rPr>
                <w:rFonts w:ascii="Arial" w:cs="Arial" w:eastAsia="Arial" w:hAnsi="Arial"/>
                <w:sz w:val="14"/>
                <w:szCs w:val="14"/>
                <w:b w:val="1"/>
                <w:bCs w:val="1"/>
                <w:color w:val="auto"/>
              </w:rPr>
              <w:t>May 2,</w:t>
            </w:r>
          </w:p>
        </w:tc>
      </w:tr>
      <w:tr>
        <w:trPr>
          <w:trHeight w:val="192"/>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r>
      <w:tr>
        <w:trPr>
          <w:trHeight w:val="230"/>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
        </w:trPr>
        <w:tc>
          <w:tcPr>
            <w:tcW w:w="8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72,946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70,433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Indirect</w:t>
            </w:r>
          </w:p>
        </w:tc>
        <w:tc>
          <w:tcPr>
            <w:tcW w:w="300" w:type="dxa"/>
            <w:vAlign w:val="bottom"/>
          </w:tcPr>
          <w:p>
            <w:pPr>
              <w:spacing w:after="0"/>
              <w:rPr>
                <w:sz w:val="21"/>
                <w:szCs w:val="21"/>
                <w:color w:val="auto"/>
              </w:rPr>
            </w:pP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32,235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97"/>
              <w:spacing w:after="0"/>
              <w:rPr>
                <w:sz w:val="20"/>
                <w:szCs w:val="20"/>
                <w:color w:val="auto"/>
              </w:rPr>
            </w:pPr>
            <w:r>
              <w:rPr>
                <w:rFonts w:ascii="Arial" w:cs="Arial" w:eastAsia="Arial" w:hAnsi="Arial"/>
                <w:sz w:val="18"/>
                <w:szCs w:val="18"/>
                <w:color w:val="auto"/>
              </w:rPr>
              <w:t>30,671</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105,181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101,104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Percentage of Net Revenues by Segment:</w:t>
            </w:r>
          </w:p>
        </w:tc>
        <w:tc>
          <w:tcPr>
            <w:tcW w:w="38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40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5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Indirect</w:t>
            </w:r>
          </w:p>
        </w:tc>
        <w:tc>
          <w:tcPr>
            <w:tcW w:w="536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310"/>
              <w:spacing w:after="0"/>
              <w:rPr>
                <w:sz w:val="20"/>
                <w:szCs w:val="20"/>
                <w:color w:val="auto"/>
              </w:rPr>
            </w:pPr>
            <w:r>
              <w:rPr>
                <w:rFonts w:ascii="Arial" w:cs="Arial" w:eastAsia="Arial" w:hAnsi="Arial"/>
                <w:sz w:val="18"/>
                <w:szCs w:val="18"/>
                <w:color w:val="auto"/>
              </w:rPr>
              <w:t>18</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0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April 30,</w:t>
            </w:r>
          </w:p>
        </w:tc>
        <w:tc>
          <w:tcPr>
            <w:tcW w:w="340" w:type="dxa"/>
            <w:vAlign w:val="bottom"/>
          </w:tcPr>
          <w:p>
            <w:pPr>
              <w:spacing w:after="0"/>
              <w:rPr>
                <w:sz w:val="13"/>
                <w:szCs w:val="13"/>
                <w:color w:val="auto"/>
              </w:rPr>
            </w:pPr>
          </w:p>
        </w:tc>
        <w:tc>
          <w:tcPr>
            <w:tcW w:w="1260" w:type="dxa"/>
            <w:vAlign w:val="bottom"/>
          </w:tcPr>
          <w:p>
            <w:pPr>
              <w:jc w:val="right"/>
              <w:ind w:right="513"/>
              <w:spacing w:after="0" w:line="153" w:lineRule="exact"/>
              <w:rPr>
                <w:sz w:val="20"/>
                <w:szCs w:val="20"/>
                <w:color w:val="auto"/>
              </w:rPr>
            </w:pPr>
            <w:r>
              <w:rPr>
                <w:rFonts w:ascii="Arial" w:cs="Arial" w:eastAsia="Arial" w:hAnsi="Arial"/>
                <w:sz w:val="14"/>
                <w:szCs w:val="14"/>
                <w:b w:val="1"/>
                <w:bCs w:val="1"/>
                <w:color w:val="auto"/>
              </w:rPr>
              <w:t>May 2,</w:t>
            </w:r>
          </w:p>
        </w:tc>
      </w:tr>
      <w:tr>
        <w:trPr>
          <w:trHeight w:val="192"/>
        </w:trPr>
        <w:tc>
          <w:tcPr>
            <w:tcW w:w="8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 by Segment:</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8,027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Indirect</w:t>
            </w:r>
          </w:p>
        </w:tc>
        <w:tc>
          <w:tcPr>
            <w:tcW w:w="320" w:type="dxa"/>
            <w:vAlign w:val="bottom"/>
          </w:tcPr>
          <w:p>
            <w:pPr>
              <w:spacing w:after="0"/>
              <w:rPr>
                <w:sz w:val="21"/>
                <w:szCs w:val="21"/>
                <w:color w:val="auto"/>
              </w:rPr>
            </w:pP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12,598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9,904</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Corporate unallocated</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(20,878)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(22,902)</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(4,971)</w:t>
            </w:r>
          </w:p>
        </w:tc>
      </w:tr>
      <w:tr>
        <w:trPr>
          <w:trHeight w:val="67"/>
        </w:trPr>
        <w:tc>
          <w:tcPr>
            <w:tcW w:w="8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Operating Income (Loss) as a Percentage of Net Revenues by Segment:</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Direct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135</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Comparable sales (including e-commerce) decrease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square footage at end of period (all stores)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346,708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304,744</w:t>
            </w:r>
          </w:p>
        </w:tc>
      </w:tr>
      <w:tr>
        <w:trPr>
          <w:trHeight w:val="341"/>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130</w:t>
            </w:r>
          </w:p>
        </w:tc>
      </w:tr>
    </w:tbl>
    <w:p>
      <w:pPr>
        <w:spacing w:after="0" w:line="130"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our full-line and factory outlet stores.</w:t>
      </w:r>
    </w:p>
    <w:p>
      <w:pPr>
        <w:spacing w:after="0" w:line="23" w:lineRule="exact"/>
        <w:rPr>
          <w:rFonts w:ascii="Arial" w:cs="Arial" w:eastAsia="Arial" w:hAnsi="Arial"/>
          <w:sz w:val="18"/>
          <w:szCs w:val="18"/>
          <w:color w:val="auto"/>
        </w:rPr>
      </w:pPr>
    </w:p>
    <w:p>
      <w:pPr>
        <w:jc w:val="both"/>
        <w:ind w:left="540" w:right="100" w:hanging="532"/>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Comparable sales (including e-commerce)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8"/>
          <w:szCs w:val="18"/>
          <w:color w:val="auto"/>
        </w:rPr>
      </w:pPr>
    </w:p>
    <w:p>
      <w:pPr>
        <w:ind w:left="540" w:right="40" w:hanging="532"/>
        <w:spacing w:after="0" w:line="255"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3" w:lineRule="exact"/>
        <w:rPr>
          <w:sz w:val="20"/>
          <w:szCs w:val="20"/>
          <w:color w:val="auto"/>
        </w:rPr>
      </w:pPr>
    </w:p>
    <w:p>
      <w:pPr>
        <w:ind w:right="4640"/>
        <w:spacing w:after="0" w:line="346" w:lineRule="auto"/>
        <w:rPr>
          <w:sz w:val="20"/>
          <w:szCs w:val="20"/>
          <w:color w:val="auto"/>
        </w:rPr>
      </w:pPr>
      <w:r>
        <w:rPr>
          <w:rFonts w:ascii="Arial" w:cs="Arial" w:eastAsia="Arial" w:hAnsi="Arial"/>
          <w:sz w:val="18"/>
          <w:szCs w:val="18"/>
          <w:b w:val="1"/>
          <w:bCs w:val="1"/>
          <w:color w:val="auto"/>
        </w:rPr>
        <w:t xml:space="preserve">Thirteen Weeks Ended April 30, 2016, Compared to Thirteen Weeks Ended May 2, 2015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thirteen weeks ended April 30, 2016, net revenues increased $4.1 million, or 4.0%, to $105.2 million, from $101.1 million in the comparable prior-year period.</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April 30, 2016, net revenues in the Direct segment increased $2.5 million, or 3.6%, to $72.9 million, from $70.4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comparable prior-year period. This change resulted from a $7.1 million contribution of revenue from our non-comparable stores, including two additional stores opened in the current fiscal year, which was partially offset by a comparable sales (including e-commerce) decrease of $4.1 million, or 6.7%. The decrease in comparable sales (including e-commerce) includes an 11.0% decrease in e-commerce sales and a 3.8% decrease in comparable store sales. The decline in comparable sales (including e-commerce) was primarily due to year-over-year declines in e-commerce and store traffic, as well as lower levels of e-commerce promotional activity.</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April 30, 2016, net revenues in the Indirect segment increased $1.5 million, or 5.1%, to $32.2 million, from $30.7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was primarily due to incremental sales to certain non-department store key accounts and the timing of a product launch in the specialty channel, that shifted revenues into the second quarter of the prior year from the first quarter, partially offset by a decline in orders from the Company's specialty retail accounts.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thirteen weeks ended April 30, 2016, gross profit increased $8.0 million, or 15.4%, to $59.7 million, from $51.7 million in the comparable prior-year period. As a percentage of net revenues, gross profit increased to 56.7% for the thirteen weeks ended April 30, 2016, from 51.1% in the comparable prior-year period. The increase as a percentage of net revenues was primarily due to sourcing efficiencies (reduced overhead costs resulting from the closing of the Company's domestic manufacturing combined with lower product sourcing costs), operational efficiencies, and increased sales penetration of higher-margin made-for-outlet products. In addition, gross profit in the first quarter of the comparable prior-year period was impacted by restructuring charges of $3.4 million, or 3.4% as a percentage of net revenues, related to the closure of our manufacturing facility in the first quarter of fiscal 2016, as discussed in more detail in Note 10 to the Notes to the Consolidated Financial Statements herein.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the thirteen weeks ended April 30, 2016, SG&amp;A expenses decreased $1.2 million, or 2.1%, to $56.4 million, from $57.6 million in the comparable prior-year period. As a percentage of net revenues, SG&amp;A expenses decreased to 53.6% for the thirteen weeks ended April 30, 2016, from 57.0% in the comparable prior-year period. The decrease in SG&amp;A expenses for the thirteen weeks ended April 30, 2016 was primarily due to $1.3 million in employee severance expense and $1.2 million in expense related to a retail store early termination agreement that occurred in the first quarter of the prior year and a current year reduction in advertising spending due to the timing of spending in the fiscal 2017 period, partially offset by incremental new store expenses in the current year (we opened 11 full-line and 7 factory outlet stores during the past 12 months). SG&amp;A expenses as a percentage of net revenues decreased primarily due to the aforementioned items, partially offset by fixed expenses being spread over lower comparable sales and deleveraging of store operating expenses as a result of lower comparable store sales.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thirteen weeks ended April 30, 2016, other income decreased $0.3 million, or 39.1%, to $0.6 million, from $0.9 million in the comparable prior-year period, primarily due to a decrease in reimbursement of co-op mailer expense from Indirect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For the thirteen weeks ended April 30, 2016, operating income (loss) increased $8.9 million, or 178.0%, to $3.9 million in the current year, from $(5.0) million in the comparable prior-year period. As a percentage of net revenues, operating income (loss) was 3.7% and (4.9)% for the thirteen weeks ended April 30, 2016 and May 2, 2015, respectively. Operating income (loss) for the comparable prior-year period was negatively impacted by the $5.9 million in restructuring and other charges described above under “Gross Profit” and “Selling, General, and Administrative Expenses.” The remaining increase in operating income was due to an increase in gross profit, partially offset by an increase in selling, general, and administrative expenses (after accounting for $2.5 million in other charges), and a decrease in other income, as described above.</w:t>
      </w:r>
    </w:p>
    <w:p>
      <w:pPr>
        <w:spacing w:after="0" w:line="12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thirteen weeks ended April 30, 2016, operating income in the Direct segment increased $4.1 million, or 51.2%, to $12.1 million from $8.0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comparable prior-year period. As a percentage of Direct segment net revenues, operating income in the Direct segment was 16.6% and 11.4% for the thirteen weeks ended April 30, 2016 and May 2, 2015, respectively. The increase in operating income as a percentage of Direct segment net revenues was primarily due to $3.5 million, or 4.9% as a percentage of Direct segment net revenues, in restructuring and other charges related to the closure of our manufacturing facility and a retail store early termination agreement in the comparable prior-year period and an increase in gross profit as a percentage of net revenues, partially offset by investments in new stores and deleveraging of store operating expenses as a result of lower comparable store sales.</w:t>
      </w:r>
    </w:p>
    <w:p>
      <w:pPr>
        <w:spacing w:after="0" w:line="11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April 30, 2016, operating income in the Indirect segment increased $2.7 million, or 27.2%, to $12.6 million from $9.9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comparable prior-year period. As a percentage of Indirect segment net revenues, operating income in the Indirect segment was 39.1% and</w:t>
      </w:r>
    </w:p>
    <w:p>
      <w:pPr>
        <w:ind w:right="80"/>
        <w:spacing w:after="0" w:line="302" w:lineRule="auto"/>
        <w:rPr>
          <w:sz w:val="20"/>
          <w:szCs w:val="20"/>
          <w:color w:val="auto"/>
        </w:rPr>
      </w:pPr>
      <w:r>
        <w:rPr>
          <w:rFonts w:ascii="Arial" w:cs="Arial" w:eastAsia="Arial" w:hAnsi="Arial"/>
          <w:sz w:val="16"/>
          <w:szCs w:val="16"/>
          <w:color w:val="auto"/>
        </w:rPr>
        <w:t>32.3% for the thirteen weeks ended April 30, 2016 and May 2, 2015, respectively. The increase in operating income as a percentage of Indirect segment net revenues was primarily due to an increase in gross profit as a percentage of net revenues, as described above, as well as $1.1 million, or 3.7% as a percentage of Indirect segment net revenues, in restructuring charges related to the closure of our manufacturing facility in the comparable prior-year period.</w:t>
      </w:r>
    </w:p>
    <w:p>
      <w:pPr>
        <w:spacing w:after="0" w:line="10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April 30, 2016, unallocated expenses decreased $2.0 million, or 8.8%, to $20.9 million from $22.9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The decrease in unallocated expenses was primarily a result of $1.3 million in employee severance expense in the comparable prior-year period but not the fiscal 2017 period, as well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as a reduction in advertising expenses due to the timing of advertising spending in the fiscal 2017 period as compared to the comparable prior-year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90"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The effective tax rate for the thirteen weeks ended April 30, 2016, was 36.5%, compared to 18.1% for the thirteen weeks ended May 2, 2015. The year-over year increase is primarily due to an increase in income before income taxes in the current year, partially offset by the relative impact of permanent items, as well as an income tax reserve for uncertain tax positions in the prior year and a discrete item related to an excess tax benefit from share-based payments as a result of the early adoption of ASU 2016-09, as further described in Note 1 to the Notes to the Consolidated Financial Statements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thirteen weeks ended April 30, 2016, net income (loss) increased $6.5 million, or 158.5%, to $2.4 million from $(4.1) million in the comparable prior-year period. The comparable prior-year period included restructuring and other charges of $6.5 million ($4.2 million after the associated tax benefit), as described in Note 10 to the Notes to the Consolidated Financial Statements herein.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primary source of liquidity is cash on hand and cash flow from operations. We also have access to additional liquidity, if needed, through borrowings under our $125.0 million second amended and restated credit agreement. There were no borrowings under this agreement at April 30, 2016. Historically, our primary cash needs have been for merchandise inventories; payroll; store rent; capital expenditures associated with operational equipment, buildings, information technology, and opening new stores; share repurchases; and debt repayments. The most significant components of our working capital are cash and cash equivalents, short-term investments, merchandise inventories, accounts receivable, accounts payable, and other current liabilities.</w:t>
      </w:r>
    </w:p>
    <w:p>
      <w:pPr>
        <w:spacing w:after="0" w:line="10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that cash flows from operating activities and the availability of borrowings under our second amended and restated credit agreement or other financing arrangements will be sufficient to meet working capital requirements, anticipated capital expenditures, share repurchases, and debt payments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Short-term investments consist of a certificate of deposit with an original maturity of one year and a one-time option to accelerate maturity to 31 days without penalty. Interest income from the investment is included in interest expense, net, in our Consolidated Financial Statements. Our objective with respect to this investment is to earn a higher rate of return on funds that are otherwise not anticipated to be required to meet liquidity needs in the near term while maintaining a low level of investment risk with the intent and ability to hold this investment to maturity.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8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30,</w:t>
            </w:r>
          </w:p>
        </w:tc>
        <w:tc>
          <w:tcPr>
            <w:tcW w:w="320" w:type="dxa"/>
            <w:vAlign w:val="bottom"/>
          </w:tcPr>
          <w:p>
            <w:pPr>
              <w:spacing w:after="0"/>
              <w:rPr>
                <w:sz w:val="13"/>
                <w:szCs w:val="13"/>
                <w:color w:val="auto"/>
              </w:rPr>
            </w:pPr>
          </w:p>
        </w:tc>
        <w:tc>
          <w:tcPr>
            <w:tcW w:w="116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May 2,</w:t>
            </w:r>
          </w:p>
        </w:tc>
      </w:t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(7,423)</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9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Net cash used in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cash used in operating activities for the thirteen weeks ended April 30, 2016, was $4.0 million, compared to net cash used in operating activities of $0.8 million for the thirteen weeks ended May 2, 2015. The increase in cash used in operating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activities was primarily due to an increase in tax payments of $9.5 million as a result of the net loss in the prior comparable-year period, partially offset by an increase of net income of $6.5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Investing activities consist primarily of short-term investments and capital expenditures for growth related to new store openings, buildings, operational equipment, and information technology investments.</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cash used in investing activities was $35.6 million and $7.5 million for the thirteen weeks ended April 30, 2016 and May 2, 2015, respectively. The increase in investing activities was due to a $30.0 million short-term investment in a certificate of deposit made in the first quarter of fiscal 2017, partially offset by a decrease in property, plant, and equipment spending primarily due to two new stores opened in the first quarter of fiscal 2017 as compared to ten stores in the comparable-prior year period, as well as spending for the campus consolidation in the prior year which did not recur in the current year, partially offset by an increase in information technology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2017 are expected to be approximately $20.0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Net cash used in financing activities was $6.3 million and $7.4 million for the thirteen weeks ended April 30, 2016 and May 2, 2015, respectively. The decrease in financing activities was primarily due to a lower amount of purchases of shares of the Company's common stock as compared to the prior year.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Credit Agreement</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our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 As of April 30, 2016, the Company had borrowing availability of $125.0 million under the agreement.</w:t>
      </w:r>
    </w:p>
    <w:p>
      <w:pPr>
        <w:spacing w:after="0" w:line="13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1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 The Company was in compliance with these covenants as of April 30, 2016.</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30, 2016.</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30, 2016. As of April 30, 2016, there was no significant change to any of the critical accounting policies and estimates described in the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Description of the Company and Basis of Presentation</w:t>
      </w:r>
      <w:r>
        <w:rPr>
          <w:rFonts w:ascii="Arial" w:cs="Arial" w:eastAsia="Arial" w:hAnsi="Arial"/>
          <w:sz w:val="18"/>
          <w:szCs w:val="18"/>
          <w:color w:val="auto"/>
        </w:rPr>
        <w:t xml:space="preserve">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April 30, 2016, there was no material change in the market risks described in “Quantitative and Qualitative Disclosures About Market Risks” in the Company’s Annual Report on Form 10-K for the fiscal year ended January 30, 2016.</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April 30, 2016.</w:t>
      </w:r>
    </w:p>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240" w:top="121" w:right="5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January 30, 2016.</w:t>
      </w:r>
    </w:p>
    <w:p>
      <w:pPr>
        <w:spacing w:after="0" w:line="200" w:lineRule="exact"/>
        <w:rPr>
          <w:sz w:val="20"/>
          <w:szCs w:val="20"/>
          <w:color w:val="auto"/>
        </w:rPr>
      </w:pP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On December 8, 2015, the Company’s board of directors approved a share repurchase program (the “2015 Share Repurchase Program”) authorizing up to</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$50.0 million of repurchases of shares of the Company's common stock. The 2015 Share Repurchase Program expires in December 2017. During the thirteen weeks ended April 30, 2016, the Company repurchased 354,052 shares of the Company's common stock at an average price of $16.05 per share, excluding commissions.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shares repurchased under the program during the thirteen weeks ended April 30, 2016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Average Price Paid per Share</w:t>
            </w:r>
          </w:p>
        </w:tc>
        <w:tc>
          <w:tcPr>
            <w:tcW w:w="100" w:type="dxa"/>
            <w:vAlign w:val="bottom"/>
            <w:vMerge w:val="restart"/>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Purchased</w:t>
            </w:r>
          </w:p>
        </w:tc>
        <w:tc>
          <w:tcPr>
            <w:tcW w:w="14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the Plans or Program</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31, 2016 - February 27, 2016</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186,492</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186,492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43,101,545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February 28, 2016 - April 2, 2016</w:t>
            </w:r>
          </w:p>
        </w:tc>
        <w:tc>
          <w:tcPr>
            <w:tcW w:w="1940" w:type="dxa"/>
            <w:vAlign w:val="bottom"/>
          </w:tcPr>
          <w:p>
            <w:pPr>
              <w:jc w:val="right"/>
              <w:ind w:right="36"/>
              <w:spacing w:after="0"/>
              <w:rPr>
                <w:sz w:val="20"/>
                <w:szCs w:val="20"/>
                <w:color w:val="auto"/>
              </w:rPr>
            </w:pPr>
            <w:r>
              <w:rPr>
                <w:rFonts w:ascii="Arial" w:cs="Arial" w:eastAsia="Arial" w:hAnsi="Arial"/>
                <w:sz w:val="18"/>
                <w:szCs w:val="18"/>
                <w:color w:val="auto"/>
              </w:rPr>
              <w:t>12,760</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12,760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42,883,582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3, 2016 - April 30, 2016</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154,800</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154,800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40,168,648</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354,052</w:t>
            </w:r>
          </w:p>
        </w:tc>
        <w:tc>
          <w:tcPr>
            <w:tcW w:w="140" w:type="dxa"/>
            <w:vAlign w:val="bottom"/>
          </w:tcPr>
          <w:p>
            <w:pPr>
              <w:spacing w:after="0"/>
              <w:rPr>
                <w:sz w:val="20"/>
                <w:szCs w:val="20"/>
                <w:color w:val="auto"/>
              </w:rPr>
            </w:pPr>
          </w:p>
        </w:tc>
        <w:tc>
          <w:tcPr>
            <w:tcW w:w="760" w:type="dxa"/>
            <w:vAlign w:val="bottom"/>
            <w:tcBorders>
              <w:top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354,052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9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880" w:type="dxa"/>
            <w:vAlign w:val="bottom"/>
            <w:vMerge w:val="continue"/>
          </w:tcPr>
          <w:p>
            <w:pPr>
              <w:spacing w:after="0"/>
              <w:rPr>
                <w:sz w:val="16"/>
                <w:szCs w:val="16"/>
                <w:color w:val="auto"/>
              </w:rPr>
            </w:pPr>
          </w:p>
        </w:tc>
        <w:tc>
          <w:tcPr>
            <w:tcW w:w="9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6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9"/>
              </w:rPr>
              <w:t>Fiscal 2017</w:t>
            </w:r>
          </w:p>
        </w:tc>
        <w:tc>
          <w:tcPr>
            <w:tcW w:w="9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Restricted Stock Unit/Performance Unit Terms and Conditions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89"/>
              </w:rPr>
              <w:t>Fiscal 2017</w:t>
            </w:r>
          </w:p>
        </w:tc>
        <w:tc>
          <w:tcPr>
            <w:tcW w:w="9280" w:type="dxa"/>
            <w:vAlign w:val="bottom"/>
          </w:tcPr>
          <w:p>
            <w:pPr>
              <w:ind w:left="40"/>
              <w:spacing w:after="0"/>
              <w:rPr>
                <w:sz w:val="20"/>
                <w:szCs w:val="20"/>
                <w:color w:val="auto"/>
              </w:rPr>
            </w:pPr>
            <w:r>
              <w:rPr>
                <w:rFonts w:ascii="Arial" w:cs="Arial" w:eastAsia="Arial" w:hAnsi="Arial"/>
                <w:sz w:val="18"/>
                <w:szCs w:val="18"/>
                <w:color w:val="auto"/>
              </w:rPr>
              <w:t>Annual Incentive Compensation Plan (Executives)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Form of Performance-Based Award Agreement under the 2010 Equity and Incentive Plan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80" w:hanging="1265"/>
        <w:spacing w:after="0" w:line="288"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materials from Vera Bradley, Inc.’s Quarterly Report on Form 10-Q for the quarter ended April 30, 2016 formatted in Extensible Business Reporting Language (XBRL): (i) Consolidated Statements of Income for the Thirteen Weeks ended April 30, 2016 and May 2, 2015; (ii) Consolidated Statements of Comprehensive Income for the Thirteen Weeks ended April 30, 2016 and May 2, 2015;</w:t>
      </w:r>
    </w:p>
    <w:p>
      <w:pPr>
        <w:ind w:left="1300" w:right="200"/>
        <w:spacing w:after="0" w:line="261" w:lineRule="auto"/>
        <w:rPr>
          <w:rFonts w:ascii="Arial" w:cs="Arial" w:eastAsia="Arial" w:hAnsi="Arial"/>
          <w:sz w:val="16"/>
          <w:szCs w:val="16"/>
          <w:color w:val="auto"/>
        </w:rPr>
      </w:pPr>
      <w:r>
        <w:rPr>
          <w:rFonts w:ascii="Arial" w:cs="Arial" w:eastAsia="Arial" w:hAnsi="Arial"/>
          <w:sz w:val="18"/>
          <w:szCs w:val="18"/>
          <w:color w:val="auto"/>
        </w:rPr>
        <w:t>(iii) Consolidated Balance Sheets as of April 30, 2016 and January 30, 2016; (iv) Consolidated Statements of Cash Flows for the Thirteen Weeks ended April 30, 2016 and May 2, 2015, and (v) Notes to Consolidated Financial Statements. **</w:t>
      </w:r>
    </w:p>
    <w:p>
      <w:pPr>
        <w:spacing w:after="0" w:line="143" w:lineRule="exact"/>
        <w:rPr>
          <w:sz w:val="20"/>
          <w:szCs w:val="20"/>
          <w:color w:val="auto"/>
        </w:rPr>
      </w:pPr>
    </w:p>
    <w:p>
      <w:pPr>
        <w:ind w:left="740" w:hanging="705"/>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 Bradley,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8, 2016</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 Chief Financial Officer</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121"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80" w:type="dxa"/>
            <w:vAlign w:val="bottom"/>
          </w:tcPr>
          <w:p>
            <w:pPr>
              <w:ind w:left="28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880" w:type="dxa"/>
            <w:vAlign w:val="bottom"/>
            <w:vMerge w:val="continue"/>
          </w:tcPr>
          <w:p>
            <w:pPr>
              <w:spacing w:after="0"/>
              <w:rPr>
                <w:sz w:val="16"/>
                <w:szCs w:val="16"/>
                <w:color w:val="auto"/>
              </w:rPr>
            </w:pPr>
          </w:p>
        </w:tc>
        <w:tc>
          <w:tcPr>
            <w:tcW w:w="9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6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9"/>
              </w:rPr>
              <w:t>Fiscal 2017</w:t>
            </w:r>
          </w:p>
        </w:tc>
        <w:tc>
          <w:tcPr>
            <w:tcW w:w="9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Restricted Stock Unit/Performance Unit Terms and Conditions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89"/>
              </w:rPr>
              <w:t>Fiscal 2017</w:t>
            </w:r>
          </w:p>
        </w:tc>
        <w:tc>
          <w:tcPr>
            <w:tcW w:w="9280" w:type="dxa"/>
            <w:vAlign w:val="bottom"/>
          </w:tcPr>
          <w:p>
            <w:pPr>
              <w:ind w:left="40"/>
              <w:spacing w:after="0"/>
              <w:rPr>
                <w:sz w:val="20"/>
                <w:szCs w:val="20"/>
                <w:color w:val="auto"/>
              </w:rPr>
            </w:pPr>
            <w:r>
              <w:rPr>
                <w:rFonts w:ascii="Arial" w:cs="Arial" w:eastAsia="Arial" w:hAnsi="Arial"/>
                <w:sz w:val="18"/>
                <w:szCs w:val="18"/>
                <w:color w:val="auto"/>
              </w:rPr>
              <w:t>Annual Incentive Compensation Plan (Executives)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Form of Performance-Based Award Agreement under the 2010 Equity and Incentive Plan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00" w:right="80" w:hanging="1265"/>
        <w:spacing w:after="0" w:line="288"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materials from Vera Bradley, Inc.’s Quarterly Report on Form 10-Q for the quarter ended April 30, 2016 formatted in Extensible Business Reporting Language (XBRL): (i) Consolidated Statements of Income for the Thirteen Weeks ended April 30, 2016 and May 2, 2015; (ii) Consolidated Statements of Comprehensive Income for the Thirteen Weeks ended April 30, 2016 and May 2, 2015;</w:t>
      </w:r>
    </w:p>
    <w:p>
      <w:pPr>
        <w:ind w:left="1300" w:right="200"/>
        <w:spacing w:after="0" w:line="261" w:lineRule="auto"/>
        <w:rPr>
          <w:rFonts w:ascii="Arial" w:cs="Arial" w:eastAsia="Arial" w:hAnsi="Arial"/>
          <w:sz w:val="16"/>
          <w:szCs w:val="16"/>
          <w:color w:val="auto"/>
        </w:rPr>
      </w:pPr>
      <w:r>
        <w:rPr>
          <w:rFonts w:ascii="Arial" w:cs="Arial" w:eastAsia="Arial" w:hAnsi="Arial"/>
          <w:sz w:val="18"/>
          <w:szCs w:val="18"/>
          <w:color w:val="auto"/>
        </w:rPr>
        <w:t>(iii) Consolidated Balance Sheets as of April 30, 2016 and January 30, 2016; (iv) Consolidated Statements of Cash Flows for the Thirteen Weeks ended April 30, 2016 and May 2, 2015, and (v) Notes to Consolidated Financial Statements. **</w:t>
      </w:r>
    </w:p>
    <w:p>
      <w:pPr>
        <w:spacing w:after="0" w:line="143" w:lineRule="exact"/>
        <w:rPr>
          <w:sz w:val="20"/>
          <w:szCs w:val="20"/>
          <w:color w:val="auto"/>
        </w:rPr>
      </w:pPr>
    </w:p>
    <w:p>
      <w:pPr>
        <w:ind w:left="740" w:hanging="705"/>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Equity and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FISCAL 2017 LONG TERM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UNIT/PERFORMANCE UNIT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56" w:lineRule="exact"/>
        <w:rPr>
          <w:sz w:val="20"/>
          <w:szCs w:val="20"/>
          <w:color w:val="auto"/>
        </w:rPr>
      </w:pPr>
    </w:p>
    <w:p>
      <w:pPr>
        <w:ind w:firstLine="656"/>
        <w:spacing w:after="0" w:line="324" w:lineRule="auto"/>
        <w:tabs>
          <w:tab w:leader="none" w:pos="143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term capitalized herein but not defined will have the meaning set forth in the Vera Bradley, Inc. 2010 Equity and Incentive Plan (the "Plan").</w:t>
      </w:r>
    </w:p>
    <w:p>
      <w:pPr>
        <w:spacing w:after="0" w:line="170" w:lineRule="exact"/>
        <w:rPr>
          <w:rFonts w:ascii="Arial" w:cs="Arial" w:eastAsia="Arial" w:hAnsi="Arial"/>
          <w:sz w:val="18"/>
          <w:szCs w:val="18"/>
          <w:color w:val="auto"/>
        </w:rPr>
      </w:pPr>
    </w:p>
    <w:p>
      <w:pPr>
        <w:ind w:left="1440" w:hanging="784"/>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306" w:lineRule="auto"/>
        <w:tabs>
          <w:tab w:leader="none" w:pos="14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the grant date specified in the Award Agreement (the "Grant Date"), the Participant will be credited with the number of Restricted Stock Units set forth in the Award Agreement.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186" w:lineRule="exact"/>
        <w:rPr>
          <w:rFonts w:ascii="Arial" w:cs="Arial" w:eastAsia="Arial" w:hAnsi="Arial"/>
          <w:sz w:val="18"/>
          <w:szCs w:val="18"/>
          <w:color w:val="auto"/>
        </w:rPr>
      </w:pPr>
    </w:p>
    <w:p>
      <w:pPr>
        <w:jc w:val="both"/>
        <w:ind w:firstLine="656"/>
        <w:spacing w:after="0" w:line="311" w:lineRule="auto"/>
        <w:tabs>
          <w:tab w:leader="none" w:pos="15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Stock Units will vest on each of the first three anniversaries of the Grant Date. If the Participant's Service with the Company and all of its Affiliates terminates before the date that a grant of Restricted Stock Units vests, his or her right to receive the Shares underlying such unvested Restricted Stock Units will be only as provided in Section 5.</w:t>
      </w:r>
    </w:p>
    <w:p>
      <w:pPr>
        <w:spacing w:after="0" w:line="181" w:lineRule="exact"/>
        <w:rPr>
          <w:sz w:val="20"/>
          <w:szCs w:val="20"/>
          <w:color w:val="auto"/>
        </w:rPr>
      </w:pPr>
    </w:p>
    <w:p>
      <w:pPr>
        <w:ind w:left="1440" w:hanging="784"/>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Grant and Vesting of Performance Units ("Performance RSUs")</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336" w:lineRule="auto"/>
        <w:tabs>
          <w:tab w:leader="none" w:pos="149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of the Grant Date, the Participant will be credited with the number of Performance RSUs set forth in the Award Agreement. Each Performance RSU is a notional amount that represents one unvested share of Common Stock. Each Performance RSU constitutes the right, subject to the terms and conditions of the Plan and this document, to the distribution of a Share if and when the Performance RSU is deemed earned and vested.</w:t>
      </w:r>
    </w:p>
    <w:p>
      <w:pPr>
        <w:spacing w:after="0" w:line="164" w:lineRule="exact"/>
        <w:rPr>
          <w:rFonts w:ascii="Arial" w:cs="Arial" w:eastAsia="Arial" w:hAnsi="Arial"/>
          <w:sz w:val="17"/>
          <w:szCs w:val="17"/>
          <w:color w:val="auto"/>
        </w:rPr>
      </w:pPr>
    </w:p>
    <w:p>
      <w:pPr>
        <w:jc w:val="both"/>
        <w:ind w:firstLine="656"/>
        <w:spacing w:after="0" w:line="302" w:lineRule="auto"/>
        <w:tabs>
          <w:tab w:leader="none" w:pos="1506"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RSUs granted under the Plan are intended to qualify as performance-based compensation under section 162(m) of the Internal Revenue Code of 1986, as amended ("Code"). Performance RSUs (or tranches of such Performance RSUs) will become earned only if the Company achieves a stated level of "Earnings Per Share" (as defined below) during the applicable Performance Year within the Performance Period as set forth in the Award Agreement. Except as provided in Section 5, any earned Performance RSUs (and the Participant's right to receive the Shares underlying such Performance RSUs) will become vested only if the Participant remains continuously employed with the Company during the Performance Period. The following additional provisions apply to grants of Performance RSUs:</w:t>
      </w:r>
    </w:p>
    <w:p>
      <w:pPr>
        <w:spacing w:after="0" w:line="192" w:lineRule="exact"/>
        <w:rPr>
          <w:rFonts w:ascii="Arial" w:cs="Arial" w:eastAsia="Arial" w:hAnsi="Arial"/>
          <w:sz w:val="18"/>
          <w:szCs w:val="18"/>
          <w:color w:val="auto"/>
        </w:rPr>
      </w:pPr>
    </w:p>
    <w:p>
      <w:pPr>
        <w:jc w:val="both"/>
        <w:ind w:left="660" w:firstLine="645"/>
        <w:spacing w:after="0" w:line="306" w:lineRule="auto"/>
        <w:tabs>
          <w:tab w:leader="none" w:pos="2126"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Certification of Results. </w:t>
      </w:r>
      <w:r>
        <w:rPr>
          <w:rFonts w:ascii="Arial" w:cs="Arial" w:eastAsia="Arial" w:hAnsi="Arial"/>
          <w:sz w:val="18"/>
          <w:szCs w:val="18"/>
          <w:color w:val="auto"/>
        </w:rPr>
        <w:t>Before any award of Performance RSUs is deemed earned with respect to a Performance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certify, in accordance with Section 9.5 of the Plan, in writing (i) that the performance goals described in the Award Agreement has been achieved for the Performance Period, and (ii) the calculation of "Earnings Per Share" (as defined below) for each Performance Year within the Performance Period.</w:t>
      </w:r>
    </w:p>
    <w:p>
      <w:pPr>
        <w:spacing w:after="0" w:line="186" w:lineRule="exact"/>
        <w:rPr>
          <w:rFonts w:ascii="Arial" w:cs="Arial" w:eastAsia="Arial" w:hAnsi="Arial"/>
          <w:sz w:val="18"/>
          <w:szCs w:val="18"/>
          <w:color w:val="auto"/>
        </w:rPr>
      </w:pPr>
    </w:p>
    <w:p>
      <w:pPr>
        <w:jc w:val="both"/>
        <w:ind w:left="660" w:firstLine="645"/>
        <w:spacing w:after="0" w:line="302" w:lineRule="auto"/>
        <w:tabs>
          <w:tab w:leader="none" w:pos="2176"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"Earnings Per Share." </w:t>
      </w:r>
      <w:r>
        <w:rPr>
          <w:rFonts w:ascii="Arial" w:cs="Arial" w:eastAsia="Arial" w:hAnsi="Arial"/>
          <w:sz w:val="18"/>
          <w:szCs w:val="18"/>
          <w:color w:val="auto"/>
        </w:rPr>
        <w:t>For purposes of this Subsection 3(b), the term "Earnings Per Share" means,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Awards of Performance RSUs, the Company's consolidated earnings per share,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(other than store impairment), or other special charges, and (iv) cumulative effect of changes to U.S. GAAP accounting.</w:t>
      </w:r>
    </w:p>
    <w:p>
      <w:pPr>
        <w:spacing w:after="0" w:line="189" w:lineRule="exact"/>
        <w:rPr>
          <w:rFonts w:ascii="Arial" w:cs="Arial" w:eastAsia="Arial" w:hAnsi="Arial"/>
          <w:sz w:val="18"/>
          <w:szCs w:val="18"/>
          <w:color w:val="auto"/>
        </w:rPr>
      </w:pPr>
    </w:p>
    <w:p>
      <w:pPr>
        <w:ind w:left="660" w:firstLine="645"/>
        <w:spacing w:after="0" w:line="324" w:lineRule="auto"/>
        <w:tabs>
          <w:tab w:leader="none" w:pos="2226"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"Performance Year." </w:t>
      </w:r>
      <w:r>
        <w:rPr>
          <w:rFonts w:ascii="Arial" w:cs="Arial" w:eastAsia="Arial" w:hAnsi="Arial"/>
          <w:sz w:val="18"/>
          <w:szCs w:val="18"/>
          <w:color w:val="auto"/>
        </w:rPr>
        <w:t>For purposes of this Subsection 3(b), the term "Performance Year" means,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Awards of Performance RSUs, each fiscal year of the Company ending within the Performance Period.</w:t>
      </w:r>
    </w:p>
    <w:p>
      <w:pPr>
        <w:spacing w:after="0" w:line="170" w:lineRule="exact"/>
        <w:rPr>
          <w:rFonts w:ascii="Arial" w:cs="Arial" w:eastAsia="Arial" w:hAnsi="Arial"/>
          <w:sz w:val="18"/>
          <w:szCs w:val="18"/>
          <w:color w:val="auto"/>
        </w:rPr>
      </w:pPr>
    </w:p>
    <w:p>
      <w:pPr>
        <w:jc w:val="both"/>
        <w:ind w:left="660" w:firstLine="645"/>
        <w:spacing w:after="0" w:line="311" w:lineRule="auto"/>
        <w:tabs>
          <w:tab w:leader="none" w:pos="2216"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Finality of Committee Determinations. </w:t>
      </w:r>
      <w:r>
        <w:rPr>
          <w:rFonts w:ascii="Arial" w:cs="Arial" w:eastAsia="Arial" w:hAnsi="Arial"/>
          <w:sz w:val="18"/>
          <w:szCs w:val="18"/>
          <w:color w:val="auto"/>
        </w:rPr>
        <w:t>Any determination by the Committee of Earnings per Share and the level and</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 to the Award of Performance RSUs, and any interpretation, rule, or decision adopted by the Committee under the Plan or in carrying out or administering the Plan, is final and binding for all purposes and upon all</w:t>
      </w:r>
    </w:p>
    <w:p>
      <w:pPr>
        <w:sectPr>
          <w:pgSz w:w="11900" w:h="16838" w:orient="portrait"/>
          <w:cols w:equalWidth="0" w:num="1">
            <w:col w:w="11420"/>
          </w:cols>
          <w:pgMar w:left="240" w:top="580" w:right="239" w:bottom="1440" w:gutter="0" w:footer="0" w:header="0"/>
        </w:sectPr>
      </w:pPr>
    </w:p>
    <w:bookmarkStart w:id="30" w:name="page31"/>
    <w:bookmarkEnd w:id="30"/>
    <w:p>
      <w:pPr>
        <w:jc w:val="both"/>
        <w:ind w:left="660"/>
        <w:spacing w:after="0" w:line="354" w:lineRule="auto"/>
        <w:rPr>
          <w:sz w:val="20"/>
          <w:szCs w:val="20"/>
          <w:color w:val="auto"/>
        </w:rPr>
      </w:pPr>
      <w:r>
        <w:rPr>
          <w:rFonts w:ascii="Arial" w:cs="Arial" w:eastAsia="Arial" w:hAnsi="Arial"/>
          <w:sz w:val="16"/>
          <w:szCs w:val="16"/>
          <w:color w:val="auto"/>
        </w:rPr>
        <w:t>interested persons, their heirs, and personal representatives. The Committee may rely conclusively on determinations made by the Company and its auditors to determine Earnings per Share and related information for purposes of administration of the Plan, whether such information is determined by the Company, its auditors, or a third-party vendor engaged to provide such information to the Company. This Subsection is not intended to limit the Committee's power, to the extent it deems proper in its sole discretion, to take any action permitted under the Plan and Code Section 162(m).</w:t>
      </w:r>
    </w:p>
    <w:p>
      <w:pPr>
        <w:spacing w:after="0" w:line="157" w:lineRule="exact"/>
        <w:rPr>
          <w:sz w:val="20"/>
          <w:szCs w:val="20"/>
          <w:color w:val="auto"/>
        </w:rPr>
      </w:pPr>
    </w:p>
    <w:p>
      <w:pPr>
        <w:ind w:left="1440" w:hanging="784"/>
        <w:spacing w:after="0"/>
        <w:tabs>
          <w:tab w:leader="none" w:pos="14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311" w:lineRule="auto"/>
        <w:tabs>
          <w:tab w:leader="none" w:pos="14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and until a Restricted Stock Unit or an earned Performance RSU, as applicable, has vested and the Share underlying it has been distributed to the Participant, the Participant will not be entitled to vote in respect of that Restricted Stock Unit or Performance RSU (as applicable) or that Share.</w:t>
      </w:r>
    </w:p>
    <w:p>
      <w:pPr>
        <w:spacing w:after="0" w:line="181" w:lineRule="exact"/>
        <w:rPr>
          <w:rFonts w:ascii="Arial" w:cs="Arial" w:eastAsia="Arial" w:hAnsi="Arial"/>
          <w:sz w:val="18"/>
          <w:szCs w:val="18"/>
          <w:color w:val="auto"/>
        </w:rPr>
      </w:pPr>
    </w:p>
    <w:p>
      <w:pPr>
        <w:jc w:val="both"/>
        <w:ind w:firstLine="656"/>
        <w:spacing w:after="0" w:line="341" w:lineRule="auto"/>
        <w:tabs>
          <w:tab w:leader="none" w:pos="1506"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or Performance RSUs (as applicable)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Performance RSUs, as applicable, awarded under the applicable Award Agreement, and will be paid in cash in a single sum at the time that the Shares associated with the Participant's Restricted Stock Units or Performance RSUs, as applicable, are delivered (or forfeited at the time that the Participant's Restricted Stock Units or Performance RSUs, as applicable, are forfeited).</w:t>
      </w:r>
    </w:p>
    <w:p>
      <w:pPr>
        <w:spacing w:after="0" w:line="168" w:lineRule="exact"/>
        <w:rPr>
          <w:sz w:val="20"/>
          <w:szCs w:val="20"/>
          <w:color w:val="auto"/>
        </w:rPr>
      </w:pPr>
    </w:p>
    <w:p>
      <w:pPr>
        <w:jc w:val="both"/>
        <w:ind w:firstLine="656"/>
        <w:spacing w:after="0" w:line="304" w:lineRule="auto"/>
        <w:tabs>
          <w:tab w:leader="none" w:pos="143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Termination of Service; Change in Control</w:t>
      </w:r>
      <w:r>
        <w:rPr>
          <w:rFonts w:ascii="Arial" w:cs="Arial" w:eastAsia="Arial" w:hAnsi="Arial"/>
          <w:sz w:val="18"/>
          <w:szCs w:val="18"/>
          <w:color w:val="auto"/>
        </w:rPr>
        <w:t>. If a Participant's Service is terminated for any reason during the applicable Restricted Period or Performance Period, the terms and conditions of the underlying Award Agreement will govern when and whether the Participant will forfeit the right to receive Shares underlying any Restricted Stock Units or Performance RSUs, as applicable, that have not yet vested. To the extent provided in the underlying Award Agreement, all or a portion of the previously unvested Restricted Stock Units or Performance RSUs, as applicable, then outstanding will vest immediately prior to or upon the consummation of a Change in Control.</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Jill Nichols,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15" w:lineRule="exact"/>
        <w:rPr>
          <w:sz w:val="20"/>
          <w:szCs w:val="20"/>
          <w:color w:val="auto"/>
        </w:rPr>
      </w:pPr>
    </w:p>
    <w:p>
      <w:pPr>
        <w:jc w:val="both"/>
        <w:ind w:firstLine="656"/>
        <w:spacing w:after="0" w:line="334" w:lineRule="auto"/>
        <w:tabs>
          <w:tab w:leader="none" w:pos="1431"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Timing and Form of Payment</w:t>
      </w:r>
      <w:r>
        <w:rPr>
          <w:rFonts w:ascii="Arial" w:cs="Arial" w:eastAsia="Arial" w:hAnsi="Arial"/>
          <w:sz w:val="16"/>
          <w:szCs w:val="16"/>
          <w:color w:val="auto"/>
        </w:rPr>
        <w:t>. Except as provided in this Section or in clauses 2(b) or 3(b) or Section 5, above, once a Restricted Stock Unit vests or a Performance RSU is earned and vested, as applicable, the Participant will be entitled to receive a Share in its place. Delivery of the Share will</w:t>
      </w:r>
    </w:p>
    <w:p>
      <w:pPr>
        <w:spacing w:after="0" w:line="1" w:lineRule="exact"/>
        <w:rPr>
          <w:rFonts w:ascii="Arial" w:cs="Arial" w:eastAsia="Arial" w:hAnsi="Arial"/>
          <w:sz w:val="16"/>
          <w:szCs w:val="16"/>
          <w:color w:val="auto"/>
        </w:rPr>
      </w:pPr>
    </w:p>
    <w:p>
      <w:pPr>
        <w:jc w:val="both"/>
        <w:spacing w:after="0" w:line="271" w:lineRule="auto"/>
        <w:rPr>
          <w:rFonts w:ascii="Arial" w:cs="Arial" w:eastAsia="Arial" w:hAnsi="Arial"/>
          <w:sz w:val="16"/>
          <w:szCs w:val="16"/>
          <w:color w:val="auto"/>
        </w:rPr>
      </w:pPr>
      <w:r>
        <w:rPr>
          <w:rFonts w:ascii="Arial" w:cs="Arial" w:eastAsia="Arial" w:hAnsi="Arial"/>
          <w:sz w:val="18"/>
          <w:szCs w:val="18"/>
          <w:color w:val="auto"/>
        </w:rPr>
        <w:t>be made, including delivery with respect to a Disabled Participant, or to the estate of a deceased Participant, after the end of the Restricted Period or Performance Period, as applicable, and not later than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third month following the end of the Restricted Period or Performance Period, as applicable. Shares will be credited to an account established for the benefit of the Participant with the Company's administrative agent. The Participant will have full legal and beneficial ownership with respect to the Shares at that time.</w:t>
      </w:r>
    </w:p>
    <w:p>
      <w:pPr>
        <w:spacing w:after="0" w:line="216" w:lineRule="exact"/>
        <w:rPr>
          <w:rFonts w:ascii="Arial" w:cs="Arial" w:eastAsia="Arial" w:hAnsi="Arial"/>
          <w:sz w:val="16"/>
          <w:szCs w:val="16"/>
          <w:color w:val="auto"/>
        </w:rPr>
      </w:pPr>
    </w:p>
    <w:p>
      <w:pPr>
        <w:ind w:right="20" w:firstLine="656"/>
        <w:spacing w:after="0" w:line="324" w:lineRule="auto"/>
        <w:tabs>
          <w:tab w:leader="none" w:pos="143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ectPr>
          <w:pgSz w:w="11900" w:h="16838" w:orient="portrait"/>
          <w:cols w:equalWidth="0" w:num="1">
            <w:col w:w="11420"/>
          </w:cols>
          <w:pgMar w:left="240" w:top="611" w:right="239" w:bottom="1440" w:gutter="0" w:footer="0" w:header="0"/>
        </w:sectPr>
      </w:pPr>
    </w:p>
    <w:bookmarkStart w:id="31" w:name="page32"/>
    <w:bookmarkEnd w:id="31"/>
    <w:p>
      <w:pPr>
        <w:jc w:val="both"/>
        <w:ind w:left="-656" w:firstLine="656"/>
        <w:spacing w:after="0" w:line="306" w:lineRule="auto"/>
        <w:tabs>
          <w:tab w:leader="none" w:pos="77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The Company shall have the power and the right to deduct or withhold an amount sufficient to satisfy federal, state, and local taxes (including FICA obligations), domestic or foreign, and other deductions required by law to be withheld with respect to the Award. Unless the Committee or its designee agrees to a different method for withholding such taxes, the number of Shares (underlying the Award) necessary to cover applicable withholdings will be withheld from the issuance of any Shares of exchange for the Award.</w:t>
      </w:r>
    </w:p>
    <w:p>
      <w:pPr>
        <w:spacing w:after="0" w:line="186" w:lineRule="exact"/>
        <w:rPr>
          <w:rFonts w:ascii="Arial" w:cs="Arial" w:eastAsia="Arial" w:hAnsi="Arial"/>
          <w:sz w:val="18"/>
          <w:szCs w:val="18"/>
          <w:color w:val="auto"/>
        </w:rPr>
      </w:pPr>
    </w:p>
    <w:p>
      <w:pPr>
        <w:ind w:left="784" w:hanging="784"/>
        <w:spacing w:after="0"/>
        <w:tabs>
          <w:tab w:leader="none" w:pos="78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Securities Law Requirements</w:t>
      </w:r>
      <w:r>
        <w:rPr>
          <w:rFonts w:ascii="Arial" w:cs="Arial" w:eastAsia="Arial" w:hAnsi="Arial"/>
          <w:sz w:val="18"/>
          <w:szCs w:val="18"/>
          <w:color w:val="auto"/>
        </w:rPr>
        <w:t>.</w:t>
      </w:r>
    </w:p>
    <w:p>
      <w:pPr>
        <w:spacing w:after="0" w:line="266" w:lineRule="exact"/>
        <w:rPr>
          <w:sz w:val="20"/>
          <w:szCs w:val="20"/>
          <w:color w:val="auto"/>
        </w:rPr>
      </w:pPr>
    </w:p>
    <w:p>
      <w:pPr>
        <w:jc w:val="both"/>
        <w:ind w:left="-656" w:firstLine="656"/>
        <w:spacing w:after="0" w:line="349" w:lineRule="auto"/>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Restricted Stock Units and Performance RSUs are subject to the further requirement that, if at any time the Committee determines in its sole discretion that the listing or qualification of the Shares subject to the Restricted Stock Units and Performance RSUs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and Performance RSUs, unless the necessary listing, qualification, consent or approval has been effected or obtained free of any conditions not acceptable to the Committee.</w:t>
      </w:r>
    </w:p>
    <w:p>
      <w:pPr>
        <w:spacing w:after="0" w:line="161" w:lineRule="exact"/>
        <w:rPr>
          <w:rFonts w:ascii="Arial" w:cs="Arial" w:eastAsia="Arial" w:hAnsi="Arial"/>
          <w:sz w:val="16"/>
          <w:szCs w:val="16"/>
          <w:color w:val="auto"/>
        </w:rPr>
      </w:pPr>
    </w:p>
    <w:p>
      <w:pPr>
        <w:jc w:val="both"/>
        <w:ind w:left="-656" w:firstLine="656"/>
        <w:spacing w:after="0" w:line="344" w:lineRule="auto"/>
        <w:tabs>
          <w:tab w:leader="none" w:pos="85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66" w:lineRule="exact"/>
        <w:rPr>
          <w:sz w:val="20"/>
          <w:szCs w:val="20"/>
          <w:color w:val="auto"/>
        </w:rPr>
      </w:pPr>
    </w:p>
    <w:p>
      <w:pPr>
        <w:jc w:val="both"/>
        <w:ind w:left="-656" w:firstLine="656"/>
        <w:spacing w:after="0" w:line="311" w:lineRule="auto"/>
        <w:tabs>
          <w:tab w:leader="none" w:pos="86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Limitation on Rights of the Company</w:t>
      </w:r>
      <w:r>
        <w:rPr>
          <w:rFonts w:ascii="Arial" w:cs="Arial" w:eastAsia="Arial" w:hAnsi="Arial"/>
          <w:sz w:val="18"/>
          <w:szCs w:val="18"/>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pacing w:after="0" w:line="181" w:lineRule="exact"/>
        <w:rPr>
          <w:rFonts w:ascii="Arial" w:cs="Arial" w:eastAsia="Arial" w:hAnsi="Arial"/>
          <w:sz w:val="18"/>
          <w:szCs w:val="18"/>
          <w:color w:val="auto"/>
        </w:rPr>
      </w:pPr>
    </w:p>
    <w:p>
      <w:pPr>
        <w:jc w:val="both"/>
        <w:ind w:left="-656" w:firstLine="656"/>
        <w:spacing w:after="0" w:line="346" w:lineRule="auto"/>
        <w:tabs>
          <w:tab w:leader="none" w:pos="859"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Plan, Restricted Stock Units, Performance RSUs and Award Not a Contract of Employment</w:t>
      </w:r>
      <w:r>
        <w:rPr>
          <w:rFonts w:ascii="Arial" w:cs="Arial" w:eastAsia="Arial" w:hAnsi="Arial"/>
          <w:sz w:val="16"/>
          <w:szCs w:val="16"/>
          <w:color w:val="auto"/>
        </w:rPr>
        <w:t>. Neither the Plan, the Restricted Stock Units, the Performance RSUs nor any other right or interest that is part of the Award granted under the Plan or this document is a contract of employment, and no terms of employment or Service of the Participant will be affected in any way by the Plan, the Restricted Stock Units, the Performance RSUs,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164" w:lineRule="exact"/>
        <w:rPr>
          <w:rFonts w:ascii="Arial" w:cs="Arial" w:eastAsia="Arial" w:hAnsi="Arial"/>
          <w:sz w:val="16"/>
          <w:szCs w:val="16"/>
          <w:color w:val="auto"/>
        </w:rPr>
      </w:pPr>
    </w:p>
    <w:p>
      <w:pPr>
        <w:jc w:val="both"/>
        <w:ind w:left="-656" w:firstLine="656"/>
        <w:spacing w:after="0" w:line="311" w:lineRule="auto"/>
        <w:tabs>
          <w:tab w:leader="none" w:pos="86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Participant to Have No Rights as a Stockholder</w:t>
      </w:r>
      <w:r>
        <w:rPr>
          <w:rFonts w:ascii="Arial" w:cs="Arial" w:eastAsia="Arial" w:hAnsi="Arial"/>
          <w:sz w:val="18"/>
          <w:szCs w:val="18"/>
          <w:color w:val="auto"/>
        </w:rPr>
        <w:t>. Except as provided in Section 4 above, the Participant will have no rights as a stockholder with respect to any Shares subject to the Restricted Stock Units or Performance RSUs, as applicable, prior to the date on which he or she is recorded as the holder of those Shares on the records of the Company.</w:t>
      </w:r>
    </w:p>
    <w:p>
      <w:pPr>
        <w:spacing w:after="0" w:line="181" w:lineRule="exact"/>
        <w:rPr>
          <w:rFonts w:ascii="Arial" w:cs="Arial" w:eastAsia="Arial" w:hAnsi="Arial"/>
          <w:sz w:val="18"/>
          <w:szCs w:val="18"/>
          <w:color w:val="auto"/>
        </w:rPr>
      </w:pPr>
    </w:p>
    <w:p>
      <w:pPr>
        <w:jc w:val="both"/>
        <w:ind w:left="-656" w:firstLine="656"/>
        <w:spacing w:after="0" w:line="329" w:lineRule="auto"/>
        <w:tabs>
          <w:tab w:leader="none" w:pos="865"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12420 Stonebridge Road, Roanoke, Indiana 46783, Attn: Corporate Secretary, and, in the case of the Participant, to the last known address of the Participant in the Company's records.</w:t>
      </w:r>
    </w:p>
    <w:p>
      <w:pPr>
        <w:spacing w:after="0" w:line="170" w:lineRule="exact"/>
        <w:rPr>
          <w:rFonts w:ascii="Arial" w:cs="Arial" w:eastAsia="Arial" w:hAnsi="Arial"/>
          <w:sz w:val="17"/>
          <w:szCs w:val="17"/>
          <w:color w:val="auto"/>
        </w:rPr>
      </w:pPr>
    </w:p>
    <w:p>
      <w:pPr>
        <w:ind w:left="-656" w:firstLine="656"/>
        <w:spacing w:after="0" w:line="324" w:lineRule="auto"/>
        <w:tabs>
          <w:tab w:leader="none" w:pos="86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pacing w:after="0" w:line="170" w:lineRule="exact"/>
        <w:rPr>
          <w:rFonts w:ascii="Arial" w:cs="Arial" w:eastAsia="Arial" w:hAnsi="Arial"/>
          <w:sz w:val="18"/>
          <w:szCs w:val="18"/>
          <w:color w:val="auto"/>
        </w:rPr>
      </w:pPr>
    </w:p>
    <w:p>
      <w:pPr>
        <w:jc w:val="both"/>
        <w:ind w:left="-656" w:firstLine="656"/>
        <w:spacing w:after="0" w:line="306" w:lineRule="auto"/>
        <w:tabs>
          <w:tab w:leader="none" w:pos="86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ectPr>
          <w:pgSz w:w="11900" w:h="16838" w:orient="portrait"/>
          <w:cols w:equalWidth="0" w:num="1">
            <w:col w:w="10764"/>
          </w:cols>
          <w:pgMar w:left="896" w:top="827" w:right="239" w:bottom="1440" w:gutter="0" w:footer="0" w:header="0"/>
        </w:sectPr>
      </w:pPr>
    </w:p>
    <w:bookmarkStart w:id="32" w:name="page33"/>
    <w:bookmarkEnd w:id="32"/>
    <w:p>
      <w:pPr>
        <w:jc w:val="both"/>
        <w:ind w:firstLine="656"/>
        <w:spacing w:after="0" w:line="311" w:lineRule="auto"/>
        <w:tabs>
          <w:tab w:leader="none" w:pos="152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Plan Document Controls</w:t>
      </w:r>
      <w:r>
        <w:rPr>
          <w:rFonts w:ascii="Arial" w:cs="Arial" w:eastAsia="Arial" w:hAnsi="Arial"/>
          <w:sz w:val="18"/>
          <w:szCs w:val="18"/>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I/2776631.7</w:t>
      </w:r>
    </w:p>
    <w:p>
      <w:pPr>
        <w:sectPr>
          <w:pgSz w:w="11900" w:h="16838" w:orient="portrait"/>
          <w:cols w:equalWidth="0" w:num="1">
            <w:col w:w="11420"/>
          </w:cols>
          <w:pgMar w:left="240" w:top="61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Executive Annual Incentive Compensation Plan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2017</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Overview</w:t>
      </w:r>
    </w:p>
    <w:p>
      <w:pPr>
        <w:spacing w:after="0" w:line="324" w:lineRule="exact"/>
        <w:rPr>
          <w:sz w:val="20"/>
          <w:szCs w:val="20"/>
          <w:color w:val="auto"/>
        </w:rPr>
      </w:pPr>
    </w:p>
    <w:p>
      <w:pPr>
        <w:jc w:val="both"/>
        <w:ind w:right="20"/>
        <w:spacing w:after="0" w:line="373" w:lineRule="auto"/>
        <w:rPr>
          <w:sz w:val="20"/>
          <w:szCs w:val="20"/>
          <w:color w:val="auto"/>
        </w:rPr>
      </w:pPr>
      <w:r>
        <w:rPr>
          <w:rFonts w:ascii="Arial" w:cs="Arial" w:eastAsia="Arial" w:hAnsi="Arial"/>
          <w:sz w:val="18"/>
          <w:szCs w:val="18"/>
          <w:color w:val="auto"/>
        </w:rPr>
        <w:t>Awards under this Senior Executive Annual Incentive Compensation Plan (the "Annual Plan") are granted under and governed by the terms and conditions of the Vera Bradley, Inc. 2010 Equity and Incentive Plan (the “2010 Plan”), as amended. Any term capitalized herein but not defined will have the meaning set forth in the 2010 Plan.</w:t>
      </w:r>
    </w:p>
    <w:p>
      <w:pPr>
        <w:spacing w:after="0" w:line="183"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This Annual Plan is designed to give each eligible Participant (as defined in the attached Administrative Guidelines) an opportunity to share in the Company's success for the fiscal year ending January 28, 2017 (the "Performance Period"). The incentive opportunity for the Performance Period is based on a percentage of each Participant's Base Salary (as defined herein) and will be earned based on three to four independent performance measures as more fully described herein (collectively, the “FY17 Performance Measures”).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Incentive Opportunity</w:t>
      </w:r>
    </w:p>
    <w:p>
      <w:pPr>
        <w:spacing w:after="0" w:line="324"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The target incentive opportunity for each Participant is determined based on a percentage of each Participant's Base Salary (as defined below) based upon the Participant’s level.</w:t>
      </w:r>
    </w:p>
    <w:p>
      <w:pPr>
        <w:spacing w:after="0" w:line="245" w:lineRule="exact"/>
        <w:rPr>
          <w:sz w:val="20"/>
          <w:szCs w:val="20"/>
          <w:color w:val="auto"/>
        </w:rPr>
      </w:pPr>
    </w:p>
    <w:tbl>
      <w:tblPr>
        <w:tblLayout w:type="fixed"/>
        <w:tblInd w:w="1610" w:type="dxa"/>
        <w:tblCellMar>
          <w:top w:w="0" w:type="dxa"/>
          <w:left w:w="0" w:type="dxa"/>
          <w:bottom w:w="0" w:type="dxa"/>
          <w:right w:w="0" w:type="dxa"/>
        </w:tblCellMar>
      </w:tblPr>
      <w:tr>
        <w:trPr>
          <w:trHeight w:val="257"/>
        </w:trPr>
        <w:tc>
          <w:tcPr>
            <w:tcW w:w="3000" w:type="dxa"/>
            <w:vAlign w:val="bottom"/>
            <w:tcBorders>
              <w:top w:val="single" w:sz="8" w:color="auto"/>
              <w:left w:val="single" w:sz="8" w:color="auto"/>
              <w:right w:val="single" w:sz="8" w:color="auto"/>
            </w:tcBorders>
          </w:tcPr>
          <w:p>
            <w:pPr>
              <w:spacing w:after="0"/>
              <w:rPr>
                <w:sz w:val="22"/>
                <w:szCs w:val="22"/>
                <w:color w:val="auto"/>
              </w:rPr>
            </w:pPr>
          </w:p>
        </w:tc>
        <w:tc>
          <w:tcPr>
            <w:tcW w:w="5260" w:type="dxa"/>
            <w:vAlign w:val="bottom"/>
            <w:tcBorders>
              <w:top w:val="single" w:sz="8" w:color="auto"/>
              <w:right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Incentive Opportunity (Percent of Base Salary)</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Participant Level</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8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Excellence</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EVP</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1800" w:type="dxa"/>
            <w:vAlign w:val="bottom"/>
            <w:tcBorders>
              <w:right w:val="single" w:sz="8" w:color="auto"/>
            </w:tcBorders>
          </w:tcPr>
          <w:p>
            <w:pPr>
              <w:jc w:val="right"/>
              <w:ind w:right="610"/>
              <w:spacing w:after="0"/>
              <w:rPr>
                <w:sz w:val="20"/>
                <w:szCs w:val="20"/>
                <w:color w:val="auto"/>
              </w:rPr>
            </w:pPr>
            <w:r>
              <w:rPr>
                <w:rFonts w:ascii="Arial" w:cs="Arial" w:eastAsia="Arial" w:hAnsi="Arial"/>
                <w:sz w:val="18"/>
                <w:szCs w:val="18"/>
                <w:color w:val="auto"/>
              </w:rPr>
              <w:t>87.5%</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SVP/VP2</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180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color w:val="auto"/>
              </w:rPr>
              <w:t>65%</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"Base Salary" is defined as the Participant's gross base salary (before taxes and deductions) paid by the Company to the Participant during the Performance Period.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Each Participant will have the opportunity to earn the incentive set forth above based on the level of achievement against the FY17 Performance Measures.</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The applicability and weighting of the FY17 Performance Measures relative to the total incentive opportunity is also based upon the Participant’s level:</w:t>
      </w:r>
    </w:p>
    <w:p>
      <w:pPr>
        <w:spacing w:after="0" w:line="200" w:lineRule="exact"/>
        <w:rPr>
          <w:sz w:val="20"/>
          <w:szCs w:val="20"/>
          <w:color w:val="auto"/>
        </w:rPr>
      </w:pPr>
    </w:p>
    <w:p>
      <w:pPr>
        <w:spacing w:after="0" w:line="207" w:lineRule="exact"/>
        <w:rPr>
          <w:sz w:val="20"/>
          <w:szCs w:val="20"/>
          <w:color w:val="auto"/>
        </w:rPr>
      </w:pPr>
    </w:p>
    <w:tbl>
      <w:tblPr>
        <w:tblLayout w:type="fixed"/>
        <w:tblInd w:w="1430" w:type="dxa"/>
        <w:tblCellMar>
          <w:top w:w="0" w:type="dxa"/>
          <w:left w:w="0" w:type="dxa"/>
          <w:bottom w:w="0" w:type="dxa"/>
          <w:right w:w="0" w:type="dxa"/>
        </w:tblCellMar>
      </w:tblPr>
      <w:tr>
        <w:trPr>
          <w:trHeight w:val="284"/>
        </w:trPr>
        <w:tc>
          <w:tcPr>
            <w:tcW w:w="9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22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9"/>
              </w:rPr>
              <w:t>Corporate Performance</w:t>
            </w:r>
          </w:p>
        </w:tc>
        <w:tc>
          <w:tcPr>
            <w:tcW w:w="198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Corporate Strategic</w:t>
            </w:r>
          </w:p>
        </w:tc>
        <w:tc>
          <w:tcPr>
            <w:tcW w:w="184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Individual Personal</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Individual</w:t>
            </w:r>
          </w:p>
        </w:tc>
        <w:tc>
          <w:tcPr>
            <w:tcW w:w="0" w:type="dxa"/>
            <w:vAlign w:val="bottom"/>
          </w:tcPr>
          <w:p>
            <w:pPr>
              <w:spacing w:after="0"/>
              <w:rPr>
                <w:sz w:val="1"/>
                <w:szCs w:val="1"/>
                <w:color w:val="auto"/>
              </w:rPr>
            </w:pPr>
          </w:p>
        </w:tc>
      </w:tr>
      <w:tr>
        <w:trPr>
          <w:trHeight w:val="70"/>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Participant</w:t>
            </w:r>
          </w:p>
        </w:tc>
        <w:tc>
          <w:tcPr>
            <w:tcW w:w="136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Operating</w:t>
            </w:r>
          </w:p>
        </w:tc>
        <w:tc>
          <w:tcPr>
            <w:tcW w:w="1980" w:type="dxa"/>
            <w:vAlign w:val="bottom"/>
            <w:tcBorders>
              <w:right w:val="single" w:sz="8" w:color="auto"/>
            </w:tcBorders>
            <w:vMerge w:val="continue"/>
          </w:tcPr>
          <w:p>
            <w:pPr>
              <w:spacing w:after="0"/>
              <w:rPr>
                <w:sz w:val="6"/>
                <w:szCs w:val="6"/>
                <w:color w:val="auto"/>
              </w:rPr>
            </w:pPr>
          </w:p>
        </w:tc>
        <w:tc>
          <w:tcPr>
            <w:tcW w:w="18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8"/>
                <w:szCs w:val="18"/>
                <w:b w:val="1"/>
                <w:bCs w:val="1"/>
                <w:color w:val="auto"/>
                <w:w w:val="90"/>
              </w:rPr>
              <w:t>Performance</w:t>
            </w:r>
          </w:p>
        </w:tc>
        <w:tc>
          <w:tcPr>
            <w:tcW w:w="0" w:type="dxa"/>
            <w:vAlign w:val="bottom"/>
          </w:tcPr>
          <w:p>
            <w:pPr>
              <w:spacing w:after="0"/>
              <w:rPr>
                <w:sz w:val="1"/>
                <w:szCs w:val="1"/>
                <w:color w:val="auto"/>
              </w:rPr>
            </w:pPr>
          </w:p>
        </w:tc>
      </w:tr>
      <w:tr>
        <w:trPr>
          <w:trHeight w:val="108"/>
        </w:trPr>
        <w:tc>
          <w:tcPr>
            <w:tcW w:w="960" w:type="dxa"/>
            <w:vAlign w:val="bottom"/>
            <w:tcBorders>
              <w:left w:val="single" w:sz="8" w:color="auto"/>
              <w:right w:val="single" w:sz="8" w:color="auto"/>
            </w:tcBorders>
            <w:vMerge w:val="continue"/>
          </w:tcPr>
          <w:p>
            <w:pPr>
              <w:spacing w:after="0"/>
              <w:rPr>
                <w:sz w:val="9"/>
                <w:szCs w:val="9"/>
                <w:color w:val="auto"/>
              </w:rPr>
            </w:pPr>
          </w:p>
        </w:tc>
        <w:tc>
          <w:tcPr>
            <w:tcW w:w="1360" w:type="dxa"/>
            <w:vAlign w:val="bottom"/>
            <w:tcBorders>
              <w:right w:val="single" w:sz="8" w:color="auto"/>
            </w:tcBorders>
            <w:vMerge w:val="restart"/>
          </w:tcPr>
          <w:p>
            <w:pPr>
              <w:ind w:left="180"/>
              <w:spacing w:after="0" w:line="181" w:lineRule="exact"/>
              <w:rPr>
                <w:sz w:val="20"/>
                <w:szCs w:val="20"/>
                <w:color w:val="auto"/>
              </w:rPr>
            </w:pPr>
            <w:r>
              <w:rPr>
                <w:rFonts w:ascii="Arial" w:cs="Arial" w:eastAsia="Arial" w:hAnsi="Arial"/>
                <w:sz w:val="18"/>
                <w:szCs w:val="18"/>
                <w:b w:val="1"/>
                <w:bCs w:val="1"/>
                <w:color w:val="auto"/>
              </w:rPr>
              <w:t>Net Revenue</w:t>
            </w:r>
          </w:p>
        </w:tc>
        <w:tc>
          <w:tcPr>
            <w:tcW w:w="86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restart"/>
          </w:tcPr>
          <w:p>
            <w:pPr>
              <w:jc w:val="center"/>
              <w:spacing w:after="0" w:line="181" w:lineRule="exact"/>
              <w:rPr>
                <w:sz w:val="20"/>
                <w:szCs w:val="20"/>
                <w:color w:val="auto"/>
              </w:rPr>
            </w:pPr>
            <w:r>
              <w:rPr>
                <w:rFonts w:ascii="Arial" w:cs="Arial" w:eastAsia="Arial" w:hAnsi="Arial"/>
                <w:sz w:val="18"/>
                <w:szCs w:val="18"/>
                <w:b w:val="1"/>
                <w:bCs w:val="1"/>
                <w:color w:val="auto"/>
                <w:w w:val="90"/>
              </w:rPr>
              <w:t>Objective Performance</w:t>
            </w:r>
          </w:p>
        </w:tc>
        <w:tc>
          <w:tcPr>
            <w:tcW w:w="1840" w:type="dxa"/>
            <w:vAlign w:val="bottom"/>
            <w:tcBorders>
              <w:right w:val="single" w:sz="8" w:color="auto"/>
            </w:tcBorders>
            <w:vMerge w:val="restart"/>
          </w:tcPr>
          <w:p>
            <w:pPr>
              <w:jc w:val="center"/>
              <w:spacing w:after="0" w:line="181" w:lineRule="exact"/>
              <w:rPr>
                <w:sz w:val="20"/>
                <w:szCs w:val="20"/>
                <w:color w:val="auto"/>
              </w:rPr>
            </w:pPr>
            <w:r>
              <w:rPr>
                <w:rFonts w:ascii="Arial" w:cs="Arial" w:eastAsia="Arial" w:hAnsi="Arial"/>
                <w:sz w:val="18"/>
                <w:szCs w:val="18"/>
                <w:b w:val="1"/>
                <w:bCs w:val="1"/>
                <w:color w:val="auto"/>
                <w:w w:val="90"/>
              </w:rPr>
              <w:t>Financial Objectives</w:t>
            </w: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960" w:type="dxa"/>
            <w:vAlign w:val="bottom"/>
            <w:tcBorders>
              <w:left w:val="single" w:sz="8" w:color="auto"/>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8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Evaluation</w:t>
            </w:r>
          </w:p>
        </w:tc>
        <w:tc>
          <w:tcPr>
            <w:tcW w:w="0" w:type="dxa"/>
            <w:vAlign w:val="bottom"/>
          </w:tcPr>
          <w:p>
            <w:pPr>
              <w:spacing w:after="0"/>
              <w:rPr>
                <w:sz w:val="1"/>
                <w:szCs w:val="1"/>
                <w:color w:val="auto"/>
              </w:rPr>
            </w:pPr>
          </w:p>
        </w:tc>
      </w:tr>
      <w:tr>
        <w:trPr>
          <w:trHeight w:val="230"/>
        </w:trPr>
        <w:tc>
          <w:tcPr>
            <w:tcW w:w="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Income</w:t>
            </w:r>
          </w:p>
        </w:tc>
        <w:tc>
          <w:tcPr>
            <w:tcW w:w="198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EVP</w:t>
            </w:r>
          </w:p>
        </w:tc>
        <w:tc>
          <w:tcPr>
            <w:tcW w:w="136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25%</w:t>
            </w:r>
          </w:p>
        </w:tc>
        <w:tc>
          <w:tcPr>
            <w:tcW w:w="8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25%</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620" w:type="dxa"/>
            <w:vAlign w:val="bottom"/>
            <w:tcBorders>
              <w:right w:val="single" w:sz="8" w:color="auto"/>
            </w:tcBorders>
          </w:tcPr>
          <w:p>
            <w:pPr>
              <w:jc w:val="right"/>
              <w:ind w:right="6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SVP/VP2</w:t>
            </w:r>
          </w:p>
        </w:tc>
        <w:tc>
          <w:tcPr>
            <w:tcW w:w="136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12.5%</w:t>
            </w:r>
          </w:p>
        </w:tc>
        <w:tc>
          <w:tcPr>
            <w:tcW w:w="8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12.5%</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62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Corporate Performance</w:t>
      </w:r>
    </w:p>
    <w:p>
      <w:pPr>
        <w:spacing w:after="0" w:line="324"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Payouts for Corporate Performance are based on meeting two independent financial metrics, net revenue and operating income. Each financial metric is weighted at 50% of the Corporate Performance goal. Assuming at least threshold levels of performance against the Corporate Performance goals are met during the Performance Period, the actual payout levels will range from 25%-200% of target. The actual amount of the Corporate Performance goals is considered to be confidential information and so is not included in this document, but can be obtained from Human Resources.</w:t>
      </w:r>
    </w:p>
    <w:p>
      <w:pPr>
        <w:spacing w:after="0" w:line="247" w:lineRule="exact"/>
        <w:rPr>
          <w:sz w:val="20"/>
          <w:szCs w:val="20"/>
          <w:color w:val="auto"/>
        </w:rPr>
      </w:pPr>
    </w:p>
    <w:tbl>
      <w:tblPr>
        <w:tblLayout w:type="fixed"/>
        <w:tblInd w:w="3010" w:type="dxa"/>
        <w:tblCellMar>
          <w:top w:w="0" w:type="dxa"/>
          <w:left w:w="0" w:type="dxa"/>
          <w:bottom w:w="0" w:type="dxa"/>
          <w:right w:w="0" w:type="dxa"/>
        </w:tblCellMar>
      </w:tblPr>
      <w:tr>
        <w:trPr>
          <w:trHeight w:val="238"/>
        </w:trPr>
        <w:tc>
          <w:tcPr>
            <w:tcW w:w="1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Net Revenue</w:t>
            </w:r>
          </w:p>
        </w:tc>
        <w:tc>
          <w:tcPr>
            <w:tcW w:w="3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Payout as a Percentage of the Portion of Incentive</w:t>
            </w:r>
          </w:p>
        </w:tc>
      </w:tr>
      <w:tr>
        <w:trPr>
          <w:trHeight w:val="234"/>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 Level</w:t>
            </w:r>
          </w:p>
        </w:tc>
        <w:tc>
          <w:tcPr>
            <w:tcW w:w="3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Tied to Corporate Performance*</w:t>
            </w:r>
          </w:p>
        </w:tc>
      </w:tr>
      <w:tr>
        <w:trPr>
          <w:trHeight w:val="27"/>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r>
      <w:tr>
        <w:trPr>
          <w:trHeight w:val="237"/>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Threshold</w:t>
            </w:r>
          </w:p>
        </w:tc>
        <w:tc>
          <w:tcPr>
            <w:tcW w:w="3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r>
      <w:tr>
        <w:trPr>
          <w:trHeight w:val="27"/>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r>
      <w:tr>
        <w:trPr>
          <w:trHeight w:val="237"/>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Target</w:t>
            </w:r>
          </w:p>
        </w:tc>
        <w:tc>
          <w:tcPr>
            <w:tcW w:w="3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r>
      <w:tr>
        <w:trPr>
          <w:trHeight w:val="237"/>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Excellence</w:t>
            </w:r>
          </w:p>
        </w:tc>
        <w:tc>
          <w:tcPr>
            <w:tcW w:w="3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r>
    </w:tbl>
    <w:p>
      <w:pPr>
        <w:spacing w:after="0" w:line="115" w:lineRule="exact"/>
        <w:rPr>
          <w:sz w:val="20"/>
          <w:szCs w:val="20"/>
          <w:color w:val="auto"/>
        </w:rPr>
      </w:pPr>
    </w:p>
    <w:tbl>
      <w:tblPr>
        <w:tblLayout w:type="fixed"/>
        <w:tblInd w:w="3010" w:type="dxa"/>
        <w:tblCellMar>
          <w:top w:w="0" w:type="dxa"/>
          <w:left w:w="0" w:type="dxa"/>
          <w:bottom w:w="0" w:type="dxa"/>
          <w:right w:w="0" w:type="dxa"/>
        </w:tblCellMar>
      </w:tblPr>
      <w:tr>
        <w:trPr>
          <w:trHeight w:val="238"/>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Operating Income</w:t>
            </w:r>
          </w:p>
        </w:tc>
        <w:tc>
          <w:tcPr>
            <w:tcW w:w="3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Payout as a Percentage of the Portion of</w:t>
            </w:r>
          </w:p>
        </w:tc>
      </w:tr>
      <w:tr>
        <w:trPr>
          <w:trHeight w:val="234"/>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 Level</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Incentive Tied to Corporate Performance</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7"/>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Threshold</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7"/>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Target</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7"/>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Excellence</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Payout levels are determined using linear interpolation for results falling between the three performance levels.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Strategic Objective Performance</w:t>
      </w:r>
    </w:p>
    <w:p>
      <w:pPr>
        <w:spacing w:after="0" w:line="324" w:lineRule="exact"/>
        <w:rPr>
          <w:sz w:val="20"/>
          <w:szCs w:val="20"/>
          <w:color w:val="auto"/>
        </w:rPr>
      </w:pPr>
    </w:p>
    <w:p>
      <w:pPr>
        <w:ind w:right="20"/>
        <w:spacing w:after="0" w:line="387" w:lineRule="auto"/>
        <w:rPr>
          <w:sz w:val="20"/>
          <w:szCs w:val="20"/>
          <w:color w:val="auto"/>
        </w:rPr>
      </w:pPr>
      <w:r>
        <w:rPr>
          <w:rFonts w:ascii="Arial" w:cs="Arial" w:eastAsia="Arial" w:hAnsi="Arial"/>
          <w:sz w:val="18"/>
          <w:szCs w:val="18"/>
          <w:color w:val="auto"/>
        </w:rPr>
        <w:t>Payouts for performance against the Corporate Strategic Objectives will be based on performance against the following objectives, with underlying success measures to be provided by your manager:</w:t>
      </w:r>
    </w:p>
    <w:p>
      <w:pPr>
        <w:spacing w:after="0" w:line="62" w:lineRule="exact"/>
        <w:rPr>
          <w:sz w:val="20"/>
          <w:szCs w:val="20"/>
          <w:color w:val="auto"/>
        </w:rPr>
      </w:pPr>
    </w:p>
    <w:p>
      <w:pPr>
        <w:ind w:left="660" w:hanging="328"/>
        <w:spacing w:after="0" w:line="3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Reignite the Brand: Reignite the brand to drive desirability and purchase intent, creating and ownable and differentiated market position centered on delivering beautiful solutions to our Day Maker consumer</w:t>
      </w:r>
    </w:p>
    <w:p>
      <w:pPr>
        <w:ind w:left="660" w:hanging="328"/>
        <w:spacing w:after="0" w:line="3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Drive Core Growth: Profitably grow our core business - Delivering our core product (bags, travel and accessories) to our core Day Maker customers (current and future), in our core channels (yielding strong, positive comparable store sales)</w:t>
      </w:r>
    </w:p>
    <w:p>
      <w:pPr>
        <w:ind w:left="660" w:hanging="328"/>
        <w:spacing w:after="0" w:line="3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New Growth Vehicles: Find and obtain new avenues for growth - expanding the Day Maker lifestyle offering, creating new sources of consumer demand domestically and abroad, and leveraging the brand’s value through a strong network of collaborations</w:t>
      </w:r>
    </w:p>
    <w:p>
      <w:pPr>
        <w:ind w:left="660" w:hanging="328"/>
        <w:spacing w:after="0" w:line="381"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Power Performance Through People: Build a world-class team of empowered and high-performance individuals and teams, who rally around our brand and core values and are passionate about both winning together and bringing women together through the secret languate of beauty</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Leverage Core Expense</w:t>
      </w:r>
    </w:p>
    <w:p>
      <w:pPr>
        <w:sectPr>
          <w:pgSz w:w="11900" w:h="16838" w:orient="portrait"/>
          <w:cols w:equalWidth="0" w:num="1">
            <w:col w:w="11420"/>
          </w:cols>
          <w:pgMar w:left="240" w:top="63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Assuming threshold levels are met, the actual payout levels range from 0%-150% of target based on the schedule below.</w:t>
      </w:r>
    </w:p>
    <w:p>
      <w:pPr>
        <w:spacing w:after="0" w:line="287" w:lineRule="exact"/>
        <w:rPr>
          <w:sz w:val="20"/>
          <w:szCs w:val="20"/>
          <w:color w:val="auto"/>
        </w:rPr>
      </w:pPr>
    </w:p>
    <w:tbl>
      <w:tblPr>
        <w:tblLayout w:type="fixed"/>
        <w:tblInd w:w="2750" w:type="dxa"/>
        <w:tblCellMar>
          <w:top w:w="0" w:type="dxa"/>
          <w:left w:w="0" w:type="dxa"/>
          <w:bottom w:w="0" w:type="dxa"/>
          <w:right w:w="0" w:type="dxa"/>
        </w:tblCellMar>
      </w:tblPr>
      <w:tr>
        <w:trPr>
          <w:trHeight w:val="257"/>
        </w:trPr>
        <w:tc>
          <w:tcPr>
            <w:tcW w:w="36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Incentive Rating</w:t>
            </w:r>
          </w:p>
        </w:tc>
        <w:tc>
          <w:tcPr>
            <w:tcW w:w="22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w w:val="91"/>
              </w:rPr>
              <w:t>Strategic Objectives Payout</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Significantly Exceeded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Exceeded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Met All Expectations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Met Most Expectations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Did Not Meet Expectations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right="20"/>
        <w:spacing w:after="0" w:line="387" w:lineRule="auto"/>
        <w:rPr>
          <w:sz w:val="20"/>
          <w:szCs w:val="20"/>
          <w:color w:val="auto"/>
        </w:rPr>
      </w:pPr>
      <w:r>
        <w:rPr>
          <w:rFonts w:ascii="Arial" w:cs="Arial" w:eastAsia="Arial" w:hAnsi="Arial"/>
          <w:sz w:val="18"/>
          <w:szCs w:val="18"/>
          <w:color w:val="auto"/>
        </w:rPr>
        <w:t>The Compensation Committee of the Board of Directors of the Company (the “Compensation Committee”) shall determine the level of performance achieved against the Corporate Objectives in its sole discretion.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Payout levels for achievement of the Corporate Strategic Objectives range from 0%-150% of that portion of incentive tied to Corporate Strategic Objectives.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Financial Goals</w:t>
      </w:r>
    </w:p>
    <w:p>
      <w:pPr>
        <w:spacing w:after="0" w:line="216"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Payouts for performance against the Individual Financial Goals will be based on a Participant’s overall achievement of personal financial objectives, as determined by the Participant’s supervisor. Payout levels for achievement of the Individual Financial Goals range from 0%-150% of that portion of incentive tied to the Individual Financial Goals.</w:t>
      </w:r>
    </w:p>
    <w:p>
      <w:pPr>
        <w:spacing w:after="0" w:line="393" w:lineRule="exact"/>
        <w:rPr>
          <w:sz w:val="20"/>
          <w:szCs w:val="20"/>
          <w:color w:val="auto"/>
        </w:rPr>
      </w:pPr>
    </w:p>
    <w:tbl>
      <w:tblPr>
        <w:tblLayout w:type="fixed"/>
        <w:tblInd w:w="2750" w:type="dxa"/>
        <w:tblCellMar>
          <w:top w:w="0" w:type="dxa"/>
          <w:left w:w="0" w:type="dxa"/>
          <w:bottom w:w="0" w:type="dxa"/>
          <w:right w:w="0" w:type="dxa"/>
        </w:tblCellMar>
      </w:tblPr>
      <w:tr>
        <w:trPr>
          <w:trHeight w:val="238"/>
        </w:trPr>
        <w:tc>
          <w:tcPr>
            <w:tcW w:w="36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Performance Against Individual Financial</w:t>
            </w:r>
          </w:p>
        </w:tc>
        <w:tc>
          <w:tcPr>
            <w:tcW w:w="22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8"/>
                <w:szCs w:val="18"/>
                <w:b w:val="1"/>
                <w:bCs w:val="1"/>
                <w:color w:val="auto"/>
              </w:rPr>
              <w:t>Payout</w:t>
            </w:r>
          </w:p>
        </w:tc>
        <w:tc>
          <w:tcPr>
            <w:tcW w:w="0" w:type="dxa"/>
            <w:vAlign w:val="bottom"/>
          </w:tcPr>
          <w:p>
            <w:pPr>
              <w:spacing w:after="0"/>
              <w:rPr>
                <w:sz w:val="1"/>
                <w:szCs w:val="1"/>
                <w:color w:val="auto"/>
              </w:rPr>
            </w:pPr>
          </w:p>
        </w:tc>
      </w:tr>
      <w:tr>
        <w:trPr>
          <w:trHeight w:val="126"/>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Goals</w:t>
            </w: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80" w:type="dxa"/>
            <w:vAlign w:val="bottom"/>
            <w:tcBorders>
              <w:left w:val="single" w:sz="8" w:color="auto"/>
              <w:right w:val="single" w:sz="8" w:color="auto"/>
            </w:tcBorders>
            <w:vMerge w:val="continue"/>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Significantly Exceeded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Exceeded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Met All Expectations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Met Most Expectations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Did Not Meet Expectations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Performance</w:t>
      </w:r>
    </w:p>
    <w:p>
      <w:pPr>
        <w:spacing w:after="0" w:line="324"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Payouts for Individual Performance will be based on each Participant's overall annual performance score during the Performance Period. Payout levels for achievement of Individual Performance targets range from 0%-150% of that portion of incentive tied to Individual Performance</w:t>
      </w:r>
    </w:p>
    <w:p>
      <w:pPr>
        <w:spacing w:after="0" w:line="245" w:lineRule="exact"/>
        <w:rPr>
          <w:sz w:val="20"/>
          <w:szCs w:val="20"/>
          <w:color w:val="auto"/>
        </w:rPr>
      </w:pPr>
    </w:p>
    <w:tbl>
      <w:tblPr>
        <w:tblLayout w:type="fixed"/>
        <w:tblInd w:w="2730" w:type="dxa"/>
        <w:tblCellMar>
          <w:top w:w="0" w:type="dxa"/>
          <w:left w:w="0" w:type="dxa"/>
          <w:bottom w:w="0" w:type="dxa"/>
          <w:right w:w="0" w:type="dxa"/>
        </w:tblCellMar>
      </w:tblPr>
      <w:tr>
        <w:trPr>
          <w:trHeight w:val="257"/>
        </w:trPr>
        <w:tc>
          <w:tcPr>
            <w:tcW w:w="4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Individual Performance Rating</w:t>
            </w:r>
          </w:p>
        </w:tc>
        <w:tc>
          <w:tcPr>
            <w:tcW w:w="152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Payout</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Exceeding Expectations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Meeting All Expectations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Meeting Some Expectations/New to Role</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75%</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Not Meeting Expectations/Too New</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Administrative Guidelines - Provide additional information regarding how the Annual Plan will be administered.</w:t>
      </w:r>
    </w:p>
    <w:p>
      <w:pPr>
        <w:spacing w:after="0" w:line="28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CEO direct reports at a level of Vice President, Senior Vice President and Executive Vice President are eligible to participate</w:t>
      </w:r>
    </w:p>
    <w:p>
      <w:pPr>
        <w:sectPr>
          <w:pgSz w:w="11900" w:h="16838" w:orient="portrait"/>
          <w:cols w:equalWidth="0" w:num="1">
            <w:col w:w="11420"/>
          </w:cols>
          <w:pgMar w:left="240" w:top="638" w:right="239" w:bottom="1440" w:gutter="0" w:footer="0" w:header="0"/>
        </w:sectPr>
      </w:pPr>
    </w:p>
    <w:bookmarkStart w:id="36" w:name="page37"/>
    <w:bookmarkEnd w:id="36"/>
    <w:p>
      <w:pPr>
        <w:ind w:left="332"/>
        <w:spacing w:after="0" w:line="407" w:lineRule="auto"/>
        <w:rPr>
          <w:sz w:val="20"/>
          <w:szCs w:val="20"/>
          <w:color w:val="auto"/>
        </w:rPr>
      </w:pPr>
      <w:r>
        <w:rPr>
          <w:rFonts w:ascii="Arial" w:cs="Arial" w:eastAsia="Arial" w:hAnsi="Arial"/>
          <w:sz w:val="18"/>
          <w:szCs w:val="18"/>
          <w:color w:val="auto"/>
        </w:rPr>
        <w:t>in this Annual Plan, except participants in any other annual incentive compensation plan. Any question regarding eligibility for participation in this Annual Plan shall be resolved by the Compensation Committee, in the Committee’s sole discretion.</w:t>
      </w:r>
    </w:p>
    <w:p>
      <w:pPr>
        <w:ind w:left="332" w:hanging="332"/>
        <w:spacing w:after="0" w:line="360" w:lineRule="auto"/>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Participation in this Annual Plan neither gives any employee the right to be retained as an employee nor limits the Company's right to discharge or discipline any employee.</w:t>
      </w:r>
    </w:p>
    <w:p>
      <w:pPr>
        <w:ind w:left="332" w:hanging="332"/>
        <w:spacing w:after="0"/>
        <w:tabs>
          <w:tab w:leader="none" w:pos="332" w:val="left"/>
        </w:tabs>
        <w:numPr>
          <w:ilvl w:val="0"/>
          <w:numId w:val="30"/>
        </w:numPr>
        <w:rPr>
          <w:rFonts w:ascii="Arial" w:cs="Arial" w:eastAsia="Arial" w:hAnsi="Arial"/>
          <w:sz w:val="17"/>
          <w:szCs w:val="17"/>
          <w:color w:val="auto"/>
        </w:rPr>
      </w:pPr>
      <w:r>
        <w:rPr>
          <w:rFonts w:ascii="Arial" w:cs="Arial" w:eastAsia="Arial" w:hAnsi="Arial"/>
          <w:sz w:val="17"/>
          <w:szCs w:val="17"/>
          <w:color w:val="auto"/>
        </w:rPr>
        <w:t>Final payout of any bonus under this Plan is subject to the final approval of the Chief Financial Officer and Vice President, Human Resources.</w:t>
      </w:r>
    </w:p>
    <w:p>
      <w:pPr>
        <w:spacing w:after="0" w:line="115" w:lineRule="exact"/>
        <w:rPr>
          <w:rFonts w:ascii="Arial" w:cs="Arial" w:eastAsia="Arial" w:hAnsi="Arial"/>
          <w:sz w:val="17"/>
          <w:szCs w:val="17"/>
          <w:color w:val="auto"/>
        </w:rPr>
      </w:pPr>
    </w:p>
    <w:p>
      <w:pPr>
        <w:jc w:val="both"/>
        <w:ind w:left="332" w:hanging="332"/>
        <w:spacing w:after="0" w:line="360" w:lineRule="auto"/>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Certification of Results. Before any Awards under the Annual Plan are deemed earned with respect to a Performance Period, the Compensation Committee shall certify, in accordance with Section 9.5 of the 2010 Plan, in writing (i) that the performance goals have been met for the Performance Period, and (ii) the calculation of "Operating Income" and "Net Revenue" for the Performance Period.</w:t>
      </w:r>
    </w:p>
    <w:p>
      <w:pPr>
        <w:jc w:val="both"/>
        <w:ind w:left="1292" w:hanging="320"/>
        <w:spacing w:after="0" w:line="381" w:lineRule="auto"/>
        <w:tabs>
          <w:tab w:leader="none" w:pos="1292"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Definition of "Operating Income". For purposes of this Annual Plan, the term "Operating Income" means, with respect to the Performance Period related to any Awards, the Company's consolidated operating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(other than store impairment), or other special charges, and (iv) cumulative effect of changes to U.S. GAAP accounting.</w:t>
      </w:r>
    </w:p>
    <w:p>
      <w:pPr>
        <w:spacing w:after="0" w:line="2" w:lineRule="exact"/>
        <w:rPr>
          <w:rFonts w:ascii="Arial" w:cs="Arial" w:eastAsia="Arial" w:hAnsi="Arial"/>
          <w:sz w:val="17"/>
          <w:szCs w:val="17"/>
          <w:color w:val="auto"/>
        </w:rPr>
      </w:pPr>
    </w:p>
    <w:p>
      <w:pPr>
        <w:ind w:left="1292" w:hanging="320"/>
        <w:spacing w:after="0" w:line="360" w:lineRule="auto"/>
        <w:tabs>
          <w:tab w:leader="none" w:pos="12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Definition of "Net Revenue". For purposes of this Annual Plan, the term "Net Revenue" means, with respect to the Performance Period related to any Awards, the Company's consolidated net revenue, as determined in accordance with U.S. GAAP.</w:t>
      </w:r>
    </w:p>
    <w:p>
      <w:pPr>
        <w:ind w:left="332" w:hanging="332"/>
        <w:spacing w:after="0"/>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Participants will receive an award that is prorated based on Base Salary earned during the Performance Period.</w:t>
      </w:r>
    </w:p>
    <w:p>
      <w:pPr>
        <w:spacing w:after="0" w:line="103" w:lineRule="exact"/>
        <w:rPr>
          <w:rFonts w:ascii="Arial" w:cs="Arial" w:eastAsia="Arial" w:hAnsi="Arial"/>
          <w:sz w:val="18"/>
          <w:szCs w:val="18"/>
          <w:color w:val="auto"/>
        </w:rPr>
      </w:pPr>
    </w:p>
    <w:p>
      <w:pPr>
        <w:ind w:left="332" w:hanging="332"/>
        <w:spacing w:after="0" w:line="360" w:lineRule="auto"/>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that a Participant joins the Company at any time during the final three fiscal months of the Performance Period, such participant will not be eligible to participate in this Plan.</w:t>
      </w:r>
    </w:p>
    <w:p>
      <w:pPr>
        <w:ind w:left="332" w:hanging="332"/>
        <w:spacing w:after="0"/>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goal attainment calculations will follow normal rounding guidelines (i.e., 93.1% to 93.49% = 93%; 93.5% to 93.9% = 94%).</w:t>
      </w:r>
    </w:p>
    <w:p>
      <w:pPr>
        <w:spacing w:after="0" w:line="103" w:lineRule="exact"/>
        <w:rPr>
          <w:rFonts w:ascii="Arial" w:cs="Arial" w:eastAsia="Arial" w:hAnsi="Arial"/>
          <w:sz w:val="18"/>
          <w:szCs w:val="18"/>
          <w:color w:val="auto"/>
        </w:rPr>
      </w:pPr>
    </w:p>
    <w:p>
      <w:pPr>
        <w:ind w:left="332" w:hanging="332"/>
        <w:spacing w:after="0" w:line="360" w:lineRule="auto"/>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Payments under the Annual Plan will be paid in cash after the end of the Company's fiscal tax year but no later than the 15th day of the third month following the Company's fiscal tax year on which the annual incentives under this Annual Plan are based.</w:t>
      </w:r>
    </w:p>
    <w:p>
      <w:pPr>
        <w:ind w:left="332" w:right="20" w:hanging="332"/>
        <w:spacing w:after="0" w:line="360" w:lineRule="auto"/>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ind w:left="332" w:hanging="332"/>
        <w:spacing w:after="0"/>
        <w:tabs>
          <w:tab w:leader="none" w:pos="3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Record keeping and computation required by this Annual Plan will be subject to review by third-party auditors, and by the Compensation Committee.</w:t>
      </w:r>
    </w:p>
    <w:p>
      <w:pPr>
        <w:spacing w:after="0" w:line="126" w:lineRule="exact"/>
        <w:rPr>
          <w:rFonts w:ascii="Arial" w:cs="Arial" w:eastAsia="Arial" w:hAnsi="Arial"/>
          <w:sz w:val="16"/>
          <w:szCs w:val="16"/>
          <w:color w:val="auto"/>
        </w:rPr>
      </w:pPr>
    </w:p>
    <w:p>
      <w:pPr>
        <w:jc w:val="both"/>
        <w:ind w:left="332" w:hanging="332"/>
        <w:spacing w:after="0" w:line="405" w:lineRule="auto"/>
        <w:tabs>
          <w:tab w:leader="none" w:pos="3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Interpretations, determinations, and actions regarding plan administration shall be made by the Compensation Committee. Any such determinations and any interpretation, rule, or decision under the Annual Plan or in carrying out or administering the Annual Plan, is final and binding for all purposes and upon all interested persons, their heirs, and personal representatives. The Company or its designee may rely conclusively on determinations made by the Company and its auditors to determine related information for purposes of administration of the Annual Plan, whether such information is determined by the Company, its auditors, or a third-party vendor engaged to provide such information to the Company.</w:t>
      </w:r>
    </w:p>
    <w:p>
      <w:pPr>
        <w:ind w:left="332" w:hanging="332"/>
        <w:spacing w:after="0"/>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While it is the intent of the Company to continue this Annual Plan as stated herein, the Company reserves the right to amend</w:t>
      </w:r>
    </w:p>
    <w:p>
      <w:pPr>
        <w:sectPr>
          <w:pgSz w:w="11900" w:h="16838" w:orient="portrait"/>
          <w:cols w:equalWidth="0" w:num="1">
            <w:col w:w="11412"/>
          </w:cols>
          <w:pgMar w:left="248" w:top="665" w:right="239" w:bottom="1440" w:gutter="0" w:footer="0" w:header="0"/>
        </w:sectPr>
      </w:pPr>
    </w:p>
    <w:bookmarkStart w:id="37" w:name="page38"/>
    <w:bookmarkEnd w:id="37"/>
    <w:p>
      <w:pPr>
        <w:ind w:left="332"/>
        <w:spacing w:after="0"/>
        <w:rPr>
          <w:sz w:val="20"/>
          <w:szCs w:val="20"/>
          <w:color w:val="auto"/>
        </w:rPr>
      </w:pPr>
      <w:r>
        <w:rPr>
          <w:rFonts w:ascii="Arial" w:cs="Arial" w:eastAsia="Arial" w:hAnsi="Arial"/>
          <w:sz w:val="18"/>
          <w:szCs w:val="18"/>
          <w:color w:val="auto"/>
        </w:rPr>
        <w:t>or discontinue the plan at any time in its sole discretion.</w:t>
      </w:r>
    </w:p>
    <w:p>
      <w:pPr>
        <w:spacing w:after="0" w:line="131" w:lineRule="exact"/>
        <w:rPr>
          <w:sz w:val="20"/>
          <w:szCs w:val="20"/>
          <w:color w:val="auto"/>
        </w:rPr>
      </w:pPr>
    </w:p>
    <w:p>
      <w:pPr>
        <w:ind w:left="332" w:right="20" w:hanging="332"/>
        <w:spacing w:after="0" w:line="360" w:lineRule="auto"/>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ind w:left="332" w:hanging="332"/>
        <w:spacing w:after="0" w:line="424" w:lineRule="auto"/>
        <w:tabs>
          <w:tab w:leader="none" w:pos="33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rights granted under this document are in all respects subject to the provisions of the 2010 Plan to the same extent and with the same effect as if they were set forth fully therein. If the terms of this document or the Award conflict with the terms of the 2010 Plan, the 2010 Plan will control.</w:t>
      </w:r>
    </w:p>
    <w:p>
      <w:pPr>
        <w:sectPr>
          <w:pgSz w:w="11900" w:h="16838" w:orient="portrait"/>
          <w:cols w:equalWidth="0" w:num="1">
            <w:col w:w="11412"/>
          </w:cols>
          <w:pgMar w:left="248" w:top="66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2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i w:val="1"/>
          <w:iCs w:val="1"/>
          <w:color w:val="auto"/>
        </w:rPr>
        <w:t>Re:</w:t>
        <w:tab/>
        <w:t xml:space="preserve">Award Agreement - Grant of </w:t>
      </w:r>
      <w:r>
        <w:rPr>
          <w:rFonts w:ascii="Arial" w:cs="Arial" w:eastAsia="Arial" w:hAnsi="Arial"/>
          <w:sz w:val="18"/>
          <w:szCs w:val="18"/>
          <w:b w:val="1"/>
          <w:bCs w:val="1"/>
          <w:i w:val="1"/>
          <w:iCs w:val="1"/>
          <w:u w:val="single" w:color="auto"/>
          <w:color w:val="auto"/>
        </w:rPr>
        <w:t>Performance</w:t>
      </w:r>
      <w:r>
        <w:rPr>
          <w:rFonts w:ascii="Arial" w:cs="Arial" w:eastAsia="Arial" w:hAnsi="Arial"/>
          <w:sz w:val="18"/>
          <w:szCs w:val="18"/>
          <w:b w:val="1"/>
          <w:bCs w:val="1"/>
          <w:i w:val="1"/>
          <w:iCs w:val="1"/>
          <w:color w:val="auto"/>
        </w:rPr>
        <w:t xml:space="preserve">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Congratulations! In recognition of your continued dedication to Vera Bradley, we are pleased to award you with a discretionary grant of Performance Units ("Award"). This letter constitutes an Award Agreement between you and Vera Bradley regarding the terms and conditions of the grant. In order for the Award referenced in this Award Agreement to become effective, </w:t>
      </w:r>
      <w:r>
        <w:rPr>
          <w:rFonts w:ascii="Arial" w:cs="Arial" w:eastAsia="Arial" w:hAnsi="Arial"/>
          <w:sz w:val="16"/>
          <w:szCs w:val="16"/>
          <w:b w:val="1"/>
          <w:bCs w:val="1"/>
          <w:color w:val="auto"/>
        </w:rPr>
        <w:t>you must electronically accept your grant no later than two weeks from the grant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While complete details of this grant are defined in the enclosed documents, a high-level summary of this Award is as follows:</w:t>
      </w:r>
    </w:p>
    <w:p>
      <w:pPr>
        <w:sectPr>
          <w:pgSz w:w="11900" w:h="16838" w:orient="portrait"/>
          <w:cols w:equalWidth="0" w:num="1">
            <w:col w:w="11420"/>
          </w:cols>
          <w:pgMar w:left="240" w:top="580" w:right="239" w:bottom="1440" w:gutter="0" w:footer="0" w:header="0"/>
        </w:sect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Type of Grant</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Discretionary grant of Performance Units (“Performance RSUs”). This is a one-time, discretionary grant to reward you for your continued contribution to the success of Vera Bradley.</w:t>
      </w:r>
    </w:p>
    <w:p>
      <w:pPr>
        <w:spacing w:after="0" w:line="126" w:lineRule="exact"/>
        <w:rPr>
          <w:sz w:val="20"/>
          <w:szCs w:val="20"/>
          <w:color w:val="auto"/>
        </w:rPr>
      </w:pPr>
    </w:p>
    <w:p>
      <w:pPr>
        <w:sectPr>
          <w:pgSz w:w="11900" w:h="16838" w:orient="portrait"/>
          <w:cols w:equalWidth="0" w:num="2">
            <w:col w:w="1600" w:space="720"/>
            <w:col w:w="9100"/>
          </w:cols>
          <w:pgMar w:left="240" w:top="580" w:right="239" w:bottom="1440" w:gutter="0" w:footer="0" w:header="0"/>
          <w:type w:val="continuous"/>
        </w:sectPr>
      </w:pPr>
    </w:p>
    <w:p>
      <w:pPr>
        <w:ind w:left="40"/>
        <w:spacing w:after="0" w:line="282" w:lineRule="auto"/>
        <w:rPr>
          <w:sz w:val="20"/>
          <w:szCs w:val="20"/>
          <w:color w:val="auto"/>
        </w:rPr>
      </w:pPr>
      <w:r>
        <w:rPr>
          <w:rFonts w:ascii="Arial" w:cs="Arial" w:eastAsia="Arial" w:hAnsi="Arial"/>
          <w:sz w:val="18"/>
          <w:szCs w:val="18"/>
          <w:b w:val="1"/>
          <w:bCs w:val="1"/>
          <w:color w:val="auto"/>
        </w:rPr>
        <w:t>Number of Performance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[Insert XX]</w:t>
      </w:r>
    </w:p>
    <w:p>
      <w:pPr>
        <w:spacing w:after="0" w:line="411" w:lineRule="exact"/>
        <w:rPr>
          <w:sz w:val="20"/>
          <w:szCs w:val="20"/>
          <w:color w:val="auto"/>
        </w:rPr>
      </w:pPr>
    </w:p>
    <w:p>
      <w:pPr>
        <w:sectPr>
          <w:pgSz w:w="11900" w:h="16838" w:orient="portrait"/>
          <w:cols w:equalWidth="0" w:num="2">
            <w:col w:w="1920" w:space="400"/>
            <w:col w:w="9100"/>
          </w:cols>
          <w:pgMar w:left="240" w:top="580" w:right="239" w:bottom="1440" w:gutter="0" w:footer="0" w:header="0"/>
          <w:type w:val="continuous"/>
        </w:sectPr>
      </w:pPr>
    </w:p>
    <w:p>
      <w:pPr>
        <w:ind w:left="40"/>
        <w:spacing w:after="0" w:line="510" w:lineRule="auto"/>
        <w:rPr>
          <w:sz w:val="20"/>
          <w:szCs w:val="20"/>
          <w:color w:val="auto"/>
        </w:rPr>
      </w:pPr>
      <w:r>
        <w:rPr>
          <w:rFonts w:ascii="Arial" w:cs="Arial" w:eastAsia="Arial" w:hAnsi="Arial"/>
          <w:sz w:val="16"/>
          <w:szCs w:val="16"/>
          <w:b w:val="1"/>
          <w:bCs w:val="1"/>
          <w:color w:val="auto"/>
        </w:rPr>
        <w:t>Date of Grant of Award 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[Insert XX]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[Insert XX]</w:t>
      </w:r>
    </w:p>
    <w:p>
      <w:pPr>
        <w:spacing w:after="0" w:line="195" w:lineRule="exact"/>
        <w:rPr>
          <w:sz w:val="20"/>
          <w:szCs w:val="20"/>
          <w:color w:val="auto"/>
        </w:rPr>
      </w:pPr>
    </w:p>
    <w:p>
      <w:pPr>
        <w:sectPr>
          <w:pgSz w:w="11900" w:h="16838" w:orient="portrait"/>
          <w:cols w:equalWidth="0" w:num="2">
            <w:col w:w="1860" w:space="460"/>
            <w:col w:w="910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Earning of Performance</w:t>
      </w:r>
    </w:p>
    <w:p>
      <w:pPr>
        <w:spacing w:after="0" w:line="27" w:lineRule="exact"/>
        <w:rPr>
          <w:sz w:val="20"/>
          <w:szCs w:val="20"/>
          <w:color w:val="auto"/>
        </w:rPr>
      </w:pPr>
    </w:p>
    <w:p>
      <w:pPr>
        <w:jc w:val="both"/>
        <w:ind w:left="2320" w:right="20" w:hanging="2279"/>
        <w:spacing w:after="0" w:line="281" w:lineRule="auto"/>
        <w:tabs>
          <w:tab w:leader="none" w:pos="2300" w:val="left"/>
        </w:tabs>
        <w:rPr>
          <w:sz w:val="20"/>
          <w:szCs w:val="20"/>
          <w:color w:val="auto"/>
        </w:rPr>
      </w:pPr>
      <w:r>
        <w:rPr>
          <w:rFonts w:ascii="Arial" w:cs="Arial" w:eastAsia="Arial" w:hAnsi="Arial"/>
          <w:sz w:val="16"/>
          <w:szCs w:val="16"/>
          <w:b w:val="1"/>
          <w:bCs w:val="1"/>
          <w:color w:val="auto"/>
        </w:rPr>
        <w:t>RSUs</w:t>
      </w:r>
      <w:r>
        <w:rPr>
          <w:sz w:val="20"/>
          <w:szCs w:val="20"/>
          <w:color w:val="auto"/>
        </w:rPr>
        <w:tab/>
      </w:r>
      <w:r>
        <w:rPr>
          <w:rFonts w:ascii="Arial" w:cs="Arial" w:eastAsia="Arial" w:hAnsi="Arial"/>
          <w:sz w:val="16"/>
          <w:szCs w:val="16"/>
          <w:color w:val="auto"/>
        </w:rPr>
        <w:t>The Performance RSUs will be divided into three equal tranches of 1/3 each (each a separate "Tranche") of the total Award and allocated to each of the three fiscal years of the Company ending during the Performance Period, with each such fiscal year being considered a performance year ("Performance Year"). Importantly, each Tranche of Performance RSUs must be "</w:t>
      </w:r>
      <w:r>
        <w:rPr>
          <w:rFonts w:ascii="Arial" w:cs="Arial" w:eastAsia="Arial" w:hAnsi="Arial"/>
          <w:sz w:val="16"/>
          <w:szCs w:val="16"/>
          <w:b w:val="1"/>
          <w:bCs w:val="1"/>
          <w:u w:val="single" w:color="auto"/>
          <w:color w:val="auto"/>
        </w:rPr>
        <w:t>earned</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vested</w:t>
      </w:r>
      <w:r>
        <w:rPr>
          <w:rFonts w:ascii="Arial" w:cs="Arial" w:eastAsia="Arial" w:hAnsi="Arial"/>
          <w:sz w:val="16"/>
          <w:szCs w:val="16"/>
          <w:color w:val="auto"/>
        </w:rPr>
        <w:t>" before it will be settled in the form of Shares of the Company. Except as otherwise provided herein,</w:t>
      </w:r>
    </w:p>
    <w:p>
      <w:pPr>
        <w:spacing w:after="0" w:line="3" w:lineRule="exact"/>
        <w:rPr>
          <w:sz w:val="20"/>
          <w:szCs w:val="20"/>
          <w:color w:val="auto"/>
        </w:rPr>
      </w:pPr>
    </w:p>
    <w:p>
      <w:pPr>
        <w:jc w:val="both"/>
        <w:ind w:left="2320" w:right="40" w:hanging="3"/>
        <w:spacing w:after="0" w:line="253" w:lineRule="auto"/>
        <w:tabs>
          <w:tab w:leader="none" w:pos="25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each Tranche of Performance RSUs will be deemed </w:t>
      </w:r>
      <w:r>
        <w:rPr>
          <w:rFonts w:ascii="Arial" w:cs="Arial" w:eastAsia="Arial" w:hAnsi="Arial"/>
          <w:sz w:val="18"/>
          <w:szCs w:val="18"/>
          <w:b w:val="1"/>
          <w:bCs w:val="1"/>
          <w:u w:val="single" w:color="auto"/>
          <w:color w:val="auto"/>
        </w:rPr>
        <w:t>earned</w:t>
      </w:r>
      <w:r>
        <w:rPr>
          <w:rFonts w:ascii="Arial" w:cs="Arial" w:eastAsia="Arial" w:hAnsi="Arial"/>
          <w:sz w:val="18"/>
          <w:szCs w:val="18"/>
          <w:color w:val="auto"/>
        </w:rPr>
        <w:t xml:space="preserve"> only if the Earnings Per Share (as defined in the FY17 Restricted Stock Unit/Performance Unit Terms and Conditions) of the Company for the applicable </w:t>
      </w:r>
      <w:r>
        <w:rPr>
          <w:rFonts w:ascii="Arial" w:cs="Arial" w:eastAsia="Arial" w:hAnsi="Arial"/>
          <w:sz w:val="18"/>
          <w:szCs w:val="18"/>
          <w:u w:val="single" w:color="auto"/>
          <w:color w:val="auto"/>
        </w:rPr>
        <w:t>Performance Year</w:t>
      </w:r>
      <w:r>
        <w:rPr>
          <w:rFonts w:ascii="Arial" w:cs="Arial" w:eastAsia="Arial" w:hAnsi="Arial"/>
          <w:sz w:val="18"/>
          <w:szCs w:val="18"/>
          <w:color w:val="auto"/>
        </w:rPr>
        <w:t xml:space="preserve"> meets or exceeds the threshold level established by the Compensation Committee for such Performance Year, and (ii) each Tranche of Performance RSUs will be deemed </w:t>
      </w:r>
      <w:r>
        <w:rPr>
          <w:rFonts w:ascii="Arial" w:cs="Arial" w:eastAsia="Arial" w:hAnsi="Arial"/>
          <w:sz w:val="18"/>
          <w:szCs w:val="18"/>
          <w:b w:val="1"/>
          <w:bCs w:val="1"/>
          <w:u w:val="single" w:color="auto"/>
          <w:color w:val="auto"/>
        </w:rPr>
        <w:t>vested</w:t>
      </w:r>
      <w:r>
        <w:rPr>
          <w:rFonts w:ascii="Arial" w:cs="Arial" w:eastAsia="Arial" w:hAnsi="Arial"/>
          <w:sz w:val="18"/>
          <w:szCs w:val="18"/>
          <w:color w:val="auto"/>
        </w:rPr>
        <w:t xml:space="preserve"> only if you are continuously employed with the Company throughout the </w:t>
      </w:r>
      <w:r>
        <w:rPr>
          <w:rFonts w:ascii="Arial" w:cs="Arial" w:eastAsia="Arial" w:hAnsi="Arial"/>
          <w:sz w:val="18"/>
          <w:szCs w:val="18"/>
          <w:u w:val="single" w:color="auto"/>
          <w:color w:val="auto"/>
        </w:rPr>
        <w:t>Performance Period</w:t>
      </w:r>
      <w:r>
        <w:rPr>
          <w:rFonts w:ascii="Arial" w:cs="Arial" w:eastAsia="Arial" w:hAnsi="Arial"/>
          <w:sz w:val="18"/>
          <w:szCs w:val="18"/>
          <w:color w:val="auto"/>
        </w:rPr>
        <w:t>.</w:t>
      </w:r>
    </w:p>
    <w:p>
      <w:pPr>
        <w:spacing w:after="0" w:line="200" w:lineRule="exact"/>
        <w:rPr>
          <w:sz w:val="20"/>
          <w:szCs w:val="20"/>
          <w:color w:val="auto"/>
        </w:rPr>
      </w:pPr>
    </w:p>
    <w:p>
      <w:pPr>
        <w:spacing w:after="0" w:line="379"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20" w:type="dxa"/>
            <w:vAlign w:val="bottom"/>
            <w:gridSpan w:val="5"/>
          </w:tcPr>
          <w:p>
            <w:pPr>
              <w:jc w:val="center"/>
              <w:ind w:left="110"/>
              <w:spacing w:after="0"/>
              <w:rPr>
                <w:sz w:val="20"/>
                <w:szCs w:val="20"/>
                <w:color w:val="auto"/>
              </w:rPr>
            </w:pPr>
            <w:r>
              <w:rPr>
                <w:rFonts w:ascii="Arial" w:cs="Arial" w:eastAsia="Arial" w:hAnsi="Arial"/>
                <w:sz w:val="18"/>
                <w:szCs w:val="18"/>
                <w:b w:val="1"/>
                <w:bCs w:val="1"/>
                <w:color w:val="auto"/>
                <w:w w:val="91"/>
              </w:rPr>
              <w:t>Performance Level* for each Tranche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36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2"/>
          </w:tcPr>
          <w:p>
            <w:pPr>
              <w:jc w:val="center"/>
              <w:ind w:right="1200"/>
              <w:spacing w:after="0"/>
              <w:rPr>
                <w:sz w:val="20"/>
                <w:szCs w:val="20"/>
                <w:color w:val="auto"/>
              </w:rPr>
            </w:pPr>
            <w:r>
              <w:rPr>
                <w:rFonts w:ascii="Arial" w:cs="Arial" w:eastAsia="Arial" w:hAnsi="Arial"/>
                <w:sz w:val="18"/>
                <w:szCs w:val="18"/>
                <w:b w:val="1"/>
                <w:bCs w:val="1"/>
                <w:color w:val="auto"/>
                <w:w w:val="90"/>
              </w:rPr>
              <w:t>Target</w:t>
            </w:r>
          </w:p>
        </w:tc>
        <w:tc>
          <w:tcPr>
            <w:tcW w:w="160" w:type="dxa"/>
            <w:vAlign w:val="bottom"/>
          </w:tcPr>
          <w:p>
            <w:pPr>
              <w:spacing w:after="0"/>
              <w:rPr>
                <w:sz w:val="21"/>
                <w:szCs w:val="21"/>
                <w:color w:val="auto"/>
              </w:rPr>
            </w:pPr>
          </w:p>
        </w:tc>
        <w:tc>
          <w:tcPr>
            <w:tcW w:w="10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8"/>
              </w:rPr>
              <w:t>Excellence</w:t>
            </w:r>
          </w:p>
        </w:tc>
        <w:tc>
          <w:tcPr>
            <w:tcW w:w="0" w:type="dxa"/>
            <w:vAlign w:val="bottom"/>
          </w:tcPr>
          <w:p>
            <w:pPr>
              <w:spacing w:after="0"/>
              <w:rPr>
                <w:sz w:val="1"/>
                <w:szCs w:val="1"/>
                <w:color w:val="auto"/>
              </w:rPr>
            </w:pPr>
          </w:p>
        </w:tc>
      </w:tr>
      <w:tr>
        <w:trPr>
          <w:trHeight w:val="272"/>
        </w:trPr>
        <w:tc>
          <w:tcPr>
            <w:tcW w:w="3240" w:type="dxa"/>
            <w:vAlign w:val="bottom"/>
          </w:tcPr>
          <w:p>
            <w:pPr>
              <w:spacing w:after="0"/>
              <w:rPr>
                <w:sz w:val="20"/>
                <w:szCs w:val="20"/>
                <w:color w:val="auto"/>
              </w:rPr>
            </w:pPr>
            <w:r>
              <w:rPr>
                <w:rFonts w:ascii="Arial" w:cs="Arial" w:eastAsia="Arial" w:hAnsi="Arial"/>
                <w:sz w:val="18"/>
                <w:szCs w:val="18"/>
                <w:b w:val="1"/>
                <w:bCs w:val="1"/>
                <w:color w:val="auto"/>
              </w:rPr>
              <w:t>Performance Level Attainment</w:t>
            </w: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88%</w:t>
            </w:r>
          </w:p>
        </w:tc>
        <w:tc>
          <w:tcPr>
            <w:tcW w:w="1560" w:type="dxa"/>
            <w:vAlign w:val="bottom"/>
            <w:gridSpan w:val="2"/>
            <w:vMerge w:val="restart"/>
          </w:tcPr>
          <w:p>
            <w:pPr>
              <w:spacing w:after="0"/>
              <w:rPr>
                <w:sz w:val="23"/>
                <w:szCs w:val="23"/>
                <w:color w:val="auto"/>
              </w:rPr>
            </w:pPr>
          </w:p>
        </w:tc>
        <w:tc>
          <w:tcPr>
            <w:tcW w:w="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vMerge w:val="restart"/>
          </w:tcPr>
          <w:p>
            <w:pPr>
              <w:spacing w:after="0"/>
              <w:rPr>
                <w:sz w:val="23"/>
                <w:szCs w:val="23"/>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112%</w:t>
            </w:r>
          </w:p>
        </w:tc>
        <w:tc>
          <w:tcPr>
            <w:tcW w:w="0" w:type="dxa"/>
            <w:vAlign w:val="bottom"/>
          </w:tcPr>
          <w:p>
            <w:pPr>
              <w:spacing w:after="0"/>
              <w:rPr>
                <w:sz w:val="1"/>
                <w:szCs w:val="1"/>
                <w:color w:val="auto"/>
              </w:rPr>
            </w:pPr>
          </w:p>
        </w:tc>
      </w:tr>
      <w:tr>
        <w:trPr>
          <w:trHeight w:val="12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as % of Target (FY17)</w:t>
            </w:r>
          </w:p>
        </w:tc>
        <w:tc>
          <w:tcPr>
            <w:tcW w:w="780" w:type="dxa"/>
            <w:vAlign w:val="bottom"/>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Arial" w:cs="Arial" w:eastAsia="Arial" w:hAnsi="Arial"/>
                <w:sz w:val="18"/>
                <w:szCs w:val="18"/>
                <w:b w:val="1"/>
                <w:bCs w:val="1"/>
                <w:color w:val="auto"/>
              </w:rPr>
              <w:t>Performance Level Attainment</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4"/>
              </w:rPr>
              <w:t>88%</w:t>
            </w:r>
          </w:p>
        </w:tc>
        <w:tc>
          <w:tcPr>
            <w:tcW w:w="2060" w:type="dxa"/>
            <w:vAlign w:val="bottom"/>
            <w:gridSpan w:val="3"/>
            <w:vMerge w:val="restart"/>
          </w:tcPr>
          <w:p>
            <w:pPr>
              <w:jc w:val="center"/>
              <w:ind w:left="1470"/>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91"/>
              </w:rPr>
              <w:t>112%</w:t>
            </w:r>
          </w:p>
        </w:tc>
        <w:tc>
          <w:tcPr>
            <w:tcW w:w="0" w:type="dxa"/>
            <w:vAlign w:val="bottom"/>
          </w:tcPr>
          <w:p>
            <w:pPr>
              <w:spacing w:after="0"/>
              <w:rPr>
                <w:sz w:val="1"/>
                <w:szCs w:val="1"/>
                <w:color w:val="auto"/>
              </w:rPr>
            </w:pPr>
          </w:p>
        </w:tc>
      </w:tr>
      <w:tr>
        <w:trPr>
          <w:trHeight w:val="12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as % of Target (FY18)</w:t>
            </w:r>
          </w:p>
        </w:tc>
        <w:tc>
          <w:tcPr>
            <w:tcW w:w="780" w:type="dxa"/>
            <w:vAlign w:val="bottom"/>
            <w:vMerge w:val="continue"/>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Arial" w:cs="Arial" w:eastAsia="Arial" w:hAnsi="Arial"/>
                <w:sz w:val="18"/>
                <w:szCs w:val="18"/>
                <w:b w:val="1"/>
                <w:bCs w:val="1"/>
                <w:color w:val="auto"/>
              </w:rPr>
              <w:t>Performance Level Attainment</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4"/>
              </w:rPr>
              <w:t>88%</w:t>
            </w:r>
          </w:p>
        </w:tc>
        <w:tc>
          <w:tcPr>
            <w:tcW w:w="2060" w:type="dxa"/>
            <w:vAlign w:val="bottom"/>
            <w:gridSpan w:val="3"/>
            <w:vMerge w:val="restart"/>
          </w:tcPr>
          <w:p>
            <w:pPr>
              <w:jc w:val="center"/>
              <w:ind w:left="1470"/>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91"/>
              </w:rPr>
              <w:t>112%</w:t>
            </w:r>
          </w:p>
        </w:tc>
        <w:tc>
          <w:tcPr>
            <w:tcW w:w="0" w:type="dxa"/>
            <w:vAlign w:val="bottom"/>
          </w:tcPr>
          <w:p>
            <w:pPr>
              <w:spacing w:after="0"/>
              <w:rPr>
                <w:sz w:val="1"/>
                <w:szCs w:val="1"/>
                <w:color w:val="auto"/>
              </w:rPr>
            </w:pPr>
          </w:p>
        </w:tc>
      </w:tr>
      <w:tr>
        <w:trPr>
          <w:trHeight w:val="12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as % of Target (FY19)</w:t>
            </w:r>
          </w:p>
        </w:tc>
        <w:tc>
          <w:tcPr>
            <w:tcW w:w="780" w:type="dxa"/>
            <w:vAlign w:val="bottom"/>
            <w:vMerge w:val="continue"/>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Arial" w:cs="Arial" w:eastAsia="Arial" w:hAnsi="Arial"/>
                <w:sz w:val="18"/>
                <w:szCs w:val="18"/>
                <w:b w:val="1"/>
                <w:bCs w:val="1"/>
                <w:color w:val="auto"/>
              </w:rPr>
              <w:t>Payout level** for Tranche of</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4"/>
              </w:rPr>
              <w:t>25%</w:t>
            </w:r>
          </w:p>
        </w:tc>
        <w:tc>
          <w:tcPr>
            <w:tcW w:w="2060" w:type="dxa"/>
            <w:vAlign w:val="bottom"/>
            <w:gridSpan w:val="3"/>
            <w:vMerge w:val="restart"/>
          </w:tcPr>
          <w:p>
            <w:pPr>
              <w:jc w:val="center"/>
              <w:ind w:left="1470"/>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12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Performance RSUs</w:t>
            </w:r>
          </w:p>
        </w:tc>
        <w:tc>
          <w:tcPr>
            <w:tcW w:w="780" w:type="dxa"/>
            <w:vAlign w:val="bottom"/>
            <w:vMerge w:val="continue"/>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300" w:right="40" w:hanging="10"/>
        <w:spacing w:after="0" w:line="279" w:lineRule="auto"/>
        <w:tabs>
          <w:tab w:leader="none" w:pos="24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actual number of Performance RSUs allocated to each Tranche that can be earned under this Award Agreement is based on the level of performance achieved (as summarized in the table above) during the applicable Performance Year and can range from 0% of the "Target" (for performance levels below the "Threshold" level) to a maximum of 200% of the "Target" (for performance levels at or above the "Excellence" level).</w:t>
      </w:r>
    </w:p>
    <w:p>
      <w:pPr>
        <w:spacing w:after="0" w:line="131" w:lineRule="exact"/>
        <w:rPr>
          <w:sz w:val="20"/>
          <w:szCs w:val="20"/>
          <w:color w:val="auto"/>
        </w:rPr>
      </w:pPr>
    </w:p>
    <w:p>
      <w:pPr>
        <w:ind w:left="2300" w:right="80" w:hanging="10"/>
        <w:spacing w:after="0" w:line="342" w:lineRule="auto"/>
        <w:tabs>
          <w:tab w:leader="none" w:pos="2525"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Payout levels for each Tranche of Performance RSUs are based on the attained percentage of the target Earnings Per Share for each respective Performance Year (using linear interpolation for results falling between the three performance levels).</w:t>
      </w:r>
    </w:p>
    <w:p>
      <w:pPr>
        <w:sectPr>
          <w:pgSz w:w="11900" w:h="16838" w:orient="portrait"/>
          <w:cols w:equalWidth="0" w:num="1">
            <w:col w:w="11420"/>
          </w:cols>
          <w:pgMar w:left="240" w:top="580" w:right="239" w:bottom="1440" w:gutter="0" w:footer="0" w:header="0"/>
          <w:type w:val="continuous"/>
        </w:sectPr>
      </w:pPr>
    </w:p>
    <w:bookmarkStart w:id="39" w:name="page40"/>
    <w:bookmarkEnd w:id="39"/>
    <w:p>
      <w:pPr>
        <w:jc w:val="both"/>
        <w:ind w:left="2200" w:right="20" w:hanging="2173"/>
        <w:spacing w:after="0" w:line="261" w:lineRule="auto"/>
        <w:tabs>
          <w:tab w:leader="none" w:pos="2180" w:val="left"/>
        </w:tabs>
        <w:rPr>
          <w:sz w:val="20"/>
          <w:szCs w:val="20"/>
          <w:color w:val="auto"/>
        </w:rPr>
      </w:pPr>
      <w:r>
        <w:rPr>
          <w:rFonts w:ascii="Arial" w:cs="Arial" w:eastAsia="Arial" w:hAnsi="Arial"/>
          <w:sz w:val="18"/>
          <w:szCs w:val="18"/>
          <w:b w:val="1"/>
          <w:bCs w:val="1"/>
          <w:color w:val="auto"/>
        </w:rPr>
        <w:t>Termination of Service</w:t>
      </w:r>
      <w:r>
        <w:rPr>
          <w:sz w:val="20"/>
          <w:szCs w:val="20"/>
          <w:color w:val="auto"/>
        </w:rPr>
        <w:tab/>
      </w:r>
      <w:r>
        <w:rPr>
          <w:rFonts w:ascii="Arial" w:cs="Arial" w:eastAsia="Arial" w:hAnsi="Arial"/>
          <w:sz w:val="18"/>
          <w:szCs w:val="18"/>
          <w:color w:val="auto"/>
        </w:rPr>
        <w:t>In general, should your Service with Vera Bradley be terminated prior to the last day of the Performance Period, all then outstanding Performance RSUs (whether or not one or more Tranches have been earned as a result of the Earnings per Share for such Performance Year) will be forfeited to the Company. However, the following provisions will apply if, during the Performance Period, you cease providing Services due to death, Disability or Retirement (and provided that you have not otherwise engaged in an act that would constitute Cause):</w:t>
      </w:r>
    </w:p>
    <w:p>
      <w:pPr>
        <w:spacing w:after="0" w:line="22" w:lineRule="exact"/>
        <w:rPr>
          <w:sz w:val="20"/>
          <w:szCs w:val="20"/>
          <w:color w:val="auto"/>
        </w:rPr>
      </w:pPr>
    </w:p>
    <w:p>
      <w:pPr>
        <w:ind w:left="2660" w:right="20" w:firstLine="9"/>
        <w:spacing w:after="0" w:line="271" w:lineRule="auto"/>
        <w:tabs>
          <w:tab w:leader="none" w:pos="2835" w:val="left"/>
        </w:tabs>
        <w:numPr>
          <w:ilvl w:val="0"/>
          <w:numId w:val="35"/>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 or 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your Service with the Company terminates as a result of your death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Disability during the Performance Period, (i) with respect to Performance Years that have been completed at the time of such death or Disability, each such Tranche shall be earned only to the extent of actual performance for such Performance Year, and (ii) with respect to Performance Years that have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been completed at the time of such death or Disability, each such Tranche shall be deemed to be earned based on the "Target" level of performance for such Performance Year, but prorated based on the number of full fiscal months (in which you provided Service throughout such month) during the Performance Period. Any such earned Awards shall become fully vested and paid out in Shares of Company stock pursuant to the settlement provisions below. For purposes of this Award Agreement, "Disability" shall have the meaning assigned to such term in the 2010 Plan.</w:t>
      </w:r>
    </w:p>
    <w:p>
      <w:pPr>
        <w:spacing w:after="0" w:line="12" w:lineRule="exact"/>
        <w:rPr>
          <w:rFonts w:ascii="Arial" w:cs="Arial" w:eastAsia="Arial" w:hAnsi="Arial"/>
          <w:sz w:val="17"/>
          <w:szCs w:val="17"/>
          <w:color w:val="auto"/>
        </w:rPr>
      </w:pPr>
    </w:p>
    <w:p>
      <w:pPr>
        <w:ind w:left="2660" w:right="20" w:firstLine="9"/>
        <w:spacing w:after="0" w:line="271" w:lineRule="auto"/>
        <w:tabs>
          <w:tab w:leader="none" w:pos="2835" w:val="left"/>
        </w:tabs>
        <w:numPr>
          <w:ilvl w:val="0"/>
          <w:numId w:val="35"/>
        </w:numPr>
        <w:rPr>
          <w:rFonts w:ascii="Arial" w:cs="Arial" w:eastAsia="Arial" w:hAnsi="Arial"/>
          <w:sz w:val="17"/>
          <w:szCs w:val="17"/>
          <w:color w:val="auto"/>
        </w:rPr>
      </w:pPr>
      <w:r>
        <w:rPr>
          <w:rFonts w:ascii="Arial" w:cs="Arial" w:eastAsia="Arial" w:hAnsi="Arial"/>
          <w:sz w:val="17"/>
          <w:szCs w:val="17"/>
          <w:b w:val="1"/>
          <w:bCs w:val="1"/>
          <w:u w:val="single" w:color="auto"/>
          <w:color w:val="auto"/>
        </w:rPr>
        <w:t>Retirement: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your Service terminates as a result of your Retirement during the Performance Period,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Tranche of outstanding Awards shall be treated as earned (i) with respect to Performance Years that have been completed at the time of such Retirement, each such Tranche shall be earned and vested only to the extent of actual performance for such Performance Year, and (ii) with respect to Performance Years that have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been completed at the time of such Retirement, each such Tranche shall be deemed to be earned based on the actual performance level attained for such Performance Year, but prorated based on the number of full fiscal months (in which you provided Service throughout such month) during the Performance Period. Any such earned Awards shall become fully vested and paid out in Shares of Company stock pursuant to the settlement provisions below. For purposes of this Award Agreement, "Retirement" shall have the meaning assigned to such term in the 2010 Plan.</w:t>
      </w:r>
    </w:p>
    <w:p>
      <w:pPr>
        <w:spacing w:after="0" w:line="16" w:lineRule="exact"/>
        <w:rPr>
          <w:sz w:val="20"/>
          <w:szCs w:val="20"/>
          <w:color w:val="auto"/>
        </w:rPr>
      </w:pPr>
    </w:p>
    <w:p>
      <w:pPr>
        <w:ind w:left="2200" w:right="60"/>
        <w:spacing w:after="0" w:line="264" w:lineRule="auto"/>
        <w:rPr>
          <w:sz w:val="20"/>
          <w:szCs w:val="20"/>
          <w:color w:val="auto"/>
        </w:rPr>
      </w:pPr>
      <w:r>
        <w:rPr>
          <w:rFonts w:ascii="Arial" w:cs="Arial" w:eastAsia="Arial" w:hAnsi="Arial"/>
          <w:sz w:val="18"/>
          <w:szCs w:val="18"/>
          <w:color w:val="auto"/>
        </w:rPr>
        <w:t>If your Service with the Company shall terminate during the Performance Period for any reason other than death, Disability, or Retirement, all Performance RSUs granted hereunder (whether or not a Tranche was previously earned) shall be forfeited to the Company.</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160" w:type="dxa"/>
            <w:vAlign w:val="bottom"/>
          </w:tcPr>
          <w:p>
            <w:pPr>
              <w:spacing w:after="0"/>
              <w:rPr>
                <w:sz w:val="20"/>
                <w:szCs w:val="20"/>
                <w:color w:val="auto"/>
              </w:rPr>
            </w:pPr>
            <w:r>
              <w:rPr>
                <w:rFonts w:ascii="Arial" w:cs="Arial" w:eastAsia="Arial" w:hAnsi="Arial"/>
                <w:sz w:val="18"/>
                <w:szCs w:val="18"/>
                <w:b w:val="1"/>
                <w:bCs w:val="1"/>
                <w:color w:val="auto"/>
              </w:rPr>
              <w:t>Change in Control</w:t>
            </w:r>
          </w:p>
        </w:tc>
        <w:tc>
          <w:tcPr>
            <w:tcW w:w="9200" w:type="dxa"/>
            <w:vAlign w:val="bottom"/>
            <w:gridSpan w:val="2"/>
          </w:tcPr>
          <w:p>
            <w:pPr>
              <w:spacing w:after="0"/>
              <w:rPr>
                <w:sz w:val="20"/>
                <w:szCs w:val="20"/>
                <w:color w:val="auto"/>
              </w:rPr>
            </w:pPr>
            <w:r>
              <w:rPr>
                <w:rFonts w:ascii="Arial" w:cs="Arial" w:eastAsia="Arial" w:hAnsi="Arial"/>
                <w:sz w:val="18"/>
                <w:szCs w:val="18"/>
                <w:color w:val="auto"/>
                <w:w w:val="93"/>
              </w:rPr>
              <w:t>Notwithstanding anything to the contrary in this Award Agreement, in the event of the consummation of a Change in Control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7"/>
              </w:rPr>
              <w:t>of the Company (and provided that you remain continuously employed with the Company until such Change in Control)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7"/>
              </w:rPr>
              <w:t>during the Performance Period, then each Tranche of outstanding Awards shall be treated as earned (i) with respect to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Performance Years that have been completed at the time of such Change in Control, such Tranche shall be earned and vested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5"/>
              </w:rPr>
              <w:t>only to the extent of actual performance for such Performance Year, and (ii) with respect to Performance Years that have</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9200" w:type="dxa"/>
            <w:vAlign w:val="bottom"/>
            <w:gridSpan w:val="2"/>
          </w:tcPr>
          <w:p>
            <w:pPr>
              <w:spacing w:after="0" w:line="190" w:lineRule="exact"/>
              <w:rPr>
                <w:sz w:val="20"/>
                <w:szCs w:val="20"/>
                <w:color w:val="auto"/>
              </w:rPr>
            </w:pPr>
            <w:r>
              <w:rPr>
                <w:rFonts w:ascii="Arial" w:cs="Arial" w:eastAsia="Arial" w:hAnsi="Arial"/>
                <w:sz w:val="18"/>
                <w:szCs w:val="18"/>
                <w:color w:val="auto"/>
                <w:w w:val="89"/>
              </w:rPr>
              <w:t>not been completed at the time of such Change in Control, each such Tranche shall be deemed to be earned at the Target level,</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60" w:type="dxa"/>
            <w:vAlign w:val="bottom"/>
          </w:tcPr>
          <w:p>
            <w:pPr>
              <w:spacing w:after="0"/>
              <w:rPr>
                <w:sz w:val="19"/>
                <w:szCs w:val="19"/>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with any such earned Performance RSUs becoming fully vested. Performance RSUs payable upon a Change in Control shall be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1"/>
              </w:rPr>
              <w:t>paid immediately prior to the Change in Control in the form of one Share of Company stock for each vested Performance RSU.</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8"/>
              </w:rPr>
              <w:t>Partial Shares (along with any accumulated dividends) will be paid in cash at the same time the Shares are delivered.</w:t>
            </w:r>
          </w:p>
        </w:tc>
        <w:tc>
          <w:tcPr>
            <w:tcW w:w="0" w:type="dxa"/>
            <w:vAlign w:val="bottom"/>
          </w:tcPr>
          <w:p>
            <w:pPr>
              <w:spacing w:after="0"/>
              <w:rPr>
                <w:sz w:val="1"/>
                <w:szCs w:val="1"/>
                <w:color w:val="auto"/>
              </w:rPr>
            </w:pPr>
          </w:p>
        </w:tc>
      </w:tr>
      <w:tr>
        <w:trPr>
          <w:trHeight w:val="392"/>
        </w:trPr>
        <w:tc>
          <w:tcPr>
            <w:tcW w:w="2160" w:type="dxa"/>
            <w:vAlign w:val="bottom"/>
          </w:tcPr>
          <w:p>
            <w:pPr>
              <w:spacing w:after="0"/>
              <w:rPr>
                <w:sz w:val="20"/>
                <w:szCs w:val="20"/>
                <w:color w:val="auto"/>
              </w:rPr>
            </w:pPr>
            <w:r>
              <w:rPr>
                <w:rFonts w:ascii="Arial" w:cs="Arial" w:eastAsia="Arial" w:hAnsi="Arial"/>
                <w:sz w:val="18"/>
                <w:szCs w:val="18"/>
                <w:b w:val="1"/>
                <w:bCs w:val="1"/>
                <w:color w:val="auto"/>
              </w:rPr>
              <w:t>Settlement</w:t>
            </w:r>
          </w:p>
        </w:tc>
        <w:tc>
          <w:tcPr>
            <w:tcW w:w="9200" w:type="dxa"/>
            <w:vAlign w:val="bottom"/>
            <w:gridSpan w:val="2"/>
            <w:vMerge w:val="restart"/>
          </w:tcPr>
          <w:p>
            <w:pPr>
              <w:spacing w:after="0"/>
              <w:rPr>
                <w:sz w:val="20"/>
                <w:szCs w:val="20"/>
                <w:color w:val="auto"/>
              </w:rPr>
            </w:pPr>
            <w:r>
              <w:rPr>
                <w:rFonts w:ascii="Arial" w:cs="Arial" w:eastAsia="Arial" w:hAnsi="Arial"/>
                <w:sz w:val="18"/>
                <w:szCs w:val="18"/>
                <w:color w:val="auto"/>
                <w:w w:val="91"/>
              </w:rPr>
              <w:t>Except as it applies to Tranches that are deemed to be earned at "Target" and become payable due to a Change in Control or</w:t>
            </w: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9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2"/>
              </w:rPr>
              <w:t>due to termination of Service as a result of death or Disability, no Awards will become payable unless the Committee certifies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that the performance goals in the Award Agreement have been attained with respect to the applicable Performance Year during</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4"/>
              </w:rPr>
              <w:t>the Performance Period in a manner that complies with Code Section 162(m) and the 2010 Plan. Any earned Performance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6"/>
              </w:rPr>
              <w:t>RSUs will be paid in the form of one Share of Company stock for each earned whole Performance RSU. Delivery of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1"/>
              </w:rPr>
              <w:t>Share(s) will be made, including delivery with respect to a Disabled Participant, or to the estate of a deceased Participant, after</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line="216" w:lineRule="exact"/>
              <w:rPr>
                <w:sz w:val="20"/>
                <w:szCs w:val="20"/>
                <w:color w:val="auto"/>
              </w:rPr>
            </w:pPr>
            <w:r>
              <w:rPr>
                <w:rFonts w:ascii="Arial" w:cs="Arial" w:eastAsia="Arial" w:hAnsi="Arial"/>
                <w:sz w:val="18"/>
                <w:szCs w:val="18"/>
                <w:color w:val="auto"/>
                <w:w w:val="94"/>
              </w:rPr>
              <w:t>the end of the Performance Period and not later than the 15</w:t>
            </w:r>
            <w:r>
              <w:rPr>
                <w:rFonts w:ascii="Arial" w:cs="Arial" w:eastAsia="Arial" w:hAnsi="Arial"/>
                <w:sz w:val="25"/>
                <w:szCs w:val="25"/>
                <w:color w:val="auto"/>
                <w:w w:val="94"/>
                <w:vertAlign w:val="superscript"/>
              </w:rPr>
              <w:t>th</w:t>
            </w:r>
            <w:r>
              <w:rPr>
                <w:rFonts w:ascii="Arial" w:cs="Arial" w:eastAsia="Arial" w:hAnsi="Arial"/>
                <w:sz w:val="18"/>
                <w:szCs w:val="18"/>
                <w:color w:val="auto"/>
                <w:w w:val="94"/>
              </w:rPr>
              <w:t xml:space="preserve"> day of the third month following the end of the Performance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3"/>
              </w:rPr>
              <w:t>Period. Shares will be credited to an account established for the benefit of the Participant with the Company's administrative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agent. The Participant will have full legal and beneficial ownership with respect to the Shares at that time. Partial Shares (along</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with any accumulated dividends) will be paid in cash at the same time the Shares are delivered.</w:t>
            </w:r>
          </w:p>
        </w:tc>
        <w:tc>
          <w:tcPr>
            <w:tcW w:w="0" w:type="dxa"/>
            <w:vAlign w:val="bottom"/>
          </w:tcPr>
          <w:p>
            <w:pPr>
              <w:spacing w:after="0"/>
              <w:rPr>
                <w:sz w:val="1"/>
                <w:szCs w:val="1"/>
                <w:color w:val="auto"/>
              </w:rPr>
            </w:pPr>
          </w:p>
        </w:tc>
      </w:tr>
      <w:tr>
        <w:trPr>
          <w:trHeight w:val="377"/>
        </w:trPr>
        <w:tc>
          <w:tcPr>
            <w:tcW w:w="2160" w:type="dxa"/>
            <w:vAlign w:val="bottom"/>
          </w:tcPr>
          <w:p>
            <w:pPr>
              <w:spacing w:after="0"/>
              <w:rPr>
                <w:sz w:val="20"/>
                <w:szCs w:val="20"/>
                <w:color w:val="auto"/>
              </w:rPr>
            </w:pPr>
            <w:r>
              <w:rPr>
                <w:rFonts w:ascii="Arial" w:cs="Arial" w:eastAsia="Arial" w:hAnsi="Arial"/>
                <w:sz w:val="18"/>
                <w:szCs w:val="18"/>
                <w:b w:val="1"/>
                <w:bCs w:val="1"/>
                <w:color w:val="auto"/>
              </w:rPr>
              <w:t>Withholding Taxes</w:t>
            </w: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You acknowledge and agree that the Company shall have the power and the right to deduct or withhold, an amount sufficient to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5"/>
              </w:rPr>
              <w:t>satisfy federal, state, and local taxes (including your FICA obligation), domestic or foreign, required by law to be withheld</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with respect to this Award.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Performance RSUs have been granted under and are governed by the terms and conditions of the Vera Bradley, Inc. 2010 Equity and Incentive Plan (the “2010 Plan”), as amended. The enclosed Statement of General Information and Availability of Information for the 2010 Plan forms part of a Section 10(a) prospectus covering securities that have been registered under the</w:t>
      </w:r>
    </w:p>
    <w:p>
      <w:pPr>
        <w:sectPr>
          <w:pgSz w:w="11900" w:h="16838" w:orient="portrait"/>
          <w:cols w:equalWidth="0" w:num="1">
            <w:col w:w="11400"/>
          </w:cols>
          <w:pgMar w:left="240" w:top="742" w:right="25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t>Securities Act of 1933, as amended. This document is also enclosed to provide further information and background. Any term capitalized herein but not defined will have the meaning set forth in the 2010 Plan.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see the enclosed Fiscal 2017 Long Term Incentive Restricted Stock Unit/Performance Unit Terms and Conditions for further information regarding your Award. It is very important that you keep these documents in a safe place because they describe your rights and responsibilities under the Performance Units and 2010 Plan and explain where and how to obtain other documents and information to which you are entitled.</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Again, thank you for your continued contribution to the success of our organization! Your efforts are applauded and truly appreciated. If you have any questions regarding this discretionary grant, please contact Julie North, Vice President - Human Resources, or Kevin Sierks - Chief Financial Officer.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Kevin Sierks</w:t>
      </w:r>
    </w:p>
    <w:p>
      <w:pPr>
        <w:sectPr>
          <w:pgSz w:w="11900" w:h="16838" w:orient="portrait"/>
          <w:cols w:equalWidth="0" w:num="1">
            <w:col w:w="11420"/>
          </w:cols>
          <w:pgMar w:left="240" w:top="80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u w:val="single" w:color="auto"/>
          <w:color w:val="auto"/>
        </w:rPr>
        <w:t>Acknowledgement &amp; Acceptance of Award Agreement and Related Terms</w:t>
      </w: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By your electronic acceptance of this grant and the signature of the Company’s representative (above) on this Award Agreement, you and the Company agree that this Award of Performance Units is granted under and governed by the terms and conditions of the 2010 Plan, the Fiscal 2017 Long Term Incentive Restricted Stock Unit/Performance Unit Terms and Conditions and this Award Agreement. You acknowledge that you have reviewed the 2010 Plan, Fiscal 2017 Long Term Incentive Restricted Stock Unit/Performance Unit Terms and Conditions, and this Award Agreement in their entirety, have had an opportunity to obtain the advice of counsel prior to executing this Award Agreement, and fully understand all provisions of the 2010 Plan, Fiscal 2017 Long Term Incentive Restricted Stock Unit/Performance Unit Terms and Conditions and this Award Agreement. Further, by your electronic acceptance of this grant, you hereby agree to (i) accept as binding, conclusive and final all decisions or interpretations of the Committee upon any questions relating to the 2010 Plan, Fiscal 2017 Long Term Incentive Restricted Stock Unit/Performance Unit Terms and Conditions and this Award Agreement, and (ii) notify the Company upon any change in your residence address.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I/2785778.2</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8, 2016</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8, 2016</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April 30, 2016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June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 Kevin J. Sierks, the Executive Vice President – Chief Financial Officer of Vera Bradley, Inc., certify that (i) the quarterly report on Form 10-Q for the fiscal quarter ended April 30, 2016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June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lvl w:ilvl="1">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0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0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decimal"/>
      <w:start w:val="3"/>
    </w:lvl>
  </w:abstractNum>
  <w:abstractNum w:abstractNumId="18">
    <w:nsid w:val="2CA88611"/>
    <w:multiLevelType w:val="hybridMultilevel"/>
    <w:lvl w:ilvl="0">
      <w:lvlJc w:val="left"/>
      <w:lvlText w:val="(%1)"/>
      <w:numFmt w:val="lowerLetter"/>
      <w:start w:val="1"/>
    </w:lvl>
    <w:lvl w:ilvl="1">
      <w:lvlJc w:val="left"/>
      <w:lvlText w:val="(%2)"/>
      <w:numFmt w:val="lowerRoman"/>
      <w:start w:val="1"/>
    </w:lvl>
  </w:abstractNum>
  <w:abstractNum w:abstractNumId="19">
    <w:nsid w:val="836C40E"/>
    <w:multiLevelType w:val="hybridMultilevel"/>
    <w:lvl w:ilvl="0">
      <w:lvlJc w:val="left"/>
      <w:lvlText w:val="%1."/>
      <w:numFmt w:val="decimal"/>
      <w:start w:val="4"/>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decimal"/>
      <w:start w:val="5"/>
    </w:lvl>
  </w:abstractNum>
  <w:abstractNum w:abstractNumId="22">
    <w:nsid w:val="8138641"/>
    <w:multiLevelType w:val="hybridMultilevel"/>
    <w:lvl w:ilvl="0">
      <w:lvlJc w:val="left"/>
      <w:lvlText w:val="%1."/>
      <w:numFmt w:val="decimal"/>
      <w:start w:val="6"/>
    </w:lvl>
  </w:abstractNum>
  <w:abstractNum w:abstractNumId="23">
    <w:nsid w:val="1E7FF521"/>
    <w:multiLevelType w:val="hybridMultilevel"/>
    <w:lvl w:ilvl="0">
      <w:lvlJc w:val="left"/>
      <w:lvlText w:val="%1."/>
      <w:numFmt w:val="decimal"/>
      <w:start w:val="8"/>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decimal"/>
      <w:start w:val="10"/>
    </w:lvl>
  </w:abstractNum>
  <w:abstractNum w:abstractNumId="26">
    <w:nsid w:val="6CEAF087"/>
    <w:multiLevelType w:val="hybridMultilevel"/>
    <w:lvl w:ilvl="0">
      <w:lvlJc w:val="left"/>
      <w:lvlText w:val="%1."/>
      <w:numFmt w:val="decimal"/>
      <w:start w:val="16"/>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2"/>
    </w:lvl>
    <w:lvl w:ilvl="1">
      <w:lvlJc w:val="left"/>
      <w:lvlText w:val="%2."/>
      <w:numFmt w:val="lowerLetter"/>
      <w:start w:val="1"/>
    </w:lvl>
  </w:abstractNum>
  <w:abstractNum w:abstractNumId="30">
    <w:nsid w:val="614FD4A1"/>
    <w:multiLevelType w:val="hybridMultilevel"/>
    <w:lvl w:ilvl="0">
      <w:lvlJc w:val="left"/>
      <w:lvlText w:val="%1."/>
      <w:numFmt w:val="decimal"/>
      <w:start w:val="13"/>
    </w:lvl>
  </w:abstractNum>
  <w:abstractNum w:abstractNumId="31">
    <w:nsid w:val="419AC241"/>
    <w:multiLevelType w:val="hybridMultilevel"/>
    <w:lvl w:ilvl="0">
      <w:lvlJc w:val="left"/>
      <w:lvlText w:val="(%1)"/>
      <w:numFmt w:val="lowerRoman"/>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Ÿ"/>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2019-12-29T11:14:51Z</dcterms:created>
  <dcterms:modified xsi:type="dcterms:W3CDTF">2019-12-29T11:14:51Z</dcterms:modified>
</cp:coreProperties>
</file>