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November 3, 2018</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2478405"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5">
            <w:col w:w="2300" w:space="720"/>
            <w:col w:w="160" w:space="100"/>
            <w:col w:w="3920" w:space="720"/>
            <w:col w:w="2460" w:space="720"/>
            <w:col w:w="320"/>
          </w:cols>
          <w:pgMar w:left="240" w:top="229" w:right="239" w:bottom="0" w:gutter="0" w:footer="0" w:header="0"/>
          <w:type w:val="continuous"/>
        </w:sectPr>
      </w:pPr>
    </w:p>
    <w:bookmarkStart w:id="1" w:name="page2"/>
    <w:bookmarkEnd w:id="1"/>
    <w:p>
      <w:pPr>
        <w:ind w:left="7920"/>
        <w:spacing w:after="0" w:line="207" w:lineRule="exact"/>
        <w:tabs>
          <w:tab w:leader="none" w:pos="11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ind w:lef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0"/>
          <w:szCs w:val="20"/>
          <w:color w:val="auto"/>
        </w:rPr>
      </w:pPr>
    </w:p>
    <w:p>
      <w:pPr>
        <w:ind w:right="184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34,666,924 shares of its common stock outstanding as of December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7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9"/>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8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November 3, 2018, and February 3, 2018</w:t>
              </w:r>
            </w:hyperlink>
          </w:p>
        </w:tc>
        <w:tc>
          <w:tcPr>
            <w:tcW w:w="39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Thirteen and Thirty-Nine Weeks Ended November 3, 2018, and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October 28, 2017</w:t>
              </w:r>
            </w:hyperlink>
          </w:p>
        </w:tc>
        <w:tc>
          <w:tcPr>
            <w:tcW w:w="1460" w:type="dxa"/>
            <w:vAlign w:val="bottom"/>
            <w:gridSpan w:val="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Comprehensive Income for the Thirteen and Thirty-Nine Weeks Ended November 3,</w:t>
              </w:r>
            </w:hyperlink>
          </w:p>
        </w:tc>
        <w:tc>
          <w:tcPr>
            <w:tcW w:w="12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2018, and October 28, 2017</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Thirty-Nine Weeks Ended November 3, 2018, and October 28, 2017</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60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PART II. OTHER INFORMATION</w:t>
              </w:r>
            </w:hyperlink>
          </w:p>
        </w:tc>
        <w:tc>
          <w:tcPr>
            <w:tcW w:w="842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Risk Factors</w:t>
              </w:r>
            </w:hyperlink>
          </w:p>
        </w:tc>
        <w:tc>
          <w:tcPr>
            <w:tcW w:w="9360" w:type="dxa"/>
            <w:vAlign w:val="bottom"/>
            <w:gridSpan w:val="1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24"/>
                <w:szCs w:val="24"/>
                <w:color w:val="auto"/>
              </w:rPr>
            </w:pPr>
          </w:p>
        </w:tc>
        <w:tc>
          <w:tcPr>
            <w:tcW w:w="592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40</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40" w:type="dxa"/>
            <w:vAlign w:val="bottom"/>
            <w:gridSpan w:val="13"/>
          </w:tcPr>
          <w:p>
            <w:pPr>
              <w:ind w:left="47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 including our Vision 20/20 initiatives;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ramifications from the payment card incident disclosed in October 2016;</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 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that could lead to increased product costs and lower profit margins.</w:t>
      </w:r>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February 3, 2018.</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3,</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February 3,</w:t>
            </w: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68,751</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54,150</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15,566</w:t>
            </w:r>
          </w:p>
        </w:tc>
      </w:tr>
      <w:tr>
        <w:trPr>
          <w:trHeight w:val="243"/>
        </w:trPr>
        <w:tc>
          <w:tcPr>
            <w:tcW w:w="1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87,838</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4,391</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10,620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11,327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242,023</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79,936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86,463</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5,385</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353,009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350,669</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Accrued employment costs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13,616</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812</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40,274</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23,864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25,112</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65,386</w:t>
            </w: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1360" w:type="dxa"/>
            <w:vAlign w:val="bottom"/>
            <w:gridSpan w:val="2"/>
          </w:tcPr>
          <w:p>
            <w:pPr>
              <w:spacing w:after="0"/>
              <w:rPr>
                <w:sz w:val="3"/>
                <w:szCs w:val="3"/>
                <w:color w:val="auto"/>
              </w:rPr>
            </w:pPr>
          </w:p>
        </w:tc>
        <w:tc>
          <w:tcPr>
            <w:tcW w:w="7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3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3"/>
              </w:rPr>
              <w:t>Common stock, without par value; 200,000 shares authorized, 41,282 and 41,102 shares issued and 34,856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and 35,459 shares outstanding,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91,192</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270,783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(76,578)</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289,882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285,283</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353,009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350,669</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3,</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3,</w:t>
            </w:r>
          </w:p>
        </w:tc>
        <w:tc>
          <w:tcPr>
            <w:tcW w:w="240" w:type="dxa"/>
            <w:vAlign w:val="bottom"/>
          </w:tcPr>
          <w:p>
            <w:pPr>
              <w:spacing w:after="0"/>
              <w:rPr>
                <w:sz w:val="13"/>
                <w:szCs w:val="13"/>
                <w:color w:val="auto"/>
              </w:rPr>
            </w:pPr>
          </w:p>
        </w:tc>
        <w:tc>
          <w:tcPr>
            <w:tcW w:w="12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October 28,</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97,688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322,648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40,536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50,266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126,396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142,826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51,866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156,341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181,029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w:t>
            </w: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305"/>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35,219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35,885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35,431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36,081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36,081</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Thirteen Weeks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1620" w:type="dxa"/>
            <w:vAlign w:val="bottom"/>
            <w:gridSpan w:val="3"/>
          </w:tcPr>
          <w:p>
            <w:pPr>
              <w:ind w:left="340"/>
              <w:spacing w:after="0" w:line="153" w:lineRule="exact"/>
              <w:rPr>
                <w:sz w:val="20"/>
                <w:szCs w:val="20"/>
                <w:color w:val="auto"/>
              </w:rPr>
            </w:pPr>
            <w:r>
              <w:rPr>
                <w:rFonts w:ascii="Arial" w:cs="Arial" w:eastAsia="Arial" w:hAnsi="Arial"/>
                <w:sz w:val="14"/>
                <w:szCs w:val="14"/>
                <w:b w:val="1"/>
                <w:bCs w:val="1"/>
                <w:color w:val="auto"/>
              </w:rPr>
              <w:t>November 3,</w:t>
            </w: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3,</w:t>
            </w:r>
          </w:p>
        </w:tc>
        <w:tc>
          <w:tcPr>
            <w:tcW w:w="240" w:type="dxa"/>
            <w:vAlign w:val="bottom"/>
          </w:tcPr>
          <w:p>
            <w:pPr>
              <w:spacing w:after="0"/>
              <w:rPr>
                <w:sz w:val="13"/>
                <w:szCs w:val="13"/>
                <w:color w:val="auto"/>
              </w:rPr>
            </w:pPr>
          </w:p>
        </w:tc>
        <w:tc>
          <w:tcPr>
            <w:tcW w:w="124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October 28,</w:t>
            </w:r>
          </w:p>
        </w:tc>
      </w:tr>
      <w:tr>
        <w:trPr>
          <w:trHeight w:val="192"/>
        </w:trPr>
        <w:tc>
          <w:tcPr>
            <w:tcW w:w="5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4,226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(loss) gain on available-for-sale debt investments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12</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 net of tax</w:t>
            </w:r>
          </w:p>
        </w:tc>
        <w:tc>
          <w:tcPr>
            <w:tcW w:w="940" w:type="dxa"/>
            <w:vAlign w:val="bottom"/>
            <w:tcBorders>
              <w:top w:val="single" w:sz="8" w:color="auto"/>
            </w:tcBorders>
          </w:tcPr>
          <w:p>
            <w:pPr>
              <w:jc w:val="right"/>
              <w:ind w:right="741"/>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4,192</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344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12,109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3,</w:t>
            </w:r>
          </w:p>
        </w:tc>
        <w:tc>
          <w:tcPr>
            <w:tcW w:w="240" w:type="dxa"/>
            <w:vAlign w:val="bottom"/>
          </w:tcPr>
          <w:p>
            <w:pPr>
              <w:spacing w:after="0"/>
              <w:rPr>
                <w:sz w:val="13"/>
                <w:szCs w:val="13"/>
                <w:color w:val="auto"/>
              </w:rPr>
            </w:pPr>
          </w:p>
        </w:tc>
        <w:tc>
          <w:tcPr>
            <w:tcW w:w="124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October 28,</w:t>
            </w:r>
          </w:p>
        </w:tc>
      </w:tr>
      <w:tr>
        <w:trPr>
          <w:trHeight w:val="192"/>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12,138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14,992</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gain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non-cash charges, net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(4,205)</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670</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(11,085)</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7,491</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(8,923)</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Proceeds from maturities and sales of investments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37,600</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(15,735)</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(6,126)</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debt-issuance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(6,849)</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016" w:gutter="0" w:footer="0" w:header="0"/>
        </w:sect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period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jc w:val="both"/>
        <w:ind w:left="880"/>
        <w:spacing w:after="0"/>
        <w:tabs>
          <w:tab w:leader="none" w:pos="2360" w:val="left"/>
        </w:tabs>
        <w:rPr>
          <w:sz w:val="20"/>
          <w:szCs w:val="20"/>
          <w:color w:val="auto"/>
        </w:rPr>
      </w:pPr>
      <w:r>
        <w:rPr>
          <w:rFonts w:ascii="Arial" w:cs="Arial" w:eastAsia="Arial" w:hAnsi="Arial"/>
          <w:sz w:val="18"/>
          <w:szCs w:val="18"/>
          <w:color w:val="auto"/>
        </w:rPr>
        <w:t>(6,437)</w:t>
      </w:r>
      <w:r>
        <w:rPr>
          <w:sz w:val="20"/>
          <w:szCs w:val="20"/>
          <w:color w:val="auto"/>
        </w:rPr>
        <w:tab/>
      </w:r>
      <w:r>
        <w:rPr>
          <w:rFonts w:ascii="Arial" w:cs="Arial" w:eastAsia="Arial" w:hAnsi="Arial"/>
          <w:sz w:val="18"/>
          <w:szCs w:val="18"/>
          <w:color w:val="auto"/>
        </w:rPr>
        <w:t>(15,103)</w:t>
      </w:r>
    </w:p>
    <w:p>
      <w:pPr>
        <w:spacing w:after="0" w:line="63" w:lineRule="exact"/>
        <w:rPr>
          <w:sz w:val="20"/>
          <w:szCs w:val="20"/>
          <w:color w:val="auto"/>
        </w:rPr>
      </w:pPr>
    </w:p>
    <w:p>
      <w:pPr>
        <w:ind w:left="860"/>
        <w:spacing w:after="0"/>
        <w:tabs>
          <w:tab w:leader="none" w:pos="2420" w:val="left"/>
        </w:tabs>
        <w:rPr>
          <w:sz w:val="20"/>
          <w:szCs w:val="20"/>
          <w:color w:val="auto"/>
        </w:rPr>
      </w:pPr>
      <w:r>
        <w:rPr>
          <w:rFonts w:ascii="Arial" w:cs="Arial" w:eastAsia="Arial" w:hAnsi="Arial"/>
          <w:sz w:val="18"/>
          <w:szCs w:val="18"/>
          <w:color w:val="auto"/>
        </w:rPr>
        <w:t>68,751</w:t>
      </w:r>
      <w:r>
        <w:rPr>
          <w:sz w:val="20"/>
          <w:szCs w:val="20"/>
          <w:color w:val="auto"/>
        </w:rPr>
        <w:tab/>
      </w:r>
      <w:r>
        <w:rPr>
          <w:rFonts w:ascii="Arial" w:cs="Arial" w:eastAsia="Arial" w:hAnsi="Arial"/>
          <w:sz w:val="18"/>
          <w:szCs w:val="18"/>
          <w:color w:val="auto"/>
        </w:rPr>
        <w:t>86,375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62,314</w:t>
        <w:tab/>
        <w:t>$</w:t>
      </w:r>
      <w:r>
        <w:rPr>
          <w:sz w:val="20"/>
          <w:szCs w:val="20"/>
          <w:color w:val="auto"/>
        </w:rPr>
        <w:tab/>
      </w:r>
      <w:r>
        <w:rPr>
          <w:rFonts w:ascii="Arial" w:cs="Arial" w:eastAsia="Arial" w:hAnsi="Arial"/>
          <w:sz w:val="16"/>
          <w:szCs w:val="16"/>
          <w:color w:val="auto"/>
        </w:rPr>
        <w:t>71,272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7660" w:space="720"/>
            <w:col w:w="3040"/>
          </w:cols>
          <w:pgMar w:left="240" w:top="121" w:right="239" w:bottom="1016"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activity</w:t>
            </w: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Expenditures incurred but not yet paid as of November 3, 2018 and October 28, 2017</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Expenditures incurred but not yet paid as of February 3, 2018 and January 28,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Expenditures incurred but not yet paid as of November 3, 2018 and October 28,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Expenditures incurred but not yet paid as of February 3, 2018 and January 28, 2017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1" w:right="239" w:bottom="1016"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016"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4" w:lineRule="exact"/>
        <w:rPr>
          <w:rFonts w:ascii="Arial" w:cs="Arial" w:eastAsia="Arial" w:hAnsi="Arial"/>
          <w:sz w:val="18"/>
          <w:szCs w:val="18"/>
          <w:b w:val="1"/>
          <w:bCs w:val="1"/>
          <w:color w:val="auto"/>
        </w:rPr>
      </w:pPr>
    </w:p>
    <w:p>
      <w:pPr>
        <w:ind w:left="6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rFonts w:ascii="Arial" w:cs="Arial" w:eastAsia="Arial" w:hAnsi="Arial"/>
          <w:sz w:val="18"/>
          <w:szCs w:val="18"/>
          <w:b w:val="1"/>
          <w:bCs w:val="1"/>
          <w:color w:val="auto"/>
        </w:rPr>
      </w:pPr>
    </w:p>
    <w:p>
      <w:pPr>
        <w:ind w:left="6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the Company’s online outlet site; and the Company’s annual outlet sale in Fort Wayne, Indiana. As of November 3, 2018, the Company operated 102 full-line stores and 57 factory outlet stores. The Indirect business consists of sales of Vera Bradley products to approximately 2,300 specialty retail locations, substantially all of which are located in the United States, as well as department stores, national accounts, third-party e-commerce sites, third-party inventory liquidators, and royalties recognized through licensing agreements.</w:t>
      </w:r>
    </w:p>
    <w:p>
      <w:pPr>
        <w:spacing w:after="0" w:line="54"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3, 2018, filed with the SEC.</w:t>
      </w:r>
    </w:p>
    <w:p>
      <w:pPr>
        <w:spacing w:after="0" w:line="23" w:lineRule="exact"/>
        <w:rPr>
          <w:rFonts w:ascii="Arial" w:cs="Arial" w:eastAsia="Arial" w:hAnsi="Arial"/>
          <w:sz w:val="18"/>
          <w:szCs w:val="18"/>
          <w:b w:val="1"/>
          <w:bCs w:val="1"/>
          <w:color w:val="auto"/>
        </w:rPr>
      </w:pPr>
    </w:p>
    <w:p>
      <w:pPr>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November 3, 2018, are not necessarily indicative of the results to be expected for the full fiscal year.</w:t>
      </w:r>
    </w:p>
    <w:p>
      <w:pPr>
        <w:spacing w:after="0" w:line="20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4" w:lineRule="exact"/>
        <w:rPr>
          <w:rFonts w:ascii="Arial" w:cs="Arial" w:eastAsia="Arial" w:hAnsi="Arial"/>
          <w:sz w:val="18"/>
          <w:szCs w:val="18"/>
          <w:b w:val="1"/>
          <w:bCs w:val="1"/>
          <w:color w:val="auto"/>
        </w:rPr>
      </w:pPr>
    </w:p>
    <w:p>
      <w:pPr>
        <w:ind w:left="6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4" w:lineRule="exact"/>
        <w:rPr>
          <w:rFonts w:ascii="Arial" w:cs="Arial" w:eastAsia="Arial" w:hAnsi="Arial"/>
          <w:sz w:val="18"/>
          <w:szCs w:val="18"/>
          <w:b w:val="1"/>
          <w:bCs w:val="1"/>
          <w:color w:val="auto"/>
        </w:rPr>
      </w:pPr>
    </w:p>
    <w:p>
      <w:pPr>
        <w:ind w:left="6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November 3, 2018 and October 28, 2017, refer to the thirteen-week periods ended on those dates.</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94" w:lineRule="exact"/>
        <w:rPr>
          <w:rFonts w:ascii="Arial" w:cs="Arial" w:eastAsia="Arial" w:hAnsi="Arial"/>
          <w:sz w:val="18"/>
          <w:szCs w:val="18"/>
          <w:b w:val="1"/>
          <w:bCs w:val="1"/>
          <w:color w:val="auto"/>
        </w:rPr>
      </w:pPr>
    </w:p>
    <w:p>
      <w:pPr>
        <w:ind w:left="6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Vera Bradley product sales to Direct and Indirect customers, including amounts billed to customers for shipping fees, as well as royalties from the Company’s licensing arrangements, are included in net revenues. Costs related to shipping of product are classified in cost of sales in the Condensed Consolidated Statements of Operations.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37" w:lineRule="exact"/>
        <w:rPr>
          <w:rFonts w:ascii="Arial" w:cs="Arial" w:eastAsia="Arial" w:hAnsi="Arial"/>
          <w:sz w:val="18"/>
          <w:szCs w:val="18"/>
          <w:b w:val="1"/>
          <w:bCs w:val="1"/>
          <w:color w:val="auto"/>
        </w:rPr>
      </w:pPr>
    </w:p>
    <w:p>
      <w:pPr>
        <w:ind w:left="660" w:right="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identified in Accounting Standards Codification (“ASC”) Topic 606. These steps are: (i) identify the contract with the customer;</w:t>
      </w:r>
    </w:p>
    <w:p>
      <w:pPr>
        <w:ind w:left="920" w:hanging="264"/>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identify the performance obligations; (iii) determine the transaction price; (iv) allocate the transaction price to each performance obligation; and</w:t>
      </w:r>
    </w:p>
    <w:p>
      <w:pPr>
        <w:spacing w:after="0" w:line="32" w:lineRule="exact"/>
        <w:rPr>
          <w:rFonts w:ascii="Arial" w:cs="Arial" w:eastAsia="Arial" w:hAnsi="Arial"/>
          <w:sz w:val="16"/>
          <w:szCs w:val="16"/>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collects payment at the point of sale for full-line and factory outlet store transactions and upon shipment for e-commerce transactions.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collects payment in arrears in accordance with established payment terms for each customer within the Indirect segment.</w:t>
      </w:r>
    </w:p>
    <w:p>
      <w:pPr>
        <w:spacing w:after="0" w:line="99"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Indirect retailers based upon various contract terms and other potential product credits granted to Indirect retailers.</w:t>
      </w:r>
    </w:p>
    <w:p>
      <w:pPr>
        <w:spacing w:after="0" w:line="46"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$0.3 million and $0.9 million as of November 3, 2018 and February 3, 2018, respectively.</w:t>
      </w:r>
    </w:p>
    <w:p>
      <w:pPr>
        <w:spacing w:after="0" w:line="46"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The Company sells gift cards with no expiration dates to customers and does not charge administrative fees on unused gift cards. Gift cards issued by the Company are recorded as a liability until they are redeemed, at which point revenue is recognized. In addition, the Company recognizes revenue on estimated unredeemed gift cards based upon the historical patterns of gift card redemption. During the thirteen and thirty-nine weeks ended November 3, 2018, the Company recorded an immaterial amount of revenue related to gift card breakage. Gift card breakage is included in net revenues in the Condensed Consolidated Statements of Operations, as well as Direct segment net revenues for the current-year period. The Company did not recognize gift card breakage revenue within net revenues in the comparable prior-year period as ASC Topic 606 was adopted using the modified retrospective transition approach with an immaterial adjustment to fiscal 2019 beginning retained earnings. Refer to Note 2 herein for additional information regarding the Company’s net revenues and its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November 3, 2018 and February 3, 2018, deferred rent liability was $12.9 million and is included within long-term liabilities on the Condensed Consolidated Balance Sheets.</w:t>
      </w:r>
    </w:p>
    <w:p>
      <w:pPr>
        <w:spacing w:after="0" w:line="53" w:lineRule="exact"/>
        <w:rPr>
          <w:sz w:val="20"/>
          <w:szCs w:val="20"/>
          <w:color w:val="auto"/>
        </w:rPr>
      </w:pPr>
    </w:p>
    <w:p>
      <w:pPr>
        <w:ind w:left="660" w:right="220"/>
        <w:spacing w:after="0" w:line="255" w:lineRule="auto"/>
        <w:rPr>
          <w:sz w:val="20"/>
          <w:szCs w:val="20"/>
          <w:color w:val="auto"/>
        </w:rPr>
      </w:pPr>
      <w:r>
        <w:rPr>
          <w:rFonts w:ascii="Arial" w:cs="Arial" w:eastAsia="Arial" w:hAnsi="Arial"/>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November 3, 2018 and February 3, 2018, the deferred lease credit liability was $13.5 million and $14.6 million, respectively. Of these amounts, $2.6 million and $2.4 million is included within other accrued liabilities as of November 3, 2018 and February 3, 2018, respectively; $10.9 million and $12.2 million is included within long-term liabilities as of November 3, 2018 and February 3, 2018,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This guidance requires companies to recognize revenue in a manner that depicts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amounts that reflect the consideration to which a company expects to be entitled in exchange for those goods or services. The standard also requires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was February 4, 2018 (the beginning of the Company’s fiscal 2019).</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left="660" w:right="560"/>
        <w:spacing w:after="0" w:line="264" w:lineRule="auto"/>
        <w:rPr>
          <w:sz w:val="20"/>
          <w:szCs w:val="20"/>
          <w:color w:val="auto"/>
        </w:rPr>
      </w:pPr>
      <w:r>
        <w:rPr>
          <w:rFonts w:ascii="Arial" w:cs="Arial" w:eastAsia="Arial" w:hAnsi="Arial"/>
          <w:sz w:val="18"/>
          <w:szCs w:val="18"/>
          <w:color w:val="auto"/>
        </w:rPr>
        <w:t>The Company adopted this standard in the first quarter of fiscal 2019 using the modified retrospective method with a $0.5 million cumulative adjustment to beginning retained earnings. As a result of this adoption method, the prior-year period presented in the Company’s Condensed Consolidated Financial Statements was not recast.</w:t>
      </w:r>
    </w:p>
    <w:p>
      <w:pPr>
        <w:spacing w:after="0" w:line="46"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Company no longer adjusts revenue for shipments not yet received at each reporting period as it recognizes revenue as control is passed to the customer. It was determined that control is passed to the customer upon shipment, consistent with when legal title is passed. This accelerates the recognition of revenue at each reporting period compared to the Company’s historical practice.</w:t>
      </w:r>
    </w:p>
    <w:p>
      <w:pPr>
        <w:spacing w:after="0" w:line="46" w:lineRule="exact"/>
        <w:rPr>
          <w:sz w:val="20"/>
          <w:szCs w:val="20"/>
          <w:color w:val="auto"/>
        </w:rPr>
      </w:pPr>
    </w:p>
    <w:p>
      <w:pPr>
        <w:jc w:val="both"/>
        <w:ind w:left="660" w:right="200"/>
        <w:spacing w:after="0" w:line="312" w:lineRule="auto"/>
        <w:rPr>
          <w:sz w:val="20"/>
          <w:szCs w:val="20"/>
          <w:color w:val="auto"/>
        </w:rPr>
      </w:pPr>
      <w:r>
        <w:rPr>
          <w:rFonts w:ascii="Arial" w:cs="Arial" w:eastAsia="Arial" w:hAnsi="Arial"/>
          <w:sz w:val="16"/>
          <w:szCs w:val="16"/>
          <w:color w:val="auto"/>
        </w:rPr>
        <w:t>Revenue for unredeemed gift cards is estimated and recognized based on the historical patterns of gift card redemption. Historically, the Company recognized revenue for gift card breakage when the likelihood of the customer exercising their remaining rights became remote. The new revenue standard results in accelerated recognition of gift card breakage revenue at each reporting period compared to the Company’s historical practice.</w:t>
      </w:r>
    </w:p>
    <w:p>
      <w:pPr>
        <w:spacing w:after="0" w:line="93"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Revenue associated with contractually guaranteed minimum royalties in sales-based royalty arrangements is recognized straight-line over the remaining license period once determined that the minimum sales level will not be achieved. Historically, the Company recognized any excess of the guaranteed minimum royalty over the actual royalties earned at the end of the license period.</w:t>
      </w:r>
    </w:p>
    <w:p>
      <w:pPr>
        <w:spacing w:after="0" w:line="12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Certain liabilities for estimated product returns have been re-classified to other accrued liabilities from a contra-asset within accounts receivable, net, as of the adoption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 herein for additional information regarding the adoption of ASC 606.</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90"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In July 2018, the FASB issued ASU 2018-11 for targeted improvements, including the option of allowing entities to initially apply the new leases standard at the adoption date (February 3, 2019 for the Company) and recognize a cumulative-effect adjustment to the opening balance of retained earnings. The Company plans to adopt the standard using this adoption method and is on track to adopt the standard on February 3, 2019. In addition, the Company anticipates electing certain practical expedients and transition reliefs, including the short-term lease recognition exemption, which excludes leases with a term of 12 months or less from recognition on the balance sheet, recognizing lease components and nonlease components together as a single lease component, and the transition relief package which, among other things, includes not reassessing the lease classification or whether a contract is or contains a lease.</w:t>
      </w:r>
    </w:p>
    <w:p>
      <w:pPr>
        <w:spacing w:after="0" w:line="218" w:lineRule="exact"/>
        <w:rPr>
          <w:sz w:val="20"/>
          <w:szCs w:val="20"/>
          <w:color w:val="auto"/>
        </w:rPr>
      </w:pPr>
    </w:p>
    <w:p>
      <w:pPr>
        <w:ind w:left="660" w:right="340"/>
        <w:spacing w:after="0" w:line="264" w:lineRule="auto"/>
        <w:rPr>
          <w:sz w:val="20"/>
          <w:szCs w:val="20"/>
          <w:color w:val="auto"/>
        </w:rPr>
      </w:pPr>
      <w:r>
        <w:rPr>
          <w:rFonts w:ascii="Arial" w:cs="Arial" w:eastAsia="Arial" w:hAnsi="Arial"/>
          <w:sz w:val="18"/>
          <w:szCs w:val="18"/>
          <w:color w:val="auto"/>
        </w:rPr>
        <w:t>The Company has operating leases at all of its retail stores; therefore, the adoption of this standard will result in a material increase of assets and liabilities on the Company’s Consolidated Balance Sheets. The Company is continuing to evaluate the impact on its consolidated results of operations and cash flows.</w:t>
      </w:r>
    </w:p>
    <w:p>
      <w:pPr>
        <w:spacing w:after="0" w:line="222"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Measurements</w:t>
      </w:r>
      <w:r>
        <w:rPr>
          <w:rFonts w:ascii="Arial" w:cs="Arial" w:eastAsia="Arial" w:hAnsi="Arial"/>
          <w:sz w:val="17"/>
          <w:szCs w:val="17"/>
          <w:color w:val="auto"/>
        </w:rPr>
        <w:t xml:space="preserve">. The amendments in this update remove, modify, and add certain disclosure requirements to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Company is currently evaluating the impact of the guidance on its consolidated financial statements.</w:t>
      </w:r>
    </w:p>
    <w:p>
      <w:pPr>
        <w:spacing w:after="0" w:line="21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w:t>
      </w:r>
      <w:r>
        <w:rPr>
          <w:rFonts w:ascii="Arial" w:cs="Arial" w:eastAsia="Arial" w:hAnsi="Arial"/>
          <w:sz w:val="18"/>
          <w:szCs w:val="18"/>
          <w:color w:val="auto"/>
        </w:rPr>
        <w:t xml:space="preserve"> </w:t>
      </w:r>
      <w:r>
        <w:rPr>
          <w:rFonts w:ascii="Arial" w:cs="Arial" w:eastAsia="Arial" w:hAnsi="Arial"/>
          <w:sz w:val="18"/>
          <w:szCs w:val="18"/>
          <w:i w:val="1"/>
          <w:iCs w:val="1"/>
          <w:color w:val="auto"/>
        </w:rPr>
        <w:t>Is a Service Contract</w:t>
      </w:r>
      <w:r>
        <w:rPr>
          <w:rFonts w:ascii="Arial" w:cs="Arial" w:eastAsia="Arial" w:hAnsi="Arial"/>
          <w:sz w:val="18"/>
          <w:szCs w:val="18"/>
          <w:color w:val="auto"/>
        </w:rPr>
        <w:t>, which aligns the requirements for capitalizing or expensing implementation costs in hosting arrangements (regardless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they convey a license to the hosted software) with capitalizing or expensing implementation costs incurred to develop or obtain internal-use software. This guidance is effective for interim and annual periods beginning on or after December 15, 2019 (fiscal 2021). Early adoption is permitted, and the amendments can be adopted either retrospectively or prospectively. The Company is currently evaluating the impact of the guidance on its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94"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adopted ASC Topic 606 beginning in the first quarter of fiscal 2019 using the modified retrospective adoption method. Accordingly, disclosures herein required by the standard were excluded for the prior-year period.</w:t>
      </w:r>
    </w:p>
    <w:p>
      <w:pPr>
        <w:spacing w:after="0" w:line="170"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following tables illustrate the financial statement line items that were impacted as a result of the adoption of ASC 606 as of and for the thirteen and thirty-nine weeks ended November 3, 2018. These adjustments are a result of adjusting for shipments not yet received by customers, gift card breakage revenue, and the re-classification of certain liabilities for estimated product returns, which are further described in Note 1 herein (schedules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2"/>
              </w:rPr>
              <w:t>November 3, 2018</w:t>
            </w:r>
          </w:p>
        </w:tc>
        <w:tc>
          <w:tcPr>
            <w:tcW w:w="134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2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9"/>
              </w:rPr>
              <w:t>Balances Under Prior U.S. GAAP</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Balance Sheet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23,514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20,775</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97,226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5,642</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242,603</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4,805</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351,667</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13,744</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39,274</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63,138</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282,022</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289,882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288,529</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351,667</w:t>
            </w:r>
          </w:p>
        </w:tc>
      </w:tr>
      <w:tr>
        <w:trPr>
          <w:trHeight w:val="480"/>
        </w:trPr>
        <w:tc>
          <w:tcPr>
            <w:tcW w:w="4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3"/>
              </w:rPr>
              <w:t>Thirteen Weeks Ended</w:t>
            </w:r>
          </w:p>
        </w:tc>
        <w:tc>
          <w:tcPr>
            <w:tcW w:w="1340" w:type="dxa"/>
            <w:vAlign w:val="bottom"/>
            <w:tcBorders>
              <w:bottom w:val="single" w:sz="8" w:color="auto"/>
            </w:tcBorders>
          </w:tcPr>
          <w:p>
            <w:pPr>
              <w:spacing w:after="0"/>
              <w:rPr>
                <w:sz w:val="24"/>
                <w:szCs w:val="24"/>
                <w:color w:val="auto"/>
              </w:rPr>
            </w:pPr>
          </w:p>
        </w:tc>
      </w:tr>
      <w:tr>
        <w:trPr>
          <w:trHeight w:val="250"/>
        </w:trPr>
        <w:tc>
          <w:tcPr>
            <w:tcW w:w="4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2"/>
              </w:rPr>
              <w:t>November 3, 2018</w:t>
            </w:r>
          </w:p>
        </w:tc>
        <w:tc>
          <w:tcPr>
            <w:tcW w:w="1340" w:type="dxa"/>
            <w:vAlign w:val="bottom"/>
            <w:tcBorders>
              <w:bottom w:val="single" w:sz="8" w:color="auto"/>
            </w:tcBorders>
          </w:tcPr>
          <w:p>
            <w:pPr>
              <w:spacing w:after="0"/>
              <w:rPr>
                <w:sz w:val="21"/>
                <w:szCs w:val="21"/>
                <w:color w:val="auto"/>
              </w:rPr>
            </w:pPr>
          </w:p>
        </w:tc>
      </w:tr>
      <w:tr>
        <w:trPr>
          <w:trHeight w:val="264"/>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2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Amounts Under Prior U.S. GAAP</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Statement of Operations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97,688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98,715</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40,928</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57,787</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5,978</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6,153</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4,706</w:t>
            </w:r>
          </w:p>
        </w:tc>
      </w:tr>
      <w:tr>
        <w:trPr>
          <w:trHeight w:val="486"/>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right="368"/>
              <w:spacing w:after="0"/>
              <w:rPr>
                <w:sz w:val="20"/>
                <w:szCs w:val="20"/>
                <w:color w:val="auto"/>
              </w:rPr>
            </w:pPr>
            <w:r>
              <w:rPr>
                <w:rFonts w:ascii="Arial" w:cs="Arial" w:eastAsia="Arial" w:hAnsi="Arial"/>
                <w:sz w:val="14"/>
                <w:szCs w:val="14"/>
                <w:b w:val="1"/>
                <w:bCs w:val="1"/>
                <w:color w:val="auto"/>
                <w:w w:val="95"/>
              </w:rPr>
              <w:t>Thirty-Nine Weeks Ended</w:t>
            </w:r>
          </w:p>
        </w:tc>
        <w:tc>
          <w:tcPr>
            <w:tcW w:w="1300" w:type="dxa"/>
            <w:vAlign w:val="bottom"/>
            <w:tcBorders>
              <w:bottom w:val="single" w:sz="8" w:color="auto"/>
            </w:tcBorders>
          </w:tcPr>
          <w:p>
            <w:pPr>
              <w:spacing w:after="0"/>
              <w:rPr>
                <w:sz w:val="16"/>
                <w:szCs w:val="16"/>
                <w:color w:val="auto"/>
              </w:rPr>
            </w:pPr>
          </w:p>
        </w:tc>
      </w:tr>
      <w:tr>
        <w:trPr>
          <w:trHeight w:val="250"/>
        </w:trPr>
        <w:tc>
          <w:tcPr>
            <w:tcW w:w="4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5"/>
          </w:tcPr>
          <w:p>
            <w:pPr>
              <w:jc w:val="center"/>
              <w:ind w:right="368"/>
              <w:spacing w:after="0"/>
              <w:rPr>
                <w:sz w:val="20"/>
                <w:szCs w:val="20"/>
                <w:color w:val="auto"/>
              </w:rPr>
            </w:pPr>
            <w:r>
              <w:rPr>
                <w:rFonts w:ascii="Arial" w:cs="Arial" w:eastAsia="Arial" w:hAnsi="Arial"/>
                <w:sz w:val="14"/>
                <w:szCs w:val="14"/>
                <w:b w:val="1"/>
                <w:bCs w:val="1"/>
                <w:color w:val="auto"/>
                <w:w w:val="92"/>
              </w:rPr>
              <w:t>November 3, 2018</w:t>
            </w:r>
          </w:p>
        </w:tc>
        <w:tc>
          <w:tcPr>
            <w:tcW w:w="1300" w:type="dxa"/>
            <w:vAlign w:val="bottom"/>
            <w:tcBorders>
              <w:bottom w:val="single" w:sz="8" w:color="auto"/>
            </w:tcBorders>
          </w:tcPr>
          <w:p>
            <w:pPr>
              <w:spacing w:after="0"/>
              <w:rPr>
                <w:sz w:val="21"/>
                <w:szCs w:val="21"/>
                <w:color w:val="auto"/>
              </w:rPr>
            </w:pPr>
          </w:p>
        </w:tc>
      </w:tr>
      <w:tr>
        <w:trPr>
          <w:trHeight w:val="264"/>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Reported</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22"/>
                <w:szCs w:val="22"/>
                <w:color w:val="auto"/>
              </w:rPr>
            </w:pPr>
          </w:p>
        </w:tc>
        <w:tc>
          <w:tcPr>
            <w:tcW w:w="2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9"/>
              </w:rPr>
              <w:t>Amounts Under Prior U.S. GAAP</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Statement of Operations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297,904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828"/>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296,017</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126,396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125,696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2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171,508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170,321</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16,124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14,937</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11,239</w:t>
            </w:r>
          </w:p>
        </w:tc>
      </w:tr>
      <w:tr>
        <w:trPr>
          <w:trHeight w:val="507"/>
        </w:trPr>
        <w:tc>
          <w:tcPr>
            <w:tcW w:w="4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b w:val="1"/>
                <w:bCs w:val="1"/>
                <w:color w:val="auto"/>
                <w:w w:val="94"/>
              </w:rPr>
              <w:t>Thirty-Nine Weeks Ended</w:t>
            </w:r>
          </w:p>
        </w:tc>
        <w:tc>
          <w:tcPr>
            <w:tcW w:w="1300" w:type="dxa"/>
            <w:vAlign w:val="bottom"/>
            <w:tcBorders>
              <w:bottom w:val="single" w:sz="8" w:color="auto"/>
            </w:tcBorders>
          </w:tcPr>
          <w:p>
            <w:pPr>
              <w:spacing w:after="0"/>
              <w:rPr>
                <w:sz w:val="24"/>
                <w:szCs w:val="24"/>
                <w:color w:val="auto"/>
              </w:rPr>
            </w:pPr>
          </w:p>
        </w:tc>
      </w:tr>
      <w:tr>
        <w:trPr>
          <w:trHeight w:val="250"/>
        </w:trPr>
        <w:tc>
          <w:tcPr>
            <w:tcW w:w="4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5"/>
          </w:tcPr>
          <w:p>
            <w:pPr>
              <w:jc w:val="center"/>
              <w:ind w:right="368"/>
              <w:spacing w:after="0"/>
              <w:rPr>
                <w:sz w:val="20"/>
                <w:szCs w:val="20"/>
                <w:color w:val="auto"/>
              </w:rPr>
            </w:pPr>
            <w:r>
              <w:rPr>
                <w:rFonts w:ascii="Arial" w:cs="Arial" w:eastAsia="Arial" w:hAnsi="Arial"/>
                <w:sz w:val="14"/>
                <w:szCs w:val="14"/>
                <w:b w:val="1"/>
                <w:bCs w:val="1"/>
                <w:color w:val="auto"/>
                <w:w w:val="92"/>
              </w:rPr>
              <w:t>November 3, 2018</w:t>
            </w:r>
          </w:p>
        </w:tc>
        <w:tc>
          <w:tcPr>
            <w:tcW w:w="1300" w:type="dxa"/>
            <w:vAlign w:val="bottom"/>
            <w:tcBorders>
              <w:bottom w:val="single" w:sz="8" w:color="auto"/>
            </w:tcBorders>
          </w:tcPr>
          <w:p>
            <w:pPr>
              <w:spacing w:after="0"/>
              <w:rPr>
                <w:sz w:val="21"/>
                <w:szCs w:val="21"/>
                <w:color w:val="auto"/>
              </w:rPr>
            </w:pPr>
          </w:p>
        </w:tc>
      </w:tr>
      <w:tr>
        <w:trPr>
          <w:trHeight w:val="264"/>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Reported</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22"/>
                <w:szCs w:val="22"/>
                <w:color w:val="auto"/>
              </w:rPr>
            </w:pPr>
          </w:p>
        </w:tc>
        <w:tc>
          <w:tcPr>
            <w:tcW w:w="2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Amounts Under Prior U.S. GAAP</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Statement of Cash Flows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11,239</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Adjustments to reconcile net income (loss) to net cash</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provided by operating activities: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(9,388)</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(3,632)</w:t>
            </w:r>
          </w:p>
        </w:tc>
      </w:tr>
    </w:tbl>
    <w:p>
      <w:pPr>
        <w:spacing w:after="0" w:line="200" w:lineRule="exact"/>
        <w:rPr>
          <w:sz w:val="20"/>
          <w:szCs w:val="20"/>
          <w:color w:val="auto"/>
        </w:rPr>
      </w:pPr>
    </w:p>
    <w:p>
      <w:pPr>
        <w:sectPr>
          <w:pgSz w:w="11900" w:h="16838" w:orient="portrait"/>
          <w:cols w:equalWidth="0" w:num="1">
            <w:col w:w="10640"/>
          </w:cols>
          <w:pgMar w:left="24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40"/>
          </w:cols>
          <w:pgMar w:left="240" w:top="121" w:right="10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presents the Company's net revenues disaggregated by product category for the thirteen and thirty-nine weeks ended November 3,</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2018 (in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Thirteen Weeks Ended</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50"/>
        </w:trPr>
        <w:tc>
          <w:tcPr>
            <w:tcW w:w="3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November 3, 2018</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Direct Segment</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Indirect Segment</w:t>
            </w:r>
          </w:p>
        </w:tc>
        <w:tc>
          <w:tcPr>
            <w:tcW w:w="3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Bags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31,059</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11,224</w:t>
            </w:r>
          </w:p>
        </w:tc>
        <w:tc>
          <w:tcPr>
            <w:tcW w:w="3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42,283</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18,425</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24,255</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16,932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4,488</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21,420</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5,369</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6,321</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1,674</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1,735</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3,409</w:t>
            </w:r>
          </w:p>
        </w:tc>
      </w:tr>
      <w:tr>
        <w:trPr>
          <w:trHeight w:val="27"/>
        </w:trPr>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73,459</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24,229</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97,688</w:t>
            </w: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stationery, apparel/footwear, freight, and gift card breakage.</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and merchandising.</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63" w:lineRule="exact"/>
        <w:rPr>
          <w:rFonts w:ascii="Arial" w:cs="Arial" w:eastAsia="Arial" w:hAnsi="Arial"/>
          <w:sz w:val="18"/>
          <w:szCs w:val="18"/>
          <w:color w:val="auto"/>
        </w:rPr>
      </w:pPr>
    </w:p>
    <w:p>
      <w:pPr>
        <w:ind w:left="680" w:right="980" w:firstLine="3"/>
        <w:spacing w:after="0" w:line="277"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$23.2 million of net revenues related to product sales recognized at a point in time and $1.0 million of net revenues related to sales-based royalties recognized over time.</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8"/>
              </w:rPr>
              <w:t>Thirty-Nine Weeks Ended</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50"/>
        </w:trPr>
        <w:tc>
          <w:tcPr>
            <w:tcW w:w="3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9"/>
              </w:rPr>
              <w:t>November 3, 2018</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Direct Segment</w:t>
            </w: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Indirect Segment</w:t>
            </w:r>
          </w:p>
        </w:tc>
        <w:tc>
          <w:tcPr>
            <w:tcW w:w="3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Bags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95,853</w:t>
            </w:r>
          </w:p>
        </w:tc>
        <w:tc>
          <w:tcPr>
            <w:tcW w:w="3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33,767</w:t>
            </w:r>
          </w:p>
        </w:tc>
        <w:tc>
          <w:tcPr>
            <w:tcW w:w="3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129,620</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59,607</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14,880</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74,487</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52,872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13,071</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65,943</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15,683</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17,471</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5,997</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4,386</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10,383</w:t>
            </w:r>
          </w:p>
        </w:tc>
      </w:tr>
      <w:tr>
        <w:trPr>
          <w:trHeight w:val="27"/>
        </w:trPr>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230,012</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67,892</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297,904</w:t>
            </w: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940" w:hanging="25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stationery, apparel/footwear, freight, and gift card breakage.</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and merchandising.</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63" w:lineRule="exact"/>
        <w:rPr>
          <w:rFonts w:ascii="Arial" w:cs="Arial" w:eastAsia="Arial" w:hAnsi="Arial"/>
          <w:sz w:val="18"/>
          <w:szCs w:val="18"/>
          <w:color w:val="auto"/>
        </w:rPr>
      </w:pPr>
    </w:p>
    <w:p>
      <w:pPr>
        <w:ind w:left="680" w:right="980" w:firstLine="3"/>
        <w:spacing w:after="0" w:line="277"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$65.1 million of net revenues related to product sales recognized at a point in time and $2.8 million of net revenues related to sales-based royalties recognized over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94"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Contract liabilities as of November 3, 2018, consisted of $1.2 million of unearned revenue related to unredeemed gift cards and an immaterial amount of unearned revenue for pre-payments of royalties in certain of the Company’s licensing arrangements. These contract liabilities are recognized within other accrued liabilities on the Company’s Condensed Consolidated Balance Sheets. The Company did not have contract assets as of November 3, 2018.</w:t>
      </w:r>
    </w:p>
    <w:p>
      <w:pPr>
        <w:spacing w:after="0" w:line="52"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The balance for accounts receivable from contracts with customers, net of allowances, as of November 3, 2018 was $19.8 million, which is recognized within accounts receivable, net, on the Company’s Condensed Consolidated Balance Sheets. The provision for doubtful accounts was $0.2 million for the thirty-nine weeks ended November 3, 2018.</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1"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9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performance obligations for the Direct and Indirect segments include the promise to transfer distinct goods (or a bundle of distinct goods). The Indirect segment also includes the right to access the Company’s intellectual property (“IP”).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November 3,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Judgments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Sales</w:t>
      </w:r>
    </w:p>
    <w:p>
      <w:pPr>
        <w:spacing w:after="0" w:line="90"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In the Company’s retail stores (recognized within the Direct segment), control is transferred and net revenue is recognized at the point of sale. Product shipments for the Company’s e-commerce channel (recognized within the Direct segment) and shipments to its Indirect retailers (recognized within the Indirect segment) are generally shipped Free on Board (“FOB”) shipping point typically from its distribution center in Roanoke, Indiana, and net revenue is recognized upon shipment consistent with when control is transferred to the customer. Upon shipment, the customer has the right to direct the use of, and obtain substantially all of the benefits from, the product.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Licensing Royalties</w:t>
      </w:r>
    </w:p>
    <w:p>
      <w:pPr>
        <w:spacing w:after="0" w:line="90" w:lineRule="exact"/>
        <w:rPr>
          <w:sz w:val="20"/>
          <w:szCs w:val="20"/>
          <w:color w:val="auto"/>
        </w:rPr>
      </w:pPr>
    </w:p>
    <w:p>
      <w:pPr>
        <w:jc w:val="both"/>
        <w:ind w:left="660" w:right="120"/>
        <w:spacing w:after="0" w:line="259" w:lineRule="auto"/>
        <w:rPr>
          <w:sz w:val="20"/>
          <w:szCs w:val="20"/>
          <w:color w:val="auto"/>
        </w:rPr>
      </w:pPr>
      <w:r>
        <w:rPr>
          <w:rFonts w:ascii="Arial" w:cs="Arial" w:eastAsia="Arial" w:hAnsi="Arial"/>
          <w:sz w:val="18"/>
          <w:szCs w:val="18"/>
          <w:color w:val="auto"/>
        </w:rPr>
        <w:t>The Company grants rights to access its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Indirect segment net revenues.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and Amounts Allocated to Performance Obligations</w:t>
      </w:r>
    </w:p>
    <w:p>
      <w:pPr>
        <w:spacing w:after="0" w:line="90" w:lineRule="exact"/>
        <w:rPr>
          <w:sz w:val="20"/>
          <w:szCs w:val="20"/>
          <w:color w:val="auto"/>
        </w:rPr>
      </w:pPr>
    </w:p>
    <w:p>
      <w:pPr>
        <w:ind w:left="660" w:right="240"/>
        <w:spacing w:after="0" w:line="257" w:lineRule="auto"/>
        <w:rPr>
          <w:sz w:val="20"/>
          <w:szCs w:val="20"/>
          <w:color w:val="auto"/>
        </w:rPr>
      </w:pPr>
      <w:r>
        <w:rPr>
          <w:rFonts w:ascii="Arial" w:cs="Arial" w:eastAsia="Arial" w:hAnsi="Arial"/>
          <w:sz w:val="18"/>
          <w:szCs w:val="18"/>
          <w:color w:val="auto"/>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Costs</w:t>
      </w:r>
    </w:p>
    <w:p>
      <w:pPr>
        <w:spacing w:after="0" w:line="9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Practical Expedients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Remaining Performance Obligations</w:t>
      </w:r>
    </w:p>
    <w:p>
      <w:pPr>
        <w:spacing w:after="0" w:line="9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does not disclose the remaining performance obligations for contracts with an original expected duration of one year or less or for contracts which it has the right to invoice.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Financing Components</w:t>
      </w:r>
    </w:p>
    <w:p>
      <w:pPr>
        <w:spacing w:after="0" w:line="9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660" w:right="1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20" w:type="dxa"/>
            <w:vAlign w:val="bottom"/>
          </w:tcPr>
          <w:p>
            <w:pPr>
              <w:spacing w:after="0"/>
              <w:rPr>
                <w:sz w:val="13"/>
                <w:szCs w:val="13"/>
                <w:color w:val="auto"/>
              </w:rPr>
            </w:pPr>
          </w:p>
        </w:tc>
        <w:tc>
          <w:tcPr>
            <w:tcW w:w="11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November 3,</w:t>
            </w:r>
          </w:p>
        </w:tc>
        <w:tc>
          <w:tcPr>
            <w:tcW w:w="16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October 28,</w:t>
            </w:r>
          </w:p>
        </w:tc>
        <w:tc>
          <w:tcPr>
            <w:tcW w:w="16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November 3,</w:t>
            </w:r>
          </w:p>
        </w:tc>
        <w:tc>
          <w:tcPr>
            <w:tcW w:w="180" w:type="dxa"/>
            <w:vAlign w:val="bottom"/>
          </w:tcPr>
          <w:p>
            <w:pPr>
              <w:spacing w:after="0"/>
              <w:rPr>
                <w:sz w:val="13"/>
                <w:szCs w:val="13"/>
                <w:color w:val="auto"/>
              </w:rPr>
            </w:pPr>
          </w:p>
        </w:tc>
        <w:tc>
          <w:tcPr>
            <w:tcW w:w="104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8"/>
              </w:rPr>
              <w:t>October 28,</w:t>
            </w:r>
          </w:p>
        </w:tc>
      </w:tr>
      <w:tr>
        <w:trPr>
          <w:trHeight w:val="192"/>
        </w:trPr>
        <w:tc>
          <w:tcPr>
            <w:tcW w:w="5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12,138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(1,497)</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35,885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35,431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36,081</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35,496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35,959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35,654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36,081</w:t>
            </w:r>
          </w:p>
        </w:tc>
      </w:tr>
      <w:tr>
        <w:trPr>
          <w:trHeight w:val="67"/>
        </w:trPr>
        <w:tc>
          <w:tcPr>
            <w:tcW w:w="5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Net income (loss)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5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For the thirteen weeks ended November 3, 2018 and October 28, 2017, and the thirty-nine weeks ended November 3, 2018, there were an immaterial number of additional shares issuable upon the vesting of restricted stock units that were excluded from the diluted share calculations because they were anti-dilutive.</w:t>
      </w:r>
    </w:p>
    <w:p>
      <w:pPr>
        <w:spacing w:after="0" w:line="127"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the thirty-nine weeks ended October 28, 2017, all potential common shares were excluded from the diluted share calculation because they were anti-dilutive due to the net loss in the period.</w:t>
      </w:r>
    </w:p>
    <w:p>
      <w:pPr>
        <w:spacing w:after="0" w:line="1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4" w:lineRule="exact"/>
        <w:rPr>
          <w:rFonts w:ascii="Arial" w:cs="Arial" w:eastAsia="Arial" w:hAnsi="Arial"/>
          <w:sz w:val="18"/>
          <w:szCs w:val="18"/>
          <w:b w:val="1"/>
          <w:bCs w:val="1"/>
          <w:color w:val="auto"/>
        </w:rPr>
      </w:pPr>
    </w:p>
    <w:p>
      <w:pPr>
        <w:ind w:left="6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340"/>
        <w:spacing w:after="0" w:line="308" w:lineRule="auto"/>
        <w:rPr>
          <w:sz w:val="20"/>
          <w:szCs w:val="20"/>
          <w:color w:val="auto"/>
        </w:rPr>
      </w:pPr>
      <w:r>
        <w:rPr>
          <w:rFonts w:ascii="Arial" w:cs="Arial" w:eastAsia="Arial" w:hAnsi="Arial"/>
          <w:sz w:val="17"/>
          <w:szCs w:val="17"/>
          <w:color w:val="auto"/>
        </w:rPr>
        <w:t>The carrying amounts reflected on the Condensed Consolidated Balance Sheets for cash and cash equivalents, accounts receivable, other current assets, and accounts payable as of November 3, 2018 and February 3, 2018,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fair value measurements of the Company's investments as of November 3, 2018 and February 3, 2018 (in thousands):</w:t>
      </w:r>
    </w:p>
    <w:p>
      <w:pPr>
        <w:spacing w:after="0" w:line="33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Level 3</w:t>
            </w:r>
          </w:p>
        </w:tc>
      </w:tr>
      <w:tr>
        <w:trPr>
          <w:trHeight w:val="152"/>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November 3,</w:t>
            </w:r>
          </w:p>
        </w:tc>
        <w:tc>
          <w:tcPr>
            <w:tcW w:w="14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November 3,</w:t>
            </w: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3"/>
                <w:szCs w:val="13"/>
                <w:color w:val="auto"/>
              </w:rPr>
            </w:pPr>
          </w:p>
        </w:tc>
        <w:tc>
          <w:tcPr>
            <w:tcW w:w="11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November 3,</w:t>
            </w:r>
          </w:p>
        </w:tc>
        <w:tc>
          <w:tcPr>
            <w:tcW w:w="8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February 3,</w:t>
            </w:r>
          </w:p>
        </w:tc>
      </w:tr>
      <w:tr>
        <w:trPr>
          <w:trHeight w:val="192"/>
        </w:trPr>
        <w:tc>
          <w:tcPr>
            <w:tcW w:w="3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Cash equivalents</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Certificate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U.S. corporate debt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asset-backed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Non-U.S. asset-backed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680" w:right="1040" w:firstLine="3"/>
        <w:spacing w:after="0" w:line="342" w:lineRule="auto"/>
        <w:tabs>
          <w:tab w:leader="none" w:pos="9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Cash equivalents include commercial paper, a money market fund, and municipal securities that have a maturity of three months or less at the date of purchase. Due to their short maturity, the Company believes the carrying value approximates fair value.</w:t>
      </w:r>
    </w:p>
    <w:p>
      <w:pPr>
        <w:spacing w:after="0" w:line="16" w:lineRule="exact"/>
        <w:rPr>
          <w:sz w:val="20"/>
          <w:szCs w:val="20"/>
          <w:color w:val="auto"/>
        </w:rPr>
      </w:pPr>
    </w:p>
    <w:p>
      <w:pPr>
        <w:ind w:left="660" w:right="620"/>
        <w:spacing w:after="0" w:line="342" w:lineRule="auto"/>
        <w:rPr>
          <w:sz w:val="20"/>
          <w:szCs w:val="20"/>
          <w:color w:val="auto"/>
        </w:rPr>
      </w:pPr>
      <w:r>
        <w:rPr>
          <w:rFonts w:ascii="Arial" w:cs="Arial" w:eastAsia="Arial" w:hAnsi="Arial"/>
          <w:sz w:val="16"/>
          <w:szCs w:val="16"/>
          <w:color w:val="auto"/>
        </w:rPr>
        <w:t>The Company has certain assets that are measured on a non-recurring basis under circumstances and events described in Note 12 herein. The categorization of the framework to price these assets are within Level 3 due to the subjective nature of unobservable inputs.</w:t>
      </w:r>
    </w:p>
    <w:p>
      <w:pPr>
        <w:spacing w:after="0" w:line="20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September 7, 2018, VBD, a wholly-owned subsidiary of the Company, entered into an asset-based revolving Credit Agreement (the “New Credit Agreement”) among VBD, JPMorgan Chase Bank, N.A., as administrative agent, and the lenders from time to time party thereto. The New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New Credit Agreement also contains an option for VBD to arrange with lenders to increase the aggregate principal amount by up to $25.0 million.</w:t>
      </w:r>
    </w:p>
    <w:p>
      <w:pPr>
        <w:spacing w:after="0" w:line="54" w:lineRule="exact"/>
        <w:rPr>
          <w:rFonts w:ascii="Arial" w:cs="Arial" w:eastAsia="Arial" w:hAnsi="Arial"/>
          <w:sz w:val="18"/>
          <w:szCs w:val="18"/>
          <w:b w:val="1"/>
          <w:bCs w:val="1"/>
          <w:color w:val="auto"/>
        </w:rPr>
      </w:pPr>
    </w:p>
    <w:p>
      <w:pPr>
        <w:ind w:left="660" w:right="1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New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New Credit Agreement also requires VBD to pay a commitment fee for the unused portion of the revolving facility of up to 0.20% per annum.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VBD’s obligations under the New Credit Agreement are guaranteed by the Company and the Named Subsidiaries. The obligations of VBD under the New Credit Agreement are secured by substantially all of the respective assets of VBD, the Company, and the Named Subsidiaries and are further secured by the equity interests in VBD and the Named Subsidiaries.</w:t>
      </w:r>
    </w:p>
    <w:p>
      <w:pPr>
        <w:spacing w:after="0" w:line="46" w:lineRule="exact"/>
        <w:rPr>
          <w:sz w:val="20"/>
          <w:szCs w:val="20"/>
          <w:color w:val="auto"/>
        </w:rPr>
      </w:pPr>
    </w:p>
    <w:p>
      <w:pPr>
        <w:ind w:left="660" w:right="340"/>
        <w:spacing w:after="0" w:line="297" w:lineRule="auto"/>
        <w:rPr>
          <w:sz w:val="20"/>
          <w:szCs w:val="20"/>
          <w:color w:val="auto"/>
        </w:rPr>
      </w:pPr>
      <w:r>
        <w:rPr>
          <w:rFonts w:ascii="Arial" w:cs="Arial" w:eastAsia="Arial" w:hAnsi="Arial"/>
          <w:sz w:val="16"/>
          <w:szCs w:val="16"/>
          <w:color w:val="auto"/>
        </w:rPr>
        <w:t>The New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New Credit Agreement.</w:t>
      </w:r>
    </w:p>
    <w:p>
      <w:pPr>
        <w:spacing w:after="0" w:line="23"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The New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New Credit Agreement.</w:t>
      </w:r>
    </w:p>
    <w:p>
      <w:pPr>
        <w:spacing w:after="0" w:line="5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New Credit Agreement contains customary events of default, including, among other things: (i) the failure to pay any principal, interest, or other fees under the New Credit Agreement; (ii) the making of any materially incorrect representation or warranty; (iii) the failure to observe or perform any covenant, condition, or agreement in the New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New Credit Agreement).</w:t>
      </w:r>
    </w:p>
    <w:p>
      <w:pPr>
        <w:spacing w:after="0" w:line="58"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Any commitments made under the New Credit Agreement mature on September 7, 2023. There were no material fees or expenses associated with the New Credit Agreement.</w:t>
      </w:r>
    </w:p>
    <w:p>
      <w:pPr>
        <w:spacing w:after="0" w:line="35"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Prior to September 7, 2018, VBD was party to the Second Amended and Restated Credit Agreement (the “Prior Credit Agreement”), which was entered into on July 15, 2015. The Prior Credit Agreement was among VBD, the lenders from time to time party thereto, JPMorgan Chase Bank, National Association, as administrative agent; Wells Fargo Bank, National Association, as syndication agent; and KeyBank National Association, as documentation agent. The Prior Credit Agreement provided for certain credit facilities to VBD in an aggregate principal amount not to initially exceed $125.0 million, the proceeds of which could be used for general corporate purposes of VBD and its subsidiaries, including but not limited to Vera Bradley International, LLC and Vera Bradley Sales, LLC. The Prior Credit Agreement was terminated concurrently with entering into the New Credit Agreement.</w:t>
      </w:r>
    </w:p>
    <w:p>
      <w:pPr>
        <w:spacing w:after="0" w:line="54"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As of November 3, 2018 and February 3, 2018, the Company had no borrowings outstanding and availability of $75.0 million and $125.0 million under its New Credit Agreement and Prior Credit Agreement, respectively.</w:t>
      </w:r>
    </w:p>
    <w:p>
      <w:pPr>
        <w:spacing w:after="0" w:line="1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660"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rFonts w:ascii="Arial" w:cs="Arial" w:eastAsia="Arial" w:hAnsi="Arial"/>
          <w:sz w:val="18"/>
          <w:szCs w:val="18"/>
          <w:b w:val="1"/>
          <w:bCs w:val="1"/>
          <w:color w:val="auto"/>
        </w:rPr>
      </w:pPr>
    </w:p>
    <w:p>
      <w:pPr>
        <w:ind w:left="660"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Tax Cuts and Jobs Act (the “Tax Act”) was signed into law. The Tax Act includes, among other things, a corporate tax rate decrease from 35% to 21% effective for tax years beginning after December 31, 2017, bonus depreciation that allows for full expensing of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w:t>
      </w:r>
    </w:p>
    <w:p>
      <w:pPr>
        <w:spacing w:after="0" w:line="19" w:lineRule="exact"/>
        <w:rPr>
          <w:rFonts w:ascii="Arial" w:cs="Arial" w:eastAsia="Arial" w:hAnsi="Arial"/>
          <w:sz w:val="18"/>
          <w:szCs w:val="18"/>
          <w:b w:val="1"/>
          <w:bCs w:val="1"/>
          <w:color w:val="auto"/>
        </w:rPr>
      </w:pPr>
    </w:p>
    <w:p>
      <w:pPr>
        <w:ind w:left="660" w:right="3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Act. Consistent with this guidance, any resulting changes to the provisional estimates and amounts not yet estimated will be recognized as an adjustment to tax expense in the reporting period that the amounts are determined.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auto"/>
        </w:rPr>
        <w:t>The provisional amounts recognized as a result of the Tax Act may differ due to, among other things, additional analysis, changes in interpretations and assumptions that the Company has made, additional regulatory guidance issued, and any additional actions the Company may take as a result of the Tax Act. Subsequent to the end of the third quarter of fiscal 2019, the Company filed its fiscal 2018 federal income tax return. The Company does not anticipate making adjustments that would materially affect its financial position, results of operations, or effective tax rate.</w:t>
      </w:r>
    </w:p>
    <w:p>
      <w:pPr>
        <w:spacing w:after="0" w:line="100"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effective tax rate for the thirteen weeks ended November 3, 2018, was 23.4%, compared to 38.5% for the thirteen weeks ended October 28, 2017. The year-over-year effective tax rate decrease was primarily due to a decreased annual effective tax rate as a result of the reduction in the U.S. corporate income tax rate.</w:t>
      </w:r>
    </w:p>
    <w:p>
      <w:pPr>
        <w:spacing w:after="0" w:line="46"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The effective tax rate for the thirty-nine weeks ended November 3, 2018, was 24.7%, compared to (298.1)% for the thirty-nine weeks ended October 28, 2017. The year-over-year effective tax rate change was primarily due to the relative impact of discrete items in the current-year period compared to the prior-year period, primarily as a result of tax shortfalls from stock-based compensation, and a decreased annual effective tax rate as a result of the reduction in the U.S. corporate income tax rate.</w:t>
      </w:r>
    </w:p>
    <w:p>
      <w:pPr>
        <w:spacing w:after="0" w:line="18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6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3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171" w:lineRule="exact"/>
        <w:rPr>
          <w:rFonts w:ascii="Arial" w:cs="Arial" w:eastAsia="Arial" w:hAnsi="Arial"/>
          <w:sz w:val="18"/>
          <w:szCs w:val="18"/>
          <w:b w:val="1"/>
          <w:bCs w:val="1"/>
          <w:color w:val="auto"/>
        </w:rPr>
      </w:pPr>
    </w:p>
    <w:p>
      <w:pPr>
        <w:ind w:left="6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thirteen weeks ended November 3, 2018, the Company granted 15,948 time-based restricted stock units with an aggregate fair value of $0.2 million to certain employees under the 2010 Equity and Incentive Plan compared to a total of 851 time-based restricted stock units with an aggregate fair value of $7 thousand granted in the same period of the prior year.</w:t>
      </w:r>
    </w:p>
    <w:p>
      <w:pPr>
        <w:spacing w:after="0" w:line="127" w:lineRule="exact"/>
        <w:rPr>
          <w:rFonts w:ascii="Arial" w:cs="Arial" w:eastAsia="Arial" w:hAnsi="Arial"/>
          <w:sz w:val="18"/>
          <w:szCs w:val="18"/>
          <w:b w:val="1"/>
          <w:bCs w:val="1"/>
          <w:color w:val="auto"/>
        </w:rPr>
      </w:pPr>
    </w:p>
    <w:p>
      <w:pPr>
        <w:ind w:left="66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During the thirty-nine weeks ended November 3, 2018, the Company granted 491,162 time-based and performance-based restricted stock units with an aggregate fair value of $5.5 million to certain employees and non-employee directors under the 2010 Equity and Incentive Plan compared to a total of 507,423 time-based and performance-based restricted stock units with an aggregate fair value of $4.7 million granted in the same period of the prior year. The Company determined the fair value of the awards based on the closing price of the Company’s common stock on the grant date.</w:t>
      </w:r>
    </w:p>
    <w:p>
      <w:pPr>
        <w:spacing w:after="0" w:line="100"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2" w:lineRule="exact"/>
        <w:rPr>
          <w:rFonts w:ascii="Arial" w:cs="Arial" w:eastAsia="Arial" w:hAnsi="Arial"/>
          <w:sz w:val="18"/>
          <w:szCs w:val="18"/>
          <w:b w:val="1"/>
          <w:bCs w:val="1"/>
          <w:color w:val="auto"/>
        </w:rPr>
      </w:pPr>
    </w:p>
    <w:p>
      <w:pPr>
        <w:ind w:left="6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thirty-nine weeks ended November 3, 2018 (units in thousands):</w:t>
      </w: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3, 2018</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November 3, 2018</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476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As of November 3, 2018, there was $5.5 million of total unrecognized compensation cost, net of estimated forfeitures, related to nonvested restricted stock units. That cost is expected to be recognized over a weighted-average period of 1.6 years, subject to meeting performance conditions.</w:t>
      </w:r>
    </w:p>
    <w:p>
      <w:pPr>
        <w:spacing w:after="0" w:line="120" w:lineRule="exact"/>
        <w:rPr>
          <w:sz w:val="20"/>
          <w:szCs w:val="20"/>
          <w:color w:val="auto"/>
        </w:rPr>
      </w:pPr>
    </w:p>
    <w:p>
      <w:pPr>
        <w:ind w:left="660" w:right="8200" w:hanging="652"/>
        <w:spacing w:after="0" w:line="346"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Payment Card Incident </w:t>
      </w:r>
      <w:r>
        <w:rPr>
          <w:rFonts w:ascii="Arial" w:cs="Arial" w:eastAsia="Arial" w:hAnsi="Arial"/>
          <w:sz w:val="18"/>
          <w:szCs w:val="18"/>
          <w:i w:val="1"/>
          <w:iCs w:val="1"/>
          <w:color w:val="auto"/>
        </w:rPr>
        <w:t>Description of Event</w:t>
      </w: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September 15, 2016, the Company received information from law enforcement regarding a potential data security issue related to its retail store network. Findings from the investigation showed unauthorized access to the Company's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4" w:lineRule="exact"/>
        <w:rPr>
          <w:rFonts w:ascii="Arial" w:cs="Arial" w:eastAsia="Arial" w:hAnsi="Arial"/>
          <w:sz w:val="18"/>
          <w:szCs w:val="18"/>
          <w:b w:val="1"/>
          <w:bCs w:val="1"/>
          <w:color w:val="auto"/>
        </w:rPr>
      </w:pPr>
    </w:p>
    <w:p>
      <w:pPr>
        <w:ind w:left="66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timely resolved this incident and continues to work with a computer security firm to further strengthen the security of its systems to help prevent events of this nature from happening in the future. The Company promptly notified the payment card networks so that the banks that issue payment cards could initiate heightened monitoring on the affected cards. Claims have been received from payment card networks for this incident and are all expected to be covered by the Company's insurance, as described below. The Company also received inquiries from the states of New Jersey and Indiana regarding the incident. The Company continues to be in discussions with Indiana regarding the incident.</w:t>
      </w:r>
    </w:p>
    <w:p>
      <w:pPr>
        <w:spacing w:after="0" w:line="18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Expenses Incurred and Amounts Accrued</w:t>
      </w:r>
    </w:p>
    <w:p>
      <w:pPr>
        <w:spacing w:after="0" w:line="90" w:lineRule="exact"/>
        <w:rPr>
          <w:rFonts w:ascii="Arial" w:cs="Arial" w:eastAsia="Arial" w:hAnsi="Arial"/>
          <w:sz w:val="18"/>
          <w:szCs w:val="18"/>
          <w:b w:val="1"/>
          <w:bCs w:val="1"/>
          <w:color w:val="auto"/>
        </w:rPr>
      </w:pPr>
    </w:p>
    <w:p>
      <w:pPr>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During the thirteen and thirty-nine weeks ended November 3, 2018 and October 28, 2017, the Company recorded an immaterial amount of expense relating to remediation activities as a result of the Payment Card Incident. There were no incremental expenses associated with the claims received in fiscal 2019 or fiscal 2018 as they were, or are expected to be, reimbursed under the Company's insurance coverage.</w:t>
      </w:r>
    </w:p>
    <w:p>
      <w:pPr>
        <w:spacing w:after="0" w:line="19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Future Costs</w:t>
      </w:r>
    </w:p>
    <w:p>
      <w:pPr>
        <w:spacing w:after="0" w:line="90"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does not believe that the amounts to be paid with respect to any remaining matters will have a material adverse effect on its financial condition and operating results taken as a whole.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maintains $15.0 million of cyber security insurance coverage above a $0.1 million deductible.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Commitments and Contingencies</w:t>
      </w:r>
    </w:p>
    <w:p>
      <w:pPr>
        <w:spacing w:after="0" w:line="94"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Company is also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4" w:lineRule="exact"/>
        <w:rPr>
          <w:rFonts w:ascii="Arial" w:cs="Arial" w:eastAsia="Arial" w:hAnsi="Arial"/>
          <w:sz w:val="18"/>
          <w:szCs w:val="18"/>
          <w:b w:val="1"/>
          <w:bCs w:val="1"/>
          <w:color w:val="auto"/>
        </w:rPr>
      </w:pPr>
    </w:p>
    <w:p>
      <w:pPr>
        <w:ind w:left="6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December 8, 2015, the Company's board of directors approved a share repurchase program (the “2015 Share Repurchase Program”) authorizing up to $50.0 million of repurchases of shares of the Company's common stock. The initial term of the 2015 Share Repurchase Program expired on December 31, 2017. On November 30, 2017, the Company’s board of directors authorized the Company to extend the 2015 Share Repurchase Program during an open window period until December 31, 2018. On November 29, 2018, subsequent to the end of the Company's third quarter, the Company's board of directors approved a new share repurchase plan. Refer to Note 14 herein for additional details.</w:t>
      </w:r>
    </w:p>
    <w:p>
      <w:pPr>
        <w:spacing w:after="0" w:line="23" w:lineRule="exact"/>
        <w:rPr>
          <w:rFonts w:ascii="Arial" w:cs="Arial" w:eastAsia="Arial" w:hAnsi="Arial"/>
          <w:sz w:val="18"/>
          <w:szCs w:val="18"/>
          <w:b w:val="1"/>
          <w:bCs w:val="1"/>
          <w:color w:val="auto"/>
        </w:rPr>
      </w:pPr>
    </w:p>
    <w:p>
      <w:pPr>
        <w:ind w:left="6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purchased 531,665 shares at an average price of $14.15 per share, excluding commissions, for an aggregate amount of $7.5 million during the thirteen weeks ended November 3, 2018, under the 2015 Share Repurchase Program.</w:t>
      </w:r>
    </w:p>
    <w:p>
      <w:pPr>
        <w:spacing w:after="0" w:line="116"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purchased 783,866 shares at an average price of $14.18 per share, excluding commissions, for an aggregate amount of $11.1 million during the thirty-nine weeks ended November 3, 2018, under the 2015 Share Repurchase Program. As of November 3, 2018, there was $2.3 million remaining available to repurchase shares of the Company's common stock under the 2015 Share Repurchase Program, which was fully exhausted subsequent to the end of the third quarter.</w:t>
      </w:r>
    </w:p>
    <w:p>
      <w:pPr>
        <w:spacing w:after="0" w:line="132" w:lineRule="exact"/>
        <w:rPr>
          <w:rFonts w:ascii="Arial" w:cs="Arial" w:eastAsia="Arial" w:hAnsi="Arial"/>
          <w:sz w:val="18"/>
          <w:szCs w:val="18"/>
          <w:b w:val="1"/>
          <w:bCs w:val="1"/>
          <w:color w:val="auto"/>
        </w:rPr>
      </w:pPr>
    </w:p>
    <w:p>
      <w:pPr>
        <w:ind w:left="6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November 3, 2018, the Company held as treasury shares 6,426,351 shares of its common stock at an average price of $13.65 per share, excluding commissions, for an aggregate carrying amount of $87.7 million. The Company’s treasury shares may be issued under the 2010 Equity and Incentive Plan or for other corporate purposes.</w:t>
      </w:r>
    </w:p>
    <w:p>
      <w:pPr>
        <w:spacing w:after="0" w:line="258" w:lineRule="exact"/>
        <w:rPr>
          <w:rFonts w:ascii="Arial" w:cs="Arial" w:eastAsia="Arial" w:hAnsi="Arial"/>
          <w:sz w:val="18"/>
          <w:szCs w:val="18"/>
          <w:b w:val="1"/>
          <w:bCs w:val="1"/>
          <w:color w:val="auto"/>
        </w:rPr>
      </w:pPr>
    </w:p>
    <w:p>
      <w:pPr>
        <w:ind w:left="660" w:right="7160" w:hanging="652"/>
        <w:spacing w:after="0" w:line="367"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Vision 20/20 Restructuring and Other Charges </w:t>
      </w:r>
      <w:r>
        <w:rPr>
          <w:rFonts w:ascii="Arial" w:cs="Arial" w:eastAsia="Arial" w:hAnsi="Arial"/>
          <w:sz w:val="17"/>
          <w:szCs w:val="17"/>
          <w:i w:val="1"/>
          <w:iCs w:val="1"/>
          <w:color w:val="auto"/>
        </w:rPr>
        <w:t>Vision 20/20 Initiatives and Charges</w:t>
      </w:r>
    </w:p>
    <w:p>
      <w:pPr>
        <w:ind w:left="660" w:right="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During fiscal 2018, the Company launched its Vision 20/20 strategic plan, which involves an aggressive approach to turn around its business over the period ending in fiscal 2021. The plan is primarily focused on product and pricing initiatives, as well as selling, general, and administrative (“SG&amp;A”) expense reduction initiatives. The product and pricing initiatives include restoring the Company's full-price business by significantly reducing the amount of clearance merchandise offered on verabradley.com and in its full-line stores, streamlining current product offerings by eliminating unproductive or incongruent categories and SKUs from its assortment, and introducing tighter guardrails around new product categories, patterns, and pricing.</w:t>
      </w:r>
    </w:p>
    <w:p>
      <w:pPr>
        <w:spacing w:after="0" w:line="58" w:lineRule="exact"/>
        <w:rPr>
          <w:rFonts w:ascii="Arial" w:cs="Arial" w:eastAsia="Arial" w:hAnsi="Arial"/>
          <w:sz w:val="17"/>
          <w:szCs w:val="17"/>
          <w:b w:val="1"/>
          <w:bCs w:val="1"/>
          <w:color w:val="auto"/>
        </w:rPr>
      </w:pPr>
    </w:p>
    <w:p>
      <w:pPr>
        <w:ind w:left="660" w:right="2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The SG&amp;A expense reductions include right-sizing the Company’s corporate infrastructure to better align with the size of the business, lowering marketing spending by focusing on efficiencies, and taking a more aggressive stance on closing underperforming full-line stores. These SG&amp;A expense reductions began in the third quarter of fiscal 2018, largely aimed at right-sizing the corporate infrastructure. The majority of the product and pricing initiatives are being completed in the current fiscal year. There have been $16.7 million of pre-tax Vision 20/20-related charges ($10.6 million after the associated tax benefit) since inception, all of which were recognized during fiscal 2018. There were no Vision 20/20-related charges during the thirteen and thirty-nine weeks ended November 3, 2018.</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Company incurred the following Vision 20/20-related charges during the thirteen weeks ended October 28, 2017 (in thousands):</w:t>
      </w:r>
    </w:p>
    <w:p>
      <w:pPr>
        <w:spacing w:after="0" w:line="31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w w:val="93"/>
              </w:rPr>
              <w:t>Thirteen Weeks Ended October 28, 2017</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Statements of Income Line Item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Reportable Segment</w:t>
            </w:r>
          </w:p>
        </w:tc>
        <w:tc>
          <w:tcPr>
            <w:tcW w:w="120" w:type="dxa"/>
            <w:vAlign w:val="bottom"/>
          </w:tcPr>
          <w:p>
            <w:pPr>
              <w:spacing w:after="0"/>
              <w:rPr>
                <w:sz w:val="18"/>
                <w:szCs w:val="18"/>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3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3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Cost of Sales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Expense</w:t>
            </w:r>
          </w:p>
        </w:tc>
        <w:tc>
          <w:tcPr>
            <w:tcW w:w="18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Indirect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Asset impairment charges</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line="270" w:lineRule="exact"/>
              <w:rPr>
                <w:sz w:val="20"/>
                <w:szCs w:val="20"/>
                <w:color w:val="auto"/>
              </w:rPr>
            </w:pPr>
            <w:r>
              <w:rPr>
                <w:rFonts w:ascii="Arial" w:cs="Arial" w:eastAsia="Arial" w:hAnsi="Arial"/>
                <w:sz w:val="18"/>
                <w:szCs w:val="18"/>
                <w:color w:val="auto"/>
              </w:rPr>
              <w:t>Strategic consulting charges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2,325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line="270" w:lineRule="exact"/>
              <w:rPr>
                <w:sz w:val="20"/>
                <w:szCs w:val="20"/>
                <w:color w:val="auto"/>
              </w:rPr>
            </w:pPr>
            <w:r>
              <w:rPr>
                <w:rFonts w:ascii="Arial" w:cs="Arial" w:eastAsia="Arial" w:hAnsi="Arial"/>
                <w:sz w:val="18"/>
                <w:szCs w:val="18"/>
                <w:color w:val="auto"/>
              </w:rPr>
              <w:t>Inventory-related charges</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charges</w:t>
            </w:r>
            <w:r>
              <w:rPr>
                <w:rFonts w:ascii="Arial" w:cs="Arial" w:eastAsia="Arial" w:hAnsi="Arial"/>
                <w:sz w:val="25"/>
                <w:szCs w:val="25"/>
                <w:color w:val="auto"/>
                <w:vertAlign w:val="superscript"/>
              </w:rPr>
              <w:t>4</w:t>
            </w: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11,547</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1,019</w:t>
            </w:r>
          </w:p>
        </w:tc>
        <w:tc>
          <w:tcPr>
            <w:tcW w:w="42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12,566  </w:t>
            </w:r>
            <w:r>
              <w:rPr>
                <w:rFonts w:ascii="Arial" w:cs="Arial" w:eastAsia="Arial" w:hAnsi="Arial"/>
                <w:sz w:val="12"/>
                <w:szCs w:val="12"/>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8890</wp:posOffset>
            </wp:positionV>
            <wp:extent cx="4210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 w:lineRule="exact"/>
        <w:rPr>
          <w:sz w:val="20"/>
          <w:szCs w:val="20"/>
          <w:color w:val="auto"/>
        </w:rPr>
      </w:pPr>
    </w:p>
    <w:p>
      <w:pPr>
        <w:ind w:left="920" w:hanging="237"/>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 to Note 12 herein for additional details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920" w:hanging="237"/>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the associated tax benefit, the charges were $7.9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-816610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incurred the following Vision 20/20-related charges during the thirty-nine weeks ended October 28, 2017 (in thousands):</w:t>
      </w: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Thirty-Nine Weeks Ended October 28, 2017</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20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Statements of Income Line Item</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Reportable Segment</w:t>
            </w:r>
          </w:p>
        </w:tc>
        <w:tc>
          <w:tcPr>
            <w:tcW w:w="120" w:type="dxa"/>
            <w:vAlign w:val="bottom"/>
          </w:tcPr>
          <w:p>
            <w:pPr>
              <w:spacing w:after="0"/>
              <w:rPr>
                <w:sz w:val="18"/>
                <w:szCs w:val="18"/>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3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3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10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9"/>
              </w:rPr>
              <w:t>Cost of Sales</w:t>
            </w:r>
          </w:p>
        </w:tc>
        <w:tc>
          <w:tcPr>
            <w:tcW w:w="100" w:type="dxa"/>
            <w:vAlign w:val="bottom"/>
            <w:vMerge w:val="restart"/>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Expense</w:t>
            </w:r>
          </w:p>
        </w:tc>
        <w:tc>
          <w:tcPr>
            <w:tcW w:w="18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8"/>
              </w:rPr>
              <w:t>Indirect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Asset impairment charges</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line="270" w:lineRule="exact"/>
              <w:rPr>
                <w:sz w:val="20"/>
                <w:szCs w:val="20"/>
                <w:color w:val="auto"/>
              </w:rPr>
            </w:pPr>
            <w:r>
              <w:rPr>
                <w:rFonts w:ascii="Arial" w:cs="Arial" w:eastAsia="Arial" w:hAnsi="Arial"/>
                <w:sz w:val="18"/>
                <w:szCs w:val="18"/>
                <w:color w:val="auto"/>
              </w:rPr>
              <w:t>Strategic consulting charges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4,649</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line="270" w:lineRule="exact"/>
              <w:rPr>
                <w:sz w:val="20"/>
                <w:szCs w:val="20"/>
                <w:color w:val="auto"/>
              </w:rPr>
            </w:pPr>
            <w:r>
              <w:rPr>
                <w:rFonts w:ascii="Arial" w:cs="Arial" w:eastAsia="Arial" w:hAnsi="Arial"/>
                <w:sz w:val="18"/>
                <w:szCs w:val="18"/>
                <w:color w:val="auto"/>
              </w:rPr>
              <w:t>Inventory-related charges</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charges</w:t>
            </w:r>
            <w:r>
              <w:rPr>
                <w:rFonts w:ascii="Arial" w:cs="Arial" w:eastAsia="Arial" w:hAnsi="Arial"/>
                <w:sz w:val="25"/>
                <w:szCs w:val="25"/>
                <w:color w:val="auto"/>
                <w:vertAlign w:val="superscript"/>
              </w:rPr>
              <w:t>4</w:t>
            </w: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13,871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14,890  </w:t>
            </w:r>
            <w:r>
              <w:rPr>
                <w:rFonts w:ascii="Arial" w:cs="Arial" w:eastAsia="Arial" w:hAnsi="Arial"/>
                <w:sz w:val="12"/>
                <w:szCs w:val="12"/>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8890</wp:posOffset>
            </wp:positionV>
            <wp:extent cx="4210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 w:lineRule="exact"/>
        <w:rPr>
          <w:sz w:val="20"/>
          <w:szCs w:val="20"/>
          <w:color w:val="auto"/>
        </w:rPr>
      </w:pPr>
    </w:p>
    <w:p>
      <w:pPr>
        <w:ind w:left="920" w:hanging="237"/>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 to Note 12 herein for additional details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920" w:hanging="237"/>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the associated tax benefit, the charges were $9.4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-816610</wp:posOffset>
            </wp:positionV>
            <wp:extent cx="42106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17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There were $1.6 million of cash payments made during fiscal 2019 for severance charges and no liabilities remaining for Vision 20/20-related charges as of November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240" w:top="121" w:right="7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Charges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Thirty-Nine Weeks Ended October 28, 2017</w:t>
      </w:r>
    </w:p>
    <w:p>
      <w:pPr>
        <w:spacing w:after="0" w:line="9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Other charges recognized in SG&amp;A expenses during the thirty-nine weeks ended October 28, 2017 totaled $2.8 million ($1.7 million after the associated tax benefit). These pre-tax charges consisted of $2.5 million in severance charges (recognized within corporate unallocated expenses) and $0.3 million for a net lease termination charge (recognized within the Direct segment).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charges were recognized before the implementation of Vision 20/20.</w:t>
      </w:r>
    </w:p>
    <w:p>
      <w:pPr>
        <w:spacing w:after="0" w:line="302" w:lineRule="exact"/>
        <w:rPr>
          <w:sz w:val="20"/>
          <w:szCs w:val="20"/>
          <w:color w:val="auto"/>
        </w:rPr>
      </w:pPr>
    </w:p>
    <w:p>
      <w:pPr>
        <w:ind w:left="660" w:right="9440" w:hanging="652"/>
        <w:spacing w:after="0" w:line="390" w:lineRule="auto"/>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i w:val="1"/>
          <w:iCs w:val="1"/>
          <w:color w:val="auto"/>
        </w:rPr>
        <w:t>Cash Equivalents</w:t>
      </w:r>
    </w:p>
    <w:p>
      <w:pPr>
        <w:jc w:val="both"/>
        <w:ind w:left="660" w:right="18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Investments classified as cash equivalents relate to highly-liquid investments with a maturity of three months or less at the date of purchase. As of November 3, 2018 and February 3, 2018, these investments in the Company's portfolio consisted of commercial paper, a money market fund, and municipal securities.</w:t>
      </w:r>
    </w:p>
    <w:p>
      <w:pPr>
        <w:spacing w:after="0" w:line="4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Short-Term Investments</w:t>
      </w:r>
    </w:p>
    <w:p>
      <w:pPr>
        <w:spacing w:after="0" w:line="171" w:lineRule="exact"/>
        <w:rPr>
          <w:rFonts w:ascii="Arial" w:cs="Arial" w:eastAsia="Arial" w:hAnsi="Arial"/>
          <w:sz w:val="16"/>
          <w:szCs w:val="16"/>
          <w:b w:val="1"/>
          <w:bCs w:val="1"/>
          <w:color w:val="auto"/>
        </w:rPr>
      </w:pPr>
    </w:p>
    <w:p>
      <w:pPr>
        <w:ind w:left="660" w:right="3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As of November 3, 2018 and February 3, 2018, short-term investments consisted of a certificate of deposit, U.S. and non-U.S. corporate debt securities, municipal securities, and commercial paper with a maturity within one year of the balance sheet date. The balance as of November 3, 2018, also included U.S. treasury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134" w:lineRule="exact"/>
        <w:rPr>
          <w:rFonts w:ascii="Arial" w:cs="Arial" w:eastAsia="Arial" w:hAnsi="Arial"/>
          <w:sz w:val="16"/>
          <w:szCs w:val="16"/>
          <w:b w:val="1"/>
          <w:bCs w:val="1"/>
          <w:color w:val="auto"/>
        </w:rPr>
      </w:pPr>
    </w:p>
    <w:p>
      <w:pPr>
        <w:ind w:left="660" w:right="4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held $46.0 million and $54.2 million in short-term investments as of November 3, 2018 and February 3, 2018, respectively. The following table summarizes the Company's short-term investments (in thousands):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 2018</w:t>
            </w:r>
          </w:p>
        </w:tc>
        <w:tc>
          <w:tcPr>
            <w:tcW w:w="22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February 3, 2018</w:t>
            </w:r>
          </w:p>
        </w:tc>
      </w:tr>
      <w:tr>
        <w:trPr>
          <w:trHeight w:val="25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25,032</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6,451</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8,727</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12,942</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998</w:t>
            </w: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54,150</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171"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color w:val="auto"/>
        </w:rPr>
        <w:t>As of November 3, 2018 and February 3, 2018, long-term investments consisted of U.S. and non-U.S. corporate debt securities and municipal securities with a maturity greater than one year from the balance sheet date. The balance as of November 3, 2018 also included U.S. and non-U.S. asset-backed securities and the balance as of February 3, 2018 included U.S. treasury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60"/>
          </w:cols>
          <w:pgMar w:left="240" w:top="121" w:right="2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Company held $23.2 million and $15.5 million in long-term investments as of November 3, 2018 and February 3, 2018, respectively. The following table summarizes the Company's long-term investments (in thousands):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 2018</w:t>
            </w:r>
          </w:p>
        </w:tc>
        <w:tc>
          <w:tcPr>
            <w:tcW w:w="22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February 3, 2018</w:t>
            </w:r>
          </w:p>
        </w:tc>
      </w:tr>
      <w:tr>
        <w:trPr>
          <w:trHeight w:val="25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4,543</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U.S. asset-backed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2,775</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5,098</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3,099</w:t>
            </w: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15,515</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material gross unrealized gains or losses on available-for-sale debt securities as of November 3, 2018 and February 3, 2018.</w:t>
      </w:r>
    </w:p>
    <w:p>
      <w:pPr>
        <w:spacing w:after="0" w:line="31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4" w:lineRule="exact"/>
        <w:rPr>
          <w:rFonts w:ascii="Arial" w:cs="Arial" w:eastAsia="Arial" w:hAnsi="Arial"/>
          <w:sz w:val="18"/>
          <w:szCs w:val="18"/>
          <w:b w:val="1"/>
          <w:bCs w:val="1"/>
          <w:color w:val="auto"/>
        </w:rPr>
      </w:pPr>
    </w:p>
    <w:p>
      <w:pPr>
        <w:ind w:left="660" w:right="2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typically determined by an estimated discounted cash flow analysis of the asset.</w:t>
      </w:r>
    </w:p>
    <w:p>
      <w:pPr>
        <w:spacing w:after="0" w:line="1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Impairment charges for the thirteen and thirty-nine weeks ended November 3, 2018, and October 28, 2017 were as follows (in thousands):</w:t>
      </w: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3320" w:type="dxa"/>
            <w:vAlign w:val="bottom"/>
            <w:tcBorders>
              <w:bottom w:val="single" w:sz="8" w:color="auto"/>
            </w:tcBorders>
            <w:gridSpan w:val="5"/>
          </w:tcPr>
          <w:p>
            <w:pPr>
              <w:jc w:val="right"/>
              <w:ind w:right="86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3240" w:type="dxa"/>
            <w:vAlign w:val="bottom"/>
          </w:tcPr>
          <w:p>
            <w:pPr>
              <w:spacing w:after="0"/>
              <w:rPr>
                <w:sz w:val="13"/>
                <w:szCs w:val="13"/>
                <w:color w:val="auto"/>
              </w:rPr>
            </w:pPr>
          </w:p>
        </w:tc>
        <w:tc>
          <w:tcPr>
            <w:tcW w:w="1260" w:type="dxa"/>
            <w:vAlign w:val="bottom"/>
          </w:tcPr>
          <w:p>
            <w:pPr>
              <w:jc w:val="center"/>
              <w:ind w:left="244"/>
              <w:spacing w:after="0" w:line="153" w:lineRule="exact"/>
              <w:rPr>
                <w:sz w:val="20"/>
                <w:szCs w:val="20"/>
                <w:color w:val="auto"/>
              </w:rPr>
            </w:pPr>
            <w:r>
              <w:rPr>
                <w:rFonts w:ascii="Arial" w:cs="Arial" w:eastAsia="Arial" w:hAnsi="Arial"/>
                <w:sz w:val="14"/>
                <w:szCs w:val="14"/>
                <w:b w:val="1"/>
                <w:bCs w:val="1"/>
                <w:color w:val="auto"/>
                <w:w w:val="92"/>
              </w:rPr>
              <w:t>November 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October 28,</w:t>
            </w:r>
          </w:p>
        </w:tc>
        <w:tc>
          <w:tcPr>
            <w:tcW w:w="260" w:type="dxa"/>
            <w:vAlign w:val="bottom"/>
          </w:tcPr>
          <w:p>
            <w:pPr>
              <w:spacing w:after="0"/>
              <w:rPr>
                <w:sz w:val="13"/>
                <w:szCs w:val="13"/>
                <w:color w:val="auto"/>
              </w:rPr>
            </w:pPr>
          </w:p>
        </w:tc>
        <w:tc>
          <w:tcPr>
            <w:tcW w:w="1740" w:type="dxa"/>
            <w:vAlign w:val="bottom"/>
            <w:gridSpan w:val="3"/>
          </w:tcPr>
          <w:p>
            <w:pPr>
              <w:jc w:val="center"/>
              <w:ind w:right="680"/>
              <w:spacing w:after="0" w:line="153" w:lineRule="exact"/>
              <w:rPr>
                <w:sz w:val="20"/>
                <w:szCs w:val="20"/>
                <w:color w:val="auto"/>
              </w:rPr>
            </w:pPr>
            <w:r>
              <w:rPr>
                <w:rFonts w:ascii="Arial" w:cs="Arial" w:eastAsia="Arial" w:hAnsi="Arial"/>
                <w:sz w:val="14"/>
                <w:szCs w:val="14"/>
                <w:b w:val="1"/>
                <w:bCs w:val="1"/>
                <w:color w:val="auto"/>
                <w:w w:val="92"/>
              </w:rPr>
              <w:t>November 3,</w:t>
            </w:r>
          </w:p>
        </w:tc>
        <w:tc>
          <w:tcPr>
            <w:tcW w:w="1340" w:type="dxa"/>
            <w:vAlign w:val="bottom"/>
          </w:tcPr>
          <w:p>
            <w:pPr>
              <w:jc w:val="center"/>
              <w:ind w:right="262"/>
              <w:spacing w:after="0" w:line="153" w:lineRule="exact"/>
              <w:rPr>
                <w:sz w:val="20"/>
                <w:szCs w:val="20"/>
                <w:color w:val="auto"/>
              </w:rPr>
            </w:pPr>
            <w:r>
              <w:rPr>
                <w:rFonts w:ascii="Arial" w:cs="Arial" w:eastAsia="Arial" w:hAnsi="Arial"/>
                <w:sz w:val="14"/>
                <w:szCs w:val="14"/>
                <w:b w:val="1"/>
                <w:bCs w:val="1"/>
                <w:color w:val="auto"/>
                <w:w w:val="93"/>
              </w:rPr>
              <w:t>October 28,</w:t>
            </w:r>
          </w:p>
        </w:tc>
      </w:tr>
      <w:tr>
        <w:trPr>
          <w:trHeight w:val="192"/>
        </w:trPr>
        <w:tc>
          <w:tcPr>
            <w:tcW w:w="32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1260" w:type="dxa"/>
            <w:vAlign w:val="bottom"/>
            <w:shd w:val="clear" w:color="auto" w:fill="CCEEFF"/>
          </w:tcPr>
          <w:p>
            <w:pPr>
              <w:jc w:val="right"/>
              <w:ind w:right="1064"/>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5,852</w:t>
            </w:r>
          </w:p>
        </w:tc>
      </w:tr>
      <w:tr>
        <w:trPr>
          <w:trHeight w:val="27"/>
        </w:trPr>
        <w:tc>
          <w:tcPr>
            <w:tcW w:w="3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right="220"/>
        <w:spacing w:after="0" w:line="286" w:lineRule="auto"/>
        <w:rPr>
          <w:sz w:val="20"/>
          <w:szCs w:val="20"/>
          <w:color w:val="auto"/>
        </w:rPr>
      </w:pPr>
      <w:r>
        <w:rPr>
          <w:rFonts w:ascii="Arial" w:cs="Arial" w:eastAsia="Arial" w:hAnsi="Arial"/>
          <w:sz w:val="17"/>
          <w:szCs w:val="17"/>
          <w:color w:val="auto"/>
        </w:rPr>
        <w:t>These impairment charges were recognized using level 3 inputs and were for assets related to underperforming stores. The charges are included in selling, general, and administrative expenses in the Condensed Consolidated Statements of Income and in impairment charges in the Condensed Consolidated Statements of Cash Flows. The impairment charges are included in the Direct segment.</w:t>
      </w:r>
    </w:p>
    <w:p>
      <w:pPr>
        <w:spacing w:after="0" w:line="24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rFonts w:ascii="Arial" w:cs="Arial" w:eastAsia="Arial" w:hAnsi="Arial"/>
          <w:sz w:val="18"/>
          <w:szCs w:val="18"/>
          <w:b w:val="1"/>
          <w:bCs w:val="1"/>
          <w:color w:val="auto"/>
        </w:rPr>
      </w:pPr>
    </w:p>
    <w:p>
      <w:pPr>
        <w:ind w:left="6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 segment includes the Company’s full-line and factory outlet stores; the Company’s website, verabradley.com; the Company’s online outlet site; and the annual outlet sale. Revenues generated from this segment are driven through the sale of Company-branded products from Vera Bradley to end consumers.</w:t>
      </w:r>
    </w:p>
    <w:p>
      <w:pPr>
        <w:spacing w:after="0" w:line="46" w:lineRule="exact"/>
        <w:rPr>
          <w:rFonts w:ascii="Arial" w:cs="Arial" w:eastAsia="Arial" w:hAnsi="Arial"/>
          <w:sz w:val="18"/>
          <w:szCs w:val="18"/>
          <w:b w:val="1"/>
          <w:bCs w:val="1"/>
          <w:color w:val="auto"/>
        </w:rPr>
      </w:pPr>
    </w:p>
    <w:p>
      <w:pPr>
        <w:ind w:left="660" w:right="2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2,300 locations, substantially all of which are located in the United States; key accounts, which include department stores, national accounts, third-party e-commerce sites, and third-party inventory liquidators; and royalties recognized through licensing agreements.</w:t>
      </w:r>
    </w:p>
    <w:p>
      <w:pPr>
        <w:spacing w:after="0" w:line="1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680"/>
        <w:spacing w:after="0" w:line="277" w:lineRule="auto"/>
        <w:rPr>
          <w:sz w:val="20"/>
          <w:szCs w:val="20"/>
          <w:color w:val="auto"/>
        </w:rPr>
      </w:pPr>
      <w:r>
        <w:rPr>
          <w:rFonts w:ascii="Arial" w:cs="Arial" w:eastAsia="Arial" w:hAnsi="Arial"/>
          <w:sz w:val="18"/>
          <w:szCs w:val="18"/>
          <w:color w:val="auto"/>
        </w:rPr>
        <w:t>marketing and advertising, and various other corporate-level-activity-related expenses. All intercompany-related activities are eliminated in consolidation and are excluded from the segment reporting.</w:t>
      </w:r>
    </w:p>
    <w:p>
      <w:pPr>
        <w:spacing w:after="0" w:line="35"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thirty-nine weeks ended November 3, 2018 and October 28, 2017, respectively, consisted of the following (in thousands):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3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November 3,</w:t>
            </w:r>
          </w:p>
        </w:tc>
        <w:tc>
          <w:tcPr>
            <w:tcW w:w="280" w:type="dxa"/>
            <w:vAlign w:val="bottom"/>
          </w:tcPr>
          <w:p>
            <w:pPr>
              <w:spacing w:after="0"/>
              <w:rPr>
                <w:sz w:val="13"/>
                <w:szCs w:val="13"/>
                <w:color w:val="auto"/>
              </w:rPr>
            </w:pPr>
          </w:p>
        </w:tc>
        <w:tc>
          <w:tcPr>
            <w:tcW w:w="14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28,</w:t>
            </w:r>
          </w:p>
        </w:tc>
        <w:tc>
          <w:tcPr>
            <w:tcW w:w="260" w:type="dxa"/>
            <w:vAlign w:val="bottom"/>
          </w:tcPr>
          <w:p>
            <w:pPr>
              <w:spacing w:after="0"/>
              <w:rPr>
                <w:sz w:val="13"/>
                <w:szCs w:val="13"/>
                <w:color w:val="auto"/>
              </w:rPr>
            </w:pPr>
          </w:p>
        </w:tc>
        <w:tc>
          <w:tcPr>
            <w:tcW w:w="14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November 3,</w:t>
            </w:r>
          </w:p>
        </w:tc>
        <w:tc>
          <w:tcPr>
            <w:tcW w:w="260" w:type="dxa"/>
            <w:vAlign w:val="bottom"/>
          </w:tcPr>
          <w:p>
            <w:pPr>
              <w:spacing w:after="0"/>
              <w:rPr>
                <w:sz w:val="13"/>
                <w:szCs w:val="13"/>
                <w:color w:val="auto"/>
              </w:rPr>
            </w:pPr>
          </w:p>
        </w:tc>
        <w:tc>
          <w:tcPr>
            <w:tcW w:w="134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October 28,</w:t>
            </w:r>
          </w:p>
        </w:tc>
      </w:tr>
      <w:tr>
        <w:trPr>
          <w:trHeight w:val="192"/>
        </w:trPr>
        <w:tc>
          <w:tcPr>
            <w:tcW w:w="3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73,459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83,168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230,012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241,347</w:t>
            </w: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81,301</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97,688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114,095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297,904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322,648</w:t>
            </w:r>
          </w:p>
        </w:tc>
      </w:tr>
      <w:tr>
        <w:trPr>
          <w:trHeight w:val="67"/>
        </w:trPr>
        <w:tc>
          <w:tcPr>
            <w:tcW w:w="3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14,259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11,238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43,867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35,362</w:t>
            </w: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27,797</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24,334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21,757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63,159</w:t>
            </w:r>
          </w:p>
        </w:tc>
      </w:tr>
      <w:tr>
        <w:trPr>
          <w:trHeight w:val="67"/>
        </w:trPr>
        <w:tc>
          <w:tcPr>
            <w:tcW w:w="3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24,334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21,757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71,053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63,159</w:t>
            </w: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(63,792)</w:t>
            </w: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4" w:lineRule="exact"/>
        <w:rPr>
          <w:rFonts w:ascii="Arial" w:cs="Arial" w:eastAsia="Arial" w:hAnsi="Arial"/>
          <w:sz w:val="18"/>
          <w:szCs w:val="18"/>
          <w:b w:val="1"/>
          <w:bCs w:val="1"/>
          <w:color w:val="auto"/>
        </w:rPr>
      </w:pPr>
    </w:p>
    <w:p>
      <w:pPr>
        <w:ind w:left="6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November 29, 2018, the Company's Board of Directors authorized Company management to utilize up to $50.0 million of available cash to buy back the Company's own common shares beginning December 14, 2018 through December 14, 2020. The Company’s prior $50.0 million share repurchase program was completed on November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following discussion summarizes the significant factors affecting the condensed consolidated operating results, financial condition, liquidity, and cash flows of the Company as of and for the thirteen and thirty-nine weeks ended November 3, 2018 and October 28, 2017. The following discussion should be read in conjunction with our Annual Report on Form 10-K for the fiscal year ended February 3, 2018, and our unaudited condensed consolidated financial statements and the related notes included in Item 1 of this Quarterly Report. The results of operations for the thirteen and thirty-nine weeks ended November 3, 2018, are not necessarily indicative of the results to be expected for the full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third quarter of fiscal 2019:</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right="1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reduced the clearance activity in our full-line stores and on verabradley.com (excluding our online outlet site) by over 70% compared to the prior-year period.</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increased comparable full-price selling in our full-line stores and on verabradey.com (excluding our online outlet site) by over 10%.</w:t>
      </w:r>
    </w:p>
    <w:p>
      <w:pPr>
        <w:spacing w:after="0" w:line="101"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continued to focus on increasing brand awareness through our “digital first” strategy by focusing our marketing on high-quality placements and targeted digital efforts, with an emphasis on full-price offerings.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launched customization, where our customers can design their own duffel, hipster, tote, or shoulder bag.</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third quarter, we strengthened our store base by closing two underperforming full-line stores.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third quarter of fiscal 2018)</w:t>
      </w:r>
    </w:p>
    <w:p>
      <w:pPr>
        <w:spacing w:after="0" w:line="9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revenues decreased 14.4% to $97.7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segment sales decreased 11.7% to $73.5 million. Comparable sales decreased 16.5%.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Indirect segment sales decreased 21.7% to $24.2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 was $57.2 million, or 58.5%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income was $5.3 million and net income was $4.2 million, or $0.12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$0.7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and cash equivalents and investments were $131.6 million at November 3,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our online outlet site; and our annual outlet sale in Fort Wayne, Indiana. Revenues for the Indirect segment reflect sales to specialty retail partners; department stores; national accounts; third-party e-commerce sites; third-party inventory liquidators; and royalties recognized through licensing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current-year period associated with the 53rd week in fiscal 2018.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income (loss) is equal to gross profit less SG&amp;A expenses plus other income. Operating income (loss)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is equal to operating income (loss) plus net interest income less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3,</w:t>
            </w:r>
          </w:p>
        </w:tc>
        <w:tc>
          <w:tcPr>
            <w:tcW w:w="260" w:type="dxa"/>
            <w:vAlign w:val="bottom"/>
          </w:tcPr>
          <w:p>
            <w:pPr>
              <w:spacing w:after="0"/>
              <w:rPr>
                <w:sz w:val="13"/>
                <w:szCs w:val="13"/>
                <w:color w:val="auto"/>
              </w:rPr>
            </w:pPr>
          </w:p>
        </w:tc>
        <w:tc>
          <w:tcPr>
            <w:tcW w:w="14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November 3,</w:t>
            </w:r>
          </w:p>
        </w:tc>
        <w:tc>
          <w:tcPr>
            <w:tcW w:w="260" w:type="dxa"/>
            <w:vAlign w:val="bottom"/>
          </w:tcPr>
          <w:p>
            <w:pPr>
              <w:spacing w:after="0"/>
              <w:rPr>
                <w:sz w:val="13"/>
                <w:szCs w:val="13"/>
                <w:color w:val="auto"/>
              </w:rPr>
            </w:pPr>
          </w:p>
        </w:tc>
        <w:tc>
          <w:tcPr>
            <w:tcW w:w="130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October 28,</w:t>
            </w:r>
          </w:p>
        </w:tc>
      </w:t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97,688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114,095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297,904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322,648</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40,536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50,266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126,396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142,826</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57,152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63,829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171,508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179,822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51,866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63,511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156,341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181,029</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574</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5,343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15,447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(633)</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(257)</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16,124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(376)</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3,986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1,121</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12,138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(1,497)</w:t>
            </w:r>
          </w:p>
        </w:tc>
      </w:tr>
      <w:tr>
        <w:trPr>
          <w:trHeight w:val="67"/>
        </w:trPr>
        <w:tc>
          <w:tcPr>
            <w:tcW w:w="4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4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44.3 %</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55.7 %</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3,</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3,</w:t>
            </w:r>
          </w:p>
        </w:tc>
        <w:tc>
          <w:tcPr>
            <w:tcW w:w="260" w:type="dxa"/>
            <w:vAlign w:val="bottom"/>
          </w:tcPr>
          <w:p>
            <w:pPr>
              <w:spacing w:after="0"/>
              <w:rPr>
                <w:sz w:val="13"/>
                <w:szCs w:val="13"/>
                <w:color w:val="auto"/>
              </w:rPr>
            </w:pPr>
          </w:p>
        </w:tc>
        <w:tc>
          <w:tcPr>
            <w:tcW w:w="128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October 28,</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0"/>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73,459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83,168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230,012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241,347</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Indirect</w:t>
            </w:r>
          </w:p>
        </w:tc>
        <w:tc>
          <w:tcPr>
            <w:tcW w:w="240" w:type="dxa"/>
            <w:vAlign w:val="bottom"/>
          </w:tcPr>
          <w:p>
            <w:pPr>
              <w:spacing w:after="0"/>
              <w:rPr>
                <w:sz w:val="21"/>
                <w:szCs w:val="21"/>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24,229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30,927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67,892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81,301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97,688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114,095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297,904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322,648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Indirect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59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3,</w:t>
            </w:r>
          </w:p>
        </w:tc>
        <w:tc>
          <w:tcPr>
            <w:tcW w:w="260" w:type="dxa"/>
            <w:vAlign w:val="bottom"/>
          </w:tcPr>
          <w:p>
            <w:pPr>
              <w:spacing w:after="0"/>
              <w:rPr>
                <w:sz w:val="13"/>
                <w:szCs w:val="13"/>
                <w:color w:val="auto"/>
              </w:rPr>
            </w:pPr>
          </w:p>
        </w:tc>
        <w:tc>
          <w:tcPr>
            <w:tcW w:w="14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November 3,</w:t>
            </w:r>
          </w:p>
        </w:tc>
        <w:tc>
          <w:tcPr>
            <w:tcW w:w="260" w:type="dxa"/>
            <w:vAlign w:val="bottom"/>
          </w:tcPr>
          <w:p>
            <w:pPr>
              <w:spacing w:after="0"/>
              <w:rPr>
                <w:sz w:val="13"/>
                <w:szCs w:val="13"/>
                <w:color w:val="auto"/>
              </w:rPr>
            </w:pPr>
          </w:p>
        </w:tc>
        <w:tc>
          <w:tcPr>
            <w:tcW w:w="130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October 28,</w:t>
            </w:r>
          </w:p>
        </w:tc>
      </w:t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 by Segment:</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11,238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43,867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35,362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Indirect</w:t>
            </w:r>
          </w:p>
        </w:tc>
        <w:tc>
          <w:tcPr>
            <w:tcW w:w="2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10,075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10,519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27,186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27,797</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(18,991)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(21,295)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(55,606)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(63,792)</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5,343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15,447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(633)</w:t>
            </w:r>
          </w:p>
        </w:tc>
      </w:tr>
      <w:tr>
        <w:trPr>
          <w:trHeight w:val="67"/>
        </w:trPr>
        <w:tc>
          <w:tcPr>
            <w:tcW w:w="4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78"/>
        </w:trPr>
        <w:tc>
          <w:tcPr>
            <w:tcW w:w="48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Operating Income as a Percentage of Net Revenues by</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1"/>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Direct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14.7 %</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opened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stores closed during period</w:t>
            </w:r>
          </w:p>
        </w:tc>
        <w:tc>
          <w:tcPr>
            <w:tcW w:w="26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164</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383,504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385,786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383,504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385,786</w:t>
            </w:r>
          </w:p>
        </w:tc>
      </w:tr>
      <w:tr>
        <w:trPr>
          <w:trHeight w:val="341"/>
        </w:trPr>
        <w:tc>
          <w:tcPr>
            <w:tcW w:w="482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454</w:t>
            </w:r>
          </w:p>
        </w:tc>
      </w:tr>
    </w:tbl>
    <w:p>
      <w:pPr>
        <w:spacing w:after="0" w:line="130"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ind w:left="540" w:right="180" w:hanging="532"/>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Comparable sales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current-year period associated with the 53rd week in fiscal 2018.</w:t>
      </w:r>
    </w:p>
    <w:p>
      <w:pPr>
        <w:spacing w:after="0" w:line="3" w:lineRule="exact"/>
        <w:rPr>
          <w:rFonts w:ascii="Arial" w:cs="Arial" w:eastAsia="Arial" w:hAnsi="Arial"/>
          <w:sz w:val="16"/>
          <w:szCs w:val="16"/>
          <w:color w:val="auto"/>
        </w:rPr>
      </w:pPr>
    </w:p>
    <w:p>
      <w:pPr>
        <w:ind w:left="540" w:right="40" w:hanging="532"/>
        <w:spacing w:after="0" w:line="255"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Card Incident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Event</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15, 2016, we received information from law enforcement regarding a potential data security issue related to our retail store network. Findings from the investigation showed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4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timely resolved this incident and continue to work with a computer security firm to further strengthen the security of our system to help prevent events of this nature from happening in the future. We promptly notified the payment card networks so that the banks that issue payment cards could initiate heightened monitoring on the affected cards. Claims have been received from payment card networks for this incident and are expected to be covered by our insurance, as described below. We also received inquiries from the states of New Jersey and Indiana regarding the incident. We continue to be in discussions with Indiana regarding the incident.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the thirteen and thirty-nine weeks ended November 3, 2018 and October 28, 2017, we recorded an immaterial amount of expense relating to remediation activities as a result of the Payment Card Incident. There were no incremental expenses associated with the claims received in fiscal 2019 or fiscal 2018 as they were, or are expected to be, reimbursed under our insurance coverage.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do not believe that the amounts to be paid with respect to any remaining matters will have a material adverse effect on our financial condition and operating results taken as a whole.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maintain $15.0 million of cyber security insurance coverage above a $0.1 million deductible.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20/20 Initiatives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fiscal 2018, we launched our Vision 20/20 strategic plan, which involves an aggressive approach to turn around our business over the period ending in fiscal 2021. This plan is primarily focused on product and pricing initiatives, as well as SG&amp;A expense reduction initiatives.</w:t>
      </w:r>
    </w:p>
    <w:p>
      <w:pPr>
        <w:spacing w:after="0" w:line="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product and pricing initiatives include restoring our full-price business by significantly reducing the amount of clearance merchandise offered on verabradley.com and in our full-line stores; streamlining current product offerings by eliminating unproductive or incongruent categories and SKUs from our assortment; and introducing tighter guardrails around new categories, patterns, and pricing. We expect fiscal 2019 revenues will be negatively impacted by these initiatives by $38.0 million to $43.0 million from fiscal 2018 levels.</w:t>
      </w:r>
    </w:p>
    <w:p>
      <w:pPr>
        <w:spacing w:after="0" w:line="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SG&amp;A expense reduction initiatives include right-sizing our corporate infrastructure to better align with the size of the business, lowering our marketing spending by focusing on efficiencies while keeping our most loyal customer engaged, and taking a more aggressive stance on reducing store operating costs and closing underperforming full-line stores. We expect to reduce annual SG&amp;A expenses by up to $30.0 million (from our fiscal 2017 base level and excluding severance, store impairment, and Vision 20/20 charges from all periods). We expect that approximately $25.0 million of the annualized SG&amp;A expense reductions will be made by the end of fiscal 2019. We are forecasting to close up to 45 full-line stores by the end of fiscal 2021, primarily as leases expire. We have closed 12 full-line stores since fiscal 2018.</w:t>
      </w:r>
    </w:p>
    <w:p>
      <w:pPr>
        <w:spacing w:after="0" w:line="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implementation of the plan began in the third quarter of fiscal 2018, with the majority of the product and pricing initiatives being completed in the current fiscal year. The SG&amp;A expense reductions began in the third quarter of fiscal 2018, largely aimed at right-sizing our corporate infrastructure. There have been $16.7 million of pre-tax Vision 20/20-related charges ($10.6 million after the associated tax benefit) since inception, all of which were recognized during fiscal 2018. There were no Vision 20/20-related charges during the thirteen or thirty-nine weeks ended November 3, 2018.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We incurred the following Vision 20/20-related charges during the thirteen weeks ended October 28, 2017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w w:val="94"/>
              </w:rPr>
              <w:t>Thirteen Weeks Ended October 28, 2017</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10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Statements of Income Line Item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b w:val="1"/>
                <w:bCs w:val="1"/>
                <w:color w:val="auto"/>
              </w:rPr>
              <w:t>Reportable Segment</w:t>
            </w:r>
          </w:p>
        </w:tc>
        <w:tc>
          <w:tcPr>
            <w:tcW w:w="120" w:type="dxa"/>
            <w:vAlign w:val="bottom"/>
          </w:tcPr>
          <w:p>
            <w:pPr>
              <w:spacing w:after="0"/>
              <w:rPr>
                <w:sz w:val="18"/>
                <w:szCs w:val="18"/>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ind w:right="5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4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Cost of Sales</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Expense</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Indirect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Expenses</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Asset impairment charges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Strategic consulting charges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2,325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Inventory-related charges</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charges</w:t>
            </w:r>
            <w:r>
              <w:rPr>
                <w:rFonts w:ascii="Arial" w:cs="Arial" w:eastAsia="Arial" w:hAnsi="Arial"/>
                <w:sz w:val="25"/>
                <w:szCs w:val="25"/>
                <w:color w:val="auto"/>
                <w:vertAlign w:val="superscript"/>
              </w:rPr>
              <w:t>4</w:t>
            </w: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11,547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1,019</w:t>
            </w:r>
          </w:p>
        </w:tc>
        <w:tc>
          <w:tcPr>
            <w:tcW w:w="44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12,566</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8890</wp:posOffset>
            </wp:positionV>
            <wp:extent cx="42964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0" w:lineRule="exact"/>
        <w:rPr>
          <w:sz w:val="20"/>
          <w:szCs w:val="20"/>
          <w:color w:val="auto"/>
        </w:rPr>
      </w:pPr>
    </w:p>
    <w:p>
      <w:pPr>
        <w:ind w:left="280" w:hanging="245"/>
        <w:spacing w:after="0"/>
        <w:tabs>
          <w:tab w:leader="none" w:pos="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Refer to Note 12 “Property, Plant, and Equipment” within Item 1 “Financial Statements” of this Quarterly Report on Form 10-Q for additional details</w:t>
      </w:r>
    </w:p>
    <w:p>
      <w:pPr>
        <w:spacing w:after="0" w:line="74" w:lineRule="exact"/>
        <w:rPr>
          <w:rFonts w:ascii="Arial" w:cs="Arial" w:eastAsia="Arial" w:hAnsi="Arial"/>
          <w:sz w:val="17"/>
          <w:szCs w:val="17"/>
          <w:color w:val="auto"/>
        </w:rPr>
      </w:pPr>
    </w:p>
    <w:p>
      <w:pPr>
        <w:ind w:left="300" w:hanging="265"/>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300" w:hanging="265"/>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300" w:hanging="265"/>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the associated tax benefit, the charges were $7.9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-816610</wp:posOffset>
            </wp:positionV>
            <wp:extent cx="42964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incurred the following Vision 20/20-related charges during the thirty-nine weeks ended October 28, 2017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Thirty-Nine Weeks Ended October 28, 2017</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Statements of Income Line Item</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b w:val="1"/>
                <w:bCs w:val="1"/>
                <w:color w:val="auto"/>
              </w:rPr>
              <w:t>Reportable Segment</w:t>
            </w:r>
          </w:p>
        </w:tc>
        <w:tc>
          <w:tcPr>
            <w:tcW w:w="120" w:type="dxa"/>
            <w:vAlign w:val="bottom"/>
          </w:tcPr>
          <w:p>
            <w:pPr>
              <w:spacing w:after="0"/>
              <w:rPr>
                <w:sz w:val="18"/>
                <w:szCs w:val="18"/>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ind w:right="5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4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7"/>
              </w:rPr>
              <w:t>Cost of Sales</w:t>
            </w:r>
          </w:p>
        </w:tc>
        <w:tc>
          <w:tcPr>
            <w:tcW w:w="100" w:type="dxa"/>
            <w:vAlign w:val="bottom"/>
            <w:vMerge w:val="restart"/>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Expense</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Indirect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Expenses</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Asset impairment charges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Strategic consulting charges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4,649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Inventory-related charges</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charges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13,871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14,890</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8890</wp:posOffset>
            </wp:positionV>
            <wp:extent cx="42964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0" w:lineRule="exact"/>
        <w:rPr>
          <w:sz w:val="20"/>
          <w:szCs w:val="20"/>
          <w:color w:val="auto"/>
        </w:rPr>
      </w:pPr>
    </w:p>
    <w:p>
      <w:pPr>
        <w:ind w:left="280" w:hanging="245"/>
        <w:spacing w:after="0"/>
        <w:tabs>
          <w:tab w:leader="none" w:pos="2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Refer to Note 12 “Property, Plant, and Equipment” within Item 1 “Financial Statements” of this Quarterly Report on Form 10-Q for additional details</w:t>
      </w:r>
    </w:p>
    <w:p>
      <w:pPr>
        <w:spacing w:after="0" w:line="74" w:lineRule="exact"/>
        <w:rPr>
          <w:rFonts w:ascii="Arial" w:cs="Arial" w:eastAsia="Arial" w:hAnsi="Arial"/>
          <w:sz w:val="17"/>
          <w:szCs w:val="17"/>
          <w:color w:val="auto"/>
        </w:rPr>
      </w:pPr>
    </w:p>
    <w:p>
      <w:pPr>
        <w:ind w:left="300" w:hanging="265"/>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300" w:hanging="265"/>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300" w:hanging="265"/>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the associated tax benefit, the charges were $9.4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-816610</wp:posOffset>
            </wp:positionV>
            <wp:extent cx="42964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336" w:lineRule="exact"/>
        <w:rPr>
          <w:sz w:val="20"/>
          <w:szCs w:val="20"/>
          <w:color w:val="auto"/>
        </w:rPr>
      </w:pPr>
    </w:p>
    <w:p>
      <w:pPr>
        <w:ind w:right="2640"/>
        <w:spacing w:after="0" w:line="346" w:lineRule="auto"/>
        <w:rPr>
          <w:sz w:val="20"/>
          <w:szCs w:val="20"/>
          <w:color w:val="auto"/>
        </w:rPr>
      </w:pPr>
      <w:r>
        <w:rPr>
          <w:rFonts w:ascii="Arial" w:cs="Arial" w:eastAsia="Arial" w:hAnsi="Arial"/>
          <w:sz w:val="18"/>
          <w:szCs w:val="18"/>
          <w:b w:val="1"/>
          <w:bCs w:val="1"/>
          <w:color w:val="auto"/>
        </w:rPr>
        <w:t xml:space="preserve">Other Charges Affecting Comparability of the Thirty-Nine Weeks Ended November 3, 2018, and October 28, 2017 </w:t>
      </w:r>
      <w:r>
        <w:rPr>
          <w:rFonts w:ascii="Arial" w:cs="Arial" w:eastAsia="Arial" w:hAnsi="Arial"/>
          <w:sz w:val="18"/>
          <w:szCs w:val="18"/>
          <w:i w:val="1"/>
          <w:iCs w:val="1"/>
          <w:color w:val="auto"/>
        </w:rPr>
        <w:t>Thirty-Nine Weeks Ended October 28, 2017</w:t>
      </w:r>
    </w:p>
    <w:p>
      <w:pPr>
        <w:spacing w:after="0" w:line="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Other charges recognized in SG&amp;A expenses during the thirty-nine weeks ended October 28, 2017 totaled $2.8 million ($1.7 million after the associated tax benefit). These pre-tax charges consisted of $2.5 million in severance charges (recognized within corporate unallocated expenses) and $0.3 million for a net lease termination charge (recognized within the Direct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charges were recognized before the implementation of Vision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Act</w:t>
      </w:r>
    </w:p>
    <w:p>
      <w:pPr>
        <w:spacing w:after="0" w:line="9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On December 22, 2017, the Tax Cuts and Jobs Act (the “Tax Act”) was signed into law. The Tax Act includes, among other things, a corporate tax rate decrease from 35% to 21% effective for tax years beginning after December 31, 2017, bonus depreciation that will allow for full expensing of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Any resulting changes to the provisional estimates and amounts not yet estimated will be recognized as an adjustment to tax expense in the reporting period that the amounts are determined. Subsequent to the end of the third quarter of fiscal 2019, we filed our fiscal 2018 federal income tax return. We do not anticipate making adjustments that would materially affect our financial position, results of operations, or effective tax rate.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6 to the Notes to the Condensed Consolidated Financial Statements herein for additional information regarding the Tax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adopted Accounting Standards Codification (“ASC”) Topic 606 beginning in the first quarter of fiscal 2019 using the modified retrospective adoption method. The adoption of this standard impacted fiscal 2019 beginning retained earnings by $0.5 million. As a result of the adoption of ASC Topic 606 using the modified retrospective method, the financial statements from the prior-year periods are not reported under ASC Topic 606 which affects the comparability of the Condensed Consolidated Financial Statements. The primary impacts from the adoption of the standard are that we are no longer reversing sales associated with shipments not yet received by customers, gift card breakage revenue recognition is accelerated, a change in the method of recognizing minimum guaranteed royalties in certain licensing agreements, and the re-classification of certain liabilities for estimated product returns to other accrued liabilities from a contra-asset within accounts receivable, net, in the current-year period. Refer to Note 2 to the Notes to the Condensed Consolidated Financial Statements herein for additional information, as well as what the reported financial results would have been under prior accounting principles generally accepted in the United States (“GAAP”).</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3980"/>
        <w:spacing w:after="0" w:line="346" w:lineRule="auto"/>
        <w:rPr>
          <w:sz w:val="20"/>
          <w:szCs w:val="20"/>
          <w:color w:val="auto"/>
        </w:rPr>
      </w:pPr>
      <w:r>
        <w:rPr>
          <w:rFonts w:ascii="Arial" w:cs="Arial" w:eastAsia="Arial" w:hAnsi="Arial"/>
          <w:sz w:val="18"/>
          <w:szCs w:val="18"/>
          <w:b w:val="1"/>
          <w:bCs w:val="1"/>
          <w:color w:val="auto"/>
        </w:rPr>
        <w:t xml:space="preserve">Thirteen Weeks Ended November 3, 2018, Compared to Thirteen Weeks Ended October 28, 2017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thirteen weeks ended November 3, 2018, net revenues decreased $16.4 million, or 14.4%, to $97.7 million, from $114.1 million in the comparable prior-year period. The adoption of ASC 606 negatively impacted the current-year period by $1.0 million.</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thirteen weeks ended November 3, 2018, net revenues in the Direct segment decreased $9.7 million, or 11.7%, to $73.5 million, from $83.2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The current-year Direct segment net revenues were negatively impacted by approximately $6.0 million due to a shift in certain promotional events from the third quarter in the prior-year to the second quarter in the current-year, as well as the planned reduction in clearance activity. Our non-comparable stores, which included six additional factory outlet stores opened in the current fiscal year, contributed $3.7 million of revenue, which was more than offset by a comparable sales decrease (including the promotional event shift) of $13.4 million, or 16.5%. The decrease in comparable sales includes a 24.8% decrease in e-commerce sales and a 13.1% decrease in comparable store sales. Comparable sales (particularly for verabradley.com) were negatively impacted by the aforementioned planned reduction in clearance activity.</w:t>
      </w:r>
    </w:p>
    <w:p>
      <w:pPr>
        <w:spacing w:after="0" w:line="12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adoption of ASC 606 negatively impacted Direct segment net revenues in the current-year period by $0.4 million primarily due to the timing of shipments to customers.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November 3, 2018, net revenues in the Indirect segment decreased $6.7 million, or 21.7%, to $24.2 million, from $30.9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was primarily due to a decline in orders from the Company's specialty retail accounts and certain key accounts.</w:t>
      </w:r>
    </w:p>
    <w:p>
      <w:pPr>
        <w:spacing w:after="0" w:line="12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adoption of ASC 606 negatively impacted Indirect segment net revenues in the current-year period by $0.6 million primarily due to the timing of shipments to customers as a result of changes in the frequency of product launches compared to the prior-year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For the thirteen weeks ended November 3, 2018, gross profit decreased $6.6 million, or 10.5%, to $57.2 million, from $63.8 million in the comparable prior-year period. As a percentage of net revenues, gross profit increased to 58.5% for the thirteen weeks ended November 3, 2018, from 55.9% in the comparable prior-year period. The increase as a percentage of net revenues was primarily due to reduced clearance activity and increased full-price selling on verabradley.com and in our full-line stores, channel mix changes, and a reduction in product costs. In addition, the prior-year period included adjustments taken against certain inventory categories as a result of Vision 20/20 initiatives that did not recur in the current-year period.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negatively impacted the current-year period gross profit by $0.6 million primarily due to the factors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thirteen weeks ended November 3, 2018, SG&amp;A expenses decreased $11.6 million, or 18.3%, to $51.9 million, from $63.5 million in the comparable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prior-year period. As a percentage of net revenues, SG&amp;A expenses decreased to 53.1% for the thirteen weeks ended November 3, 2018, from 55.7%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comparable prior-year period. The decrease in SG&amp;A expenses for the thirteen weeks ended November 3, 2018 was primarily due to expenses incurred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prior-year period that did not recur in the current-year period, including $5.9 million in store impairment charges, $2.8 million in severance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 million in strategic consulting charges. SG&amp;A expenses as a percentage of net revenues decreased primarily due to the aforementioned expense savings,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SG&amp;A expense deleverage associated with lower sales.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thirteen weeks ended November 3, 2018, other income was consistent with the comparable prior-year period at $0.1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thirteen weeks ended November 3, 2018, operating income increased $4.8 million to $5.3 million in the current-year period, from $0.5 million in the comparable prior-year period. As a percentage of net revenues, operating income was 5.5% and 0.4% for the thirteen weeks ended November 3, 2018 and October 28, 2017, respectively. Operating income increased due to the factors described above.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negatively impacted the current-year period operating income by $0.6 million due to the factors described above.</w:t>
      </w:r>
    </w:p>
    <w:p>
      <w:pPr>
        <w:spacing w:after="0" w:line="17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thirteen weeks ended November 3, 2018, operating income in the Direct segment increased $3.1 million, or 26.9%, to $14.3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$11.2 million in the comparable prior-year period. As a percentage of Direct segment net revenues, operating income in the Direct segment was 19.4% and 13.5% for the thirteen weeks ended November 3, 2018 and October 28, 2017, respectively. The increase in operating income as a percentage of Direct segment net revenues was primarily due to $5.9 million of store impairment charges in the prior-year period that did not recur in the current-year period, a reduction of $1.6 million in employee-related expenses, and a reduction of $0.6 million in depreciation expense primarily as a result of prior-year store impairment charges. In addition, there was an increase in gross margin as a percentage of net revenues, as described above. These benefits were partially offset by SG&amp;A expense deleverage associated with lower sales.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ASC 606 negatively impacted the current-year period Direct segment operating income by $0.3 million due to the factors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November 3, 2018, operating income in the Indirect segment decreased $0.4 million, or 4.2%, to $10.1 million from</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$10.5 million in the comparable prior-year period. As a percentage of Indirect segment net revenues, operating income in the Indirect segment was 41.6% and 34.0% for the thirteen weeks ended November 3, 2018 and October 28, 2017, respectively. The increase in operating income as a percentage of Indirect segment net revenues was primarily due to an increase in gross margin as a percentage of net revenues and severance expenses that were incurred in the prior-year period but did not recur in the current-year period, as described above. These benefits were partially offset by SG&amp;A expense deleverage associated with lower sales.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ASC 606 negatively impacted the current-year period Indirect segment operating income by $0.3 million due to the factors described above.</w:t>
      </w:r>
    </w:p>
    <w:p>
      <w:pPr>
        <w:spacing w:after="0" w:line="1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thirteen weeks ended November 3, 2018, unallocated expenses decreased $2.3 million, or 10.8%, to $19.0 million from $21.3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The decrease in unallocated expenses was primarily due to expenses from the prior-year period that did not recur in the current-year period, including $2.3 million in strategic consulting charges and $2.1 million in severance charges, partially offset by a $0.9 million increase in employee-related expenses and a $0.6 million increase in advertising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effective tax rate for the thirteen weeks ended November 3, 2018, was 23.4%, compared to 38.5% for the thirteen weeks ended October 28, 2017. The year-over year effective tax rate decrease was primarily due to a decreased annual effective tax rate as a result of the reduction in the U.S. corporate income tax rate to 21% from 35%.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thirteen weeks ended November 3, 2018, net income increased $3.8 million to $4.2 million from $0.4 million in the comparable prior-year period due to the factors described above. The prior-year period included store impairment charges of $5.9 million; severance charges of $2.9 million; strategic consulting charges of $2.3 million; inventory adjustments of $0.9 million; and a net lease termination charge and other Vision 20/20 charges of $0.6 million ($7.9 million collectively after the associated tax benefit) that did not recur in the current-year period.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negatively impacted the current-year period net income by $0.5 million due to the factors described above.</w:t>
      </w:r>
    </w:p>
    <w:p>
      <w:pPr>
        <w:spacing w:after="0" w:line="248" w:lineRule="exact"/>
        <w:rPr>
          <w:sz w:val="20"/>
          <w:szCs w:val="20"/>
          <w:color w:val="auto"/>
        </w:rPr>
      </w:pPr>
    </w:p>
    <w:p>
      <w:pPr>
        <w:ind w:right="3460"/>
        <w:spacing w:after="0" w:line="346" w:lineRule="auto"/>
        <w:rPr>
          <w:sz w:val="20"/>
          <w:szCs w:val="20"/>
          <w:color w:val="auto"/>
        </w:rPr>
      </w:pPr>
      <w:r>
        <w:rPr>
          <w:rFonts w:ascii="Arial" w:cs="Arial" w:eastAsia="Arial" w:hAnsi="Arial"/>
          <w:sz w:val="18"/>
          <w:szCs w:val="18"/>
          <w:b w:val="1"/>
          <w:bCs w:val="1"/>
          <w:color w:val="auto"/>
        </w:rPr>
        <w:t xml:space="preserve">Thirty-Nine Weeks Ended November 3, 2018, Compared to Thirty-Nine Weeks Ended October 28, 2017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thirty-nine weeks ended November 3, 2018, net revenues decreased $24.7 million, or 7.7%, to $297.9 million, from $322.6 million in the comparable prior-year period. The adoption of ASC 606 benefited the current-year period by $1.9 million.</w:t>
      </w:r>
    </w:p>
    <w:p>
      <w:pPr>
        <w:spacing w:after="0" w:line="11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thirty-nine weeks ended November 3, 2018, net revenues in the Direct segment decreased $11.3 million, or 4.7%, to $230.0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$241.3 million in the comparable prior-year period. Our non-comparable stores contributed $11.4 million of revenue, which included six additional factory outlet stores opened in the current fiscal year, which was more than offset by a comparable sales decrease of $22.8 million, or 9.9%. The decrease in comparable sales includes a 23.2% decrease in e-commerce sales and a 4.9% decrease in comparable store sales. Comparable sales (particularly for verabradley.com) were negatively impacted by the planned reduction in clearance activity.</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adoption of ASC 606 negatively impacted Direct segment net revenues in the current-year period by $0.1 million primarily due to the timing of shipments to customers.</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November 3, 2018, net revenues in the Indirect segment decreased $13.4 million, or 16.5%, to $67.9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$81.3 million in the comparable prior-year period. This change was primarily due to a decline in orders from the Company's specialty retail accounts and certain key accounts.</w:t>
      </w:r>
    </w:p>
    <w:p>
      <w:pPr>
        <w:spacing w:after="0" w:line="12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adoption of ASC 606 benefited Indirect segment net revenues in the current-year period by $2.0 million primarily due to the timing of shipments to customers as a result of changes in the frequency of product launches compared to the prior-year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thirty-nine weeks ended November 3, 2018, gross profit decreased $8.3 million, or 4.6%, to $171.5 million, from $179.8 million in the comparable prior-year period. As a percentage of net revenues, gross profit increased to 57.6% for the thirty-nine weeks ended November 3, 2018, from 55.7% in the comparable prior-year period. The increase as a percentage of net revenues was primarily due to reduced clearance activity and increased full-price selling on verabradley.com and in our full-line stores, freight and shipping savings, channel mix changes, and a reduction in product costs. The prior year included certain reserves taken against slow-moving inventory in the second quarter and adjustments taken against certain inventory categories as a result of Vision 20/20 initiatives in the third quarter that did not recur in the current year.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gross profit by $1.2 million primarily due to the factors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thirty-nine weeks ended November 3, 2018, SG&amp;A expenses decreased $24.7 million, or 13.6%, to $156.3 million, from $181.0 million in the comparable prior-year period. As a percentage of net revenues, SG&amp;A expenses decreased to 52.5% for the thirty-nine weeks ended November 3, 2018, from 56.1% in the comparable prior-year period. The decrease in SG&amp;A expenses for the thirty-nine weeks ended November 3, 2018 was primarily due to expenses incurred in the prior-year period that did not recur in the current-year period that provided savings of approximately $16.7 million, of which $5.9 million related to store impairment charges, $5.3 million related to severance expenses, and $4.6 million related to strategic consulting charges. In addition, there were approximately $8.0 million in expense reductions due in part to expense management strategies associated with Vision 20/20, including a $4.0 million decrease in employee-related expenses and a $2.0 million decrease in depreciation expenses. SG&amp;A expenses as a percentage of net revenues decreased primarily due to the aforementioned expense savings, partially offset by SG&amp;A expense deleverage associated with lower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thirty-nine weeks ended November 3, 2018, other income decreased $0.3 million, or 51.2%, to $0.3 million, from $0.6 million in the comparable prior-year period,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For the thirty-nine weeks ended November 3, 2018, operating income (loss) increased $16.0 million to $15.4 million in the current-year period, from $(0.6) million in the comparable prior-year period. As a percentage of net revenues, operating income (loss) was 5.2% and (0.2)% for the thirty-nine weeks ended November 3, 2018 and October 28, 2017, respectively. Operating income (loss) increased due to the factors described above.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operating income by $1.2 million due to the factors described above.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thirty-nine weeks ended November 3, 2018, operating income in the Direct segment increased $8.5 million, or 24.1%, to $43.9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$35.4 million in the comparable prior-year period. As a percentage of Direct segment net revenues, operating income in the Direct segment was 19.1% and 14.7% for the thirty-nine weeks ended November 3, 2018 and October 28, 2017, respectively. The increase in operating income as a percentage of Direct segment net revenues was primarily due to $5.9 million in store impairment charges incurred in the prior-year period that did not recur in the current-year period, a $4.1 million reduction in employee-related expenses due in part to expense management strategies associated with Vision 20/20, and $1.4 million in depreciation expense primarily as a result of prior-year store impairment charges. In addition, there was an increase in gross margin as a percentage of net revenues. These benefits were partially offset by SG&amp;A expense deleverage associated with lower sales.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21"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immaterially impacted Direct segment operating income.</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November 3, 2018, operating income in the Indirect segment decreased $0.6 million, or 2.2%, to $27.2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$27.8 million in the comparable prior-year period. As a percentage of Indirect segment net revenues, operating income in the Indirect segment was 40.0% and 34.2% for the thirty-nine weeks ended November 3, 2018 and October 28, 2017, respectively. The increase in operating income as a percentage of Indirect segment net revenues was primarily due to an increase in gross margin as a percentage of net revenues, a reduction in employee-related expenses, and severance expenses incurred in the prior-year period that did not recur in the current-year period, as described above, partially offset by SG&amp;A expense deleverage associated with lower sales.</w:t>
      </w:r>
    </w:p>
    <w:p>
      <w:pPr>
        <w:spacing w:after="0" w:line="58" w:lineRule="exact"/>
        <w:rPr>
          <w:sz w:val="20"/>
          <w:szCs w:val="20"/>
          <w:color w:val="auto"/>
        </w:rPr>
      </w:pPr>
    </w:p>
    <w:p>
      <w:pPr>
        <w:ind w:right="280"/>
        <w:spacing w:after="0" w:line="396" w:lineRule="auto"/>
        <w:rPr>
          <w:sz w:val="20"/>
          <w:szCs w:val="20"/>
          <w:color w:val="auto"/>
        </w:rPr>
      </w:pPr>
      <w:r>
        <w:rPr>
          <w:rFonts w:ascii="Arial" w:cs="Arial" w:eastAsia="Arial" w:hAnsi="Arial"/>
          <w:sz w:val="16"/>
          <w:szCs w:val="16"/>
          <w:color w:val="auto"/>
        </w:rPr>
        <w:t xml:space="preserve">The adoption of ASC 606 benefited the current-year period Indirect segment operating income by $1.2 million due to the factors described above. </w:t>
      </w:r>
      <w:r>
        <w:rPr>
          <w:rFonts w:ascii="Arial" w:cs="Arial" w:eastAsia="Arial" w:hAnsi="Arial"/>
          <w:sz w:val="16"/>
          <w:szCs w:val="16"/>
          <w:i w:val="1"/>
          <w:iCs w:val="1"/>
          <w:color w:val="auto"/>
        </w:rPr>
        <w:t>Corporate Unallocated</w:t>
      </w:r>
      <w:r>
        <w:rPr>
          <w:rFonts w:ascii="Arial" w:cs="Arial" w:eastAsia="Arial" w:hAnsi="Arial"/>
          <w:sz w:val="16"/>
          <w:szCs w:val="16"/>
          <w:color w:val="auto"/>
        </w:rPr>
        <w:t>. For the thirty-nine weeks ended November 3, 2018, unallocated expenses decreased $8.2 million, or 12.8%, to $55.6 million from</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$63.8 million in the comparable prior-year period. The decrease in unallocated expenses was primarily due to expenses from the prior-year period that did not recur in the current-year period, including $4.6 million in severance charges and $4.6 million in strategic consulting charges. These savings were partially offset by an increase in incentive compensation expense of approximately $1.6 million primarily as a result of Company performance.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effective tax rate for the thirty-nine weeks ended November 3, 2018, was 24.7%, compared to (298.1)% for the thirty-nine weeks ended October 28, 2017. The year-over year effective tax rate change was primarily due to the relative impact of discrete items in the current-year period compared to the prior-year period, primarily as a result of tax shortfalls from stock-based compensation, and a decreased annual effective tax rate as a result of the reduction in the U.S. corporate income tax rate to 21% from 35%.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the thirty-nine weeks ended November 3, 2018, net income (loss) increased $13.6 million to $12.1 million from $(1.5) million in the comparable prior-year period due to the factors described above. The prior-year period included store impairment charges of $5.9 million; severance charges of $5.4 million; strategic consulting charges of $4.6 million; inventory adjustments of $0.9 million; and net lease termination charges and other Vision 20/20 charges of $0.9 million ($11.2 million collectively after the associated tax benefit) that did not recur in the current-year period.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net income by $0.9 million due to the factors described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primary sources of liquidity are cash on hand and cash equivalents, investments, and cash flow from operations. We also have access to additional liquidity, if needed, through borrowings under our $75.0 million asset-based revolving credit agreement (the “New Credit Agreement”) which began on September 7, 2018. Through September 6, 2018, we had access to additional liquidity under our $125.0 million second amended and restated credit agreement (the “Prior Credit Agreement”). There were no borrowings under the New Credit Agreement or Prior Credit Agreement during the thirty-nine weeks ended November 3, 2018, and there was no debt outstanding as of November 3, 2018.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cash on hand and cash equivalents, investments, cash flows from operating activities, and the availability of borrowings under our New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Investments classified as cash equivalents relate to highly-liquid investments with a maturity of three months or less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As of November 3, 2018 and February 3, 2018, these investments in our portfolio consisted of commercial paper, a money market fund, and municipal securities.</w:t>
      </w:r>
    </w:p>
    <w:p>
      <w:pPr>
        <w:spacing w:after="0" w:line="46"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As of November 3, 2018 and February 3, 2018, short-term investments consisted of a certificate of deposit, U.S. and non-U.S.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debt securities, municipal securities, and commercial paper with a maturity within one year of the balance sheet date. The balance as of November 3, 2018 also included U.S. treasury securities.</w:t>
      </w:r>
    </w:p>
    <w:p>
      <w:pPr>
        <w:spacing w:after="0" w:line="12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As of November 3, 2018 and February 3, 2018, long-term investments consisted of U.S. and non-U.S. corporate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securities with a maturity greater than one year from the balance sheet date. The balance as of November 3, 2018 also included U.S. and non-U.S. asset-backed securities and the balance as of February 3, 2018 included U.S. treasury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11 “Investments” within Item 1 “Financial Statements” of this Quarterly Report on Form 10-Q for additional detail regarding investments.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3,</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October 28,</w:t>
            </w:r>
          </w:p>
        </w:tc>
      </w:tr>
      <w:tr>
        <w:trPr>
          <w:trHeight w:val="192"/>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(15,735)</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r>
      <w:tr>
        <w:trPr>
          <w:trHeight w:val="27"/>
        </w:trPr>
        <w:tc>
          <w:tcPr>
            <w:tcW w:w="8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cash provided by operating activities for the thirty-nine weeks ended November 3, 2018, was $11.6 million compared to $7.5 million for the thirty-nine weeks ended October 28, 2017. The increase in cash provided by operating activities was primarily a result of an increase in net income of $13.6 million, partially offset by a decrease in non-cash and cash adjustments of $6.6 million and a net use of cash as a result of changes in assets and liabilities of $2.9 million. The changes in assets and liabilities were primarily a result of the change in accounts payable, more than offset by the change in inventories and accounts receivable.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1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Net cash used in investing activities was $6.5 million and $15.7 million for the thirty-nine weeks ended November 3, 2018 and October 28, 2017, respectively. The decrease in cash used in investing activities was primarily a result of net investment activity related to debt securities and certificates of deposit in the current-year period compared to the comparable prior-year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2019 are expected to be approximately $8.0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Net cash used in financing activities was $11.5 million and $6.8 million for the thirty-nine weeks ended November 3, 2018 and October 28, 2017, respectively. The increase in cash used in financing activities was primarily due an increase in cash purchases of our common stock under the 2015 Share Repurchase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September 7, 2018, VBD, a wholly-owned subsidiary of the Company, entered into an asset based revolving Credit Agreement (the “New Credit Agreement”) among VBD, JPMorgan Chase Bank, N.A., as administrative agent, and the lenders from time to time party thereto. The New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New Credit Agreement also contains an option for VBD to arrange with lenders to increase the aggregate principal amount by up to $25.0 million.</w:t>
      </w:r>
    </w:p>
    <w:p>
      <w:pPr>
        <w:spacing w:after="0" w:line="5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Amounts outstanding under the New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New Credit Agreement also requires VBD to pay a commitment fee for the unused portion of the revolving facility of up to 0.20% per annum.</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VBD’s obligations under the New Credit Agreement are guaranteed by the Company and the Named Subsidiaries. The obligations of VBD under the New Credit Agreement are secured by substantially all of the respective assets of VBD, the Company, and the Named Subsidiaries and are further secured by the equity interests in VBD and the Named Subsidiaries.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New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New Credit Agreement. The Company was in compliance with these covenants as of November 3, 2018.</w:t>
      </w:r>
    </w:p>
    <w:p>
      <w:pPr>
        <w:spacing w:after="0" w:line="13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New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New Credit Agreement.</w:t>
      </w:r>
    </w:p>
    <w:p>
      <w:pPr>
        <w:spacing w:after="0" w:line="9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New Credit Agreement contains customary events of default, including, among other things: (i) the failure to pay any principal, interest, or other fees under the New Credit Agreement; (ii) the making of any materially incorrect representation or warranty; (iii) the failure to observe or perform any covenant, condition, or agreement in the New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New Credit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New Credit Agreement mature on September 7, 2023.</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15, 2015, VBD entered into the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“Prior Credit Agreement”). The Prior Credit Agreement provided for certain credit facilities to VBD in an aggregate principal amount not to initially exceed $125.0 million, the proceeds of which could be used for general corporate purposes of VBD and its subsidiaries, including but not limited to Vera Bradley International, LLC and Vera Bradley Sales, LLC. The Prior Credit Agreement was terminated concurrently with entering into the New Credit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3, 2018. In addition to these policies, refer to Note 1 “Description of the Company and Basis of Presentation” and Note 2 “Revenue from Contracts with Customers” within Item 1 “Financial Statements” of this Quarterly Report on Form 10-Q for a discussion of the Company's revenue accounting policy under the recently adopted Accounting Standards Codification Topic 606.</w:t>
      </w:r>
    </w:p>
    <w:p>
      <w:pPr>
        <w:spacing w:after="0" w:line="13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3, 2018. With the exception of revenue recognition, there were no significant changes to any of the critical accounting policies and estimates described in the Annual Report as of November 3,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November 3, 2018, there was no material change in the market risks described in “Quantitative and Qualitative Disclosures About Market Risks” in the Company’s Annual Report on Form 10-K for the fiscal year ended February 3, 2018.</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November 3, 2018.</w:t>
      </w:r>
    </w:p>
    <w:p>
      <w:pPr>
        <w:spacing w:after="0" w:line="13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1"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February 3, 2018.</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December 8, 2015, the Company's board of directors approved a share repurchase program (the “2015 Share Repurchase Program”) authorizing up to $50.0 million of repurchases of shares of the Company's common stock. The initial term of the 2015 Share Repurchase Program expired on December 31, 2017. On November 30, 2017, the Company’s board of directors authorized the Company to extend the 2015 Share Repurchase Program during an open window period until December 31, 2018. On November 29, 2018, subsequent to the end of the Company's third quarter, the Company's board of directors approved a new share repurchase plan. Refer to Note 14 “Subsequent Event” within Item 1 “Financial Statements” of this Quarterly Report on Form 10-Q for additional details.</w:t>
      </w:r>
    </w:p>
    <w:p>
      <w:pPr>
        <w:spacing w:after="0" w:line="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purchased 531,665 shares at an average price of $14.15 per share, excluding commissions, for an aggregate amount of $7.5 million during the thirteen weeks ended November 3, 2018, under the 2015 Share Repurchase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activity under the program during the thirteen weeks ended November 3, 2018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Under the Plans or Program</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5, 2018 - September 1, 2018</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28,389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9,428,497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September 2, 2018 - October 6,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247,543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247,543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5,730,030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7, 2018 - November 3, 2018</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255,733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255,733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2,308,483</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531,665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531,665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0" w:type="dxa"/>
            <w:vAlign w:val="bottom"/>
            <w:tcBorders>
              <w:top w:val="single" w:sz="8" w:color="auto"/>
            </w:tcBorders>
            <w:gridSpan w:val="2"/>
          </w:tcPr>
          <w:p>
            <w:pPr>
              <w:jc w:val="right"/>
              <w:spacing w:after="0"/>
              <w:rPr>
                <w:rFonts w:ascii="Arial" w:cs="Arial" w:eastAsia="Arial" w:hAnsi="Arial"/>
                <w:sz w:val="18"/>
                <w:szCs w:val="18"/>
                <w:color w:val="0000FF"/>
                <w:w w:val="96"/>
              </w:rPr>
            </w:pPr>
            <w:hyperlink w:anchor="page43">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4"/>
          </w:tcPr>
          <w:p>
            <w:pPr>
              <w:ind w:left="40"/>
              <w:spacing w:after="0"/>
              <w:rPr>
                <w:rFonts w:ascii="Arial" w:cs="Arial" w:eastAsia="Arial" w:hAnsi="Arial"/>
                <w:sz w:val="18"/>
                <w:szCs w:val="18"/>
                <w:color w:val="0000FF"/>
              </w:rPr>
            </w:pPr>
            <w:hyperlink w:anchor="page43">
              <w:r>
                <w:rPr>
                  <w:rFonts w:ascii="Arial" w:cs="Arial" w:eastAsia="Arial" w:hAnsi="Arial"/>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Arial" w:cs="Arial" w:eastAsia="Arial" w:hAnsi="Arial"/>
                <w:sz w:val="18"/>
                <w:szCs w:val="18"/>
                <w:color w:val="0000FF"/>
              </w:rPr>
            </w:pPr>
            <w:hyperlink w:anchor="page44">
              <w:r>
                <w:rPr>
                  <w:rFonts w:ascii="Arial" w:cs="Arial" w:eastAsia="Arial" w:hAnsi="Arial"/>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45">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Arial" w:cs="Arial" w:eastAsia="Arial" w:hAnsi="Arial"/>
                <w:sz w:val="18"/>
                <w:szCs w:val="18"/>
                <w:color w:val="0000FF"/>
              </w:rPr>
            </w:pPr>
            <w:hyperlink w:anchor="page45">
              <w:r>
                <w:rPr>
                  <w:rFonts w:ascii="Arial" w:cs="Arial" w:eastAsia="Arial" w:hAnsi="Arial"/>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00" w:right="60" w:hanging="1265"/>
        <w:spacing w:after="0" w:line="293"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materials from Vera Bradley, Inc.’s Quarterly Report on Form 10-Q for the quarter ended November 3, 2018 formatted in Extensible Business Reporting Language (XBRL): (i) Condensed Consolidated Statements of Operations for the Thirteen and Thirty-Nine Weeks ended November 3, 2018 and October 28, 2017; (ii) Condensed Consolidated Statements of Comprehensive Income for the Thirteen and Thirty-Nine Weeks ended November 3, 2018 and October 28, 2017; (iii) Condensed Consolidated Balance Sheets as of November 3, 2018 and February 3, 2018; (iv) Condensed Consolidated Statements of Cash Flows for the Thirty-Nine Weeks ended November 3, 2018 and October 28, 2017, and (v) Notes to Condensed Consolidated Financial Statements. **</w:t>
      </w:r>
    </w:p>
    <w:p>
      <w:pPr>
        <w:spacing w:after="0" w:line="124" w:lineRule="exact"/>
        <w:rPr>
          <w:sz w:val="20"/>
          <w:szCs w:val="20"/>
          <w:color w:val="auto"/>
        </w:rPr>
      </w:pPr>
    </w:p>
    <w:p>
      <w:pPr>
        <w:ind w:left="740" w:hanging="705"/>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12, 2018</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121"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12, 2018</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9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12, 2018</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November 3, 2018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quarterly report on Form 10-Q for the fiscal quarter ended November 3, 2018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1."/>
      <w:numFmt w:val="decimal"/>
      <w:start w:val="1"/>
    </w:lvl>
    <w:lvl w:ilvl="1">
      <w:lvlJc w:val="left"/>
      <w:lvlText w:val="(%2)"/>
      <w:numFmt w:val="lowerRoman"/>
      <w:start w:val="2"/>
    </w:lvl>
  </w:abstractNum>
  <w:abstractNum w:abstractNumId="4">
    <w:nsid w:val="7C83E458"/>
    <w:multiLevelType w:val="hybridMultilevel"/>
    <w:lvl w:ilvl="0">
      <w:lvlJc w:val="left"/>
      <w:lvlText w:val="%1"/>
      <w:numFmt w:val="decimal"/>
      <w:start w:val="1"/>
    </w:lvl>
    <w:lvl w:ilvl="1">
      <w:lvlJc w:val="left"/>
      <w:lvlText w:val="(%2)"/>
      <w:numFmt w:val="lowerRoman"/>
      <w:start w:val="5"/>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3"/>
    </w:lvl>
  </w:abstractNum>
  <w:abstractNum w:abstractNumId="9">
    <w:nsid w:val="333AB105"/>
    <w:multiLevelType w:val="hybridMultilevel"/>
    <w:lvl w:ilvl="0">
      <w:lvlJc w:val="left"/>
      <w:lvlText w:val="%1."/>
      <w:numFmt w:val="decimal"/>
      <w:start w:val="4"/>
    </w:lvl>
    <w:lvl w:ilvl="1">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5"/>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decimal"/>
      <w:start w:val="7"/>
    </w:lvl>
  </w:abstractNum>
  <w:abstractNum w:abstractNumId="14">
    <w:nsid w:val="75A2A8D4"/>
    <w:multiLevelType w:val="hybridMultilevel"/>
    <w:lvl w:ilvl="0">
      <w:lvlJc w:val="left"/>
      <w:lvlText w:val="%1."/>
      <w:numFmt w:val="decimal"/>
      <w:start w:val="8"/>
    </w:lvl>
  </w:abstractNum>
  <w:abstractNum w:abstractNumId="15">
    <w:nsid w:val="8EDBDAB"/>
    <w:multiLevelType w:val="hybridMultilevel"/>
    <w:lvl w:ilvl="0">
      <w:lvlJc w:val="left"/>
      <w:lvlText w:val="%1."/>
      <w:numFmt w:val="decimal"/>
      <w:start w:val="9"/>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1"/>
    </w:lvl>
  </w:abstractNum>
  <w:abstractNum w:abstractNumId="19">
    <w:nsid w:val="189A769B"/>
    <w:multiLevelType w:val="hybridMultilevel"/>
    <w:lvl w:ilvl="0">
      <w:lvlJc w:val="left"/>
      <w:lvlText w:val="%1."/>
      <w:numFmt w:val="decimal"/>
      <w:start w:val="12"/>
    </w:lvl>
  </w:abstractNum>
  <w:abstractNum w:abstractNumId="20">
    <w:nsid w:val="54E49EB4"/>
    <w:multiLevelType w:val="hybridMultilevel"/>
    <w:lvl w:ilvl="0">
      <w:lvlJc w:val="left"/>
      <w:lvlText w:val="%1."/>
      <w:numFmt w:val="decimal"/>
      <w:start w:val="13"/>
    </w:lvl>
  </w:abstractNum>
  <w:abstractNum w:abstractNumId="21">
    <w:nsid w:val="71F32454"/>
    <w:multiLevelType w:val="hybridMultilevel"/>
    <w:lvl w:ilvl="0">
      <w:lvlJc w:val="left"/>
      <w:lvlText w:val="%1."/>
      <w:numFmt w:val="decimal"/>
      <w:start w:val="14"/>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0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2019-12-28T17:18:38Z</dcterms:created>
  <dcterms:modified xsi:type="dcterms:W3CDTF">2019-12-28T17:18:38Z</dcterms:modified>
</cp:coreProperties>
</file>