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4"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1, 2015</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46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VERA BRADLEY,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24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5160" w:type="dxa"/>
            <w:vAlign w:val="bottom"/>
          </w:tcPr>
          <w:p>
            <w:pPr>
              <w:spacing w:after="0"/>
              <w:rPr>
                <w:sz w:val="24"/>
                <w:szCs w:val="24"/>
                <w:color w:val="auto"/>
              </w:rPr>
            </w:pPr>
          </w:p>
        </w:tc>
      </w:tr>
      <w:tr>
        <w:trPr>
          <w:trHeight w:val="23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51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39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(877) 708-8372</w:t>
            </w:r>
          </w:p>
        </w:tc>
      </w:tr>
      <w:tr>
        <w:trPr>
          <w:trHeight w:val="190"/>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1"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833" w:gutter="0" w:footer="0" w:header="0"/>
        </w:sect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5" w:right="239" w:bottom="833"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300" w:space="720"/>
            <w:col w:w="160" w:space="100"/>
            <w:col w:w="3920" w:space="720"/>
            <w:col w:w="2460" w:space="720"/>
            <w:col w:w="320"/>
          </w:cols>
          <w:pgMar w:left="240" w:top="225" w:right="239" w:bottom="833" w:gutter="0" w:footer="0" w:header="0"/>
          <w:type w:val="continuous"/>
        </w:sect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171" w:lineRule="exact"/>
        <w:rPr>
          <w:sz w:val="24"/>
          <w:szCs w:val="24"/>
          <w:color w:val="auto"/>
        </w:rPr>
      </w:pPr>
    </w:p>
    <w:p>
      <w:pPr>
        <w:sectPr>
          <w:pgSz w:w="11900" w:h="16838" w:orient="portrait"/>
          <w:cols w:equalWidth="0" w:num="2">
            <w:col w:w="8880" w:space="180"/>
            <w:col w:w="2360"/>
          </w:cols>
          <w:pgMar w:left="240" w:top="225" w:right="239" w:bottom="833"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registrant had 37,972,235 shares of its common stock outstanding as of September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83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140" w:type="dxa"/>
            <w:vAlign w:val="bottom"/>
            <w:gridSpan w:val="19"/>
          </w:tcPr>
          <w:p>
            <w:pPr>
              <w:spacing w:after="0"/>
              <w:rPr>
                <w:rFonts w:ascii="Times New Roman" w:cs="Times New Roman" w:eastAsia="Times New Roman" w:hAnsi="Times New Roman"/>
                <w:sz w:val="18"/>
                <w:szCs w:val="18"/>
                <w:b w:val="1"/>
                <w:bCs w:val="1"/>
                <w:color w:val="0000EE"/>
              </w:rPr>
            </w:pPr>
            <w:hyperlink w:anchor="page1">
              <w:r>
                <w:rPr>
                  <w:rFonts w:ascii="Times New Roman" w:cs="Times New Roman" w:eastAsia="Times New Roman" w:hAnsi="Times New Roman"/>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8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8"/>
          </w:tcPr>
          <w:p>
            <w:pPr>
              <w:spacing w:after="0"/>
              <w:rPr>
                <w:rFonts w:ascii="Times New Roman" w:cs="Times New Roman" w:eastAsia="Times New Roman" w:hAnsi="Times New Roman"/>
                <w:sz w:val="18"/>
                <w:szCs w:val="18"/>
                <w:b w:val="1"/>
                <w:bCs w:val="1"/>
                <w:color w:val="0000FF"/>
                <w:w w:val="98"/>
              </w:rPr>
            </w:pPr>
            <w:hyperlink w:anchor="page3">
              <w:r>
                <w:rPr>
                  <w:rFonts w:ascii="Times New Roman" w:cs="Times New Roman" w:eastAsia="Times New Roman" w:hAnsi="Times New Roman"/>
                  <w:sz w:val="18"/>
                  <w:szCs w:val="18"/>
                  <w:b w:val="1"/>
                  <w:bCs w:val="1"/>
                  <w:color w:val="0000FF"/>
                  <w:w w:val="98"/>
                </w:rPr>
                <w:t>PART I. FINANCIAL INFORMATION</w:t>
              </w:r>
            </w:hyperlink>
          </w:p>
        </w:tc>
        <w:tc>
          <w:tcPr>
            <w:tcW w:w="804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 (unaudited)</w:t>
              </w:r>
            </w:hyperlink>
          </w:p>
        </w:tc>
        <w:tc>
          <w:tcPr>
            <w:tcW w:w="780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as of August 1, 2015, and January 31, 2015</w:t>
              </w:r>
            </w:hyperlink>
          </w:p>
        </w:tc>
        <w:tc>
          <w:tcPr>
            <w:tcW w:w="4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Income for the Thirteen and Twenty-Six Weeks Ended August 1, 2015, and August 2, 2014</w:t>
              </w:r>
            </w:hyperlink>
          </w:p>
        </w:tc>
        <w:tc>
          <w:tcPr>
            <w:tcW w:w="1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 for the Thirteen and Twenty-Six Weeks Ended August 1, 2015, and August</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2, 2014</w:t>
              </w:r>
            </w:hyperlink>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18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Twenty-Six Weeks Ended August 1, 2015, and August 2, 2014</w:t>
              </w:r>
            </w:hyperlink>
          </w:p>
        </w:tc>
        <w:tc>
          <w:tcPr>
            <w:tcW w:w="180" w:type="dxa"/>
            <w:vAlign w:val="bottom"/>
            <w:gridSpan w:val="2"/>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Consolidated Financial Statements</w:t>
              </w:r>
            </w:hyperlink>
          </w:p>
        </w:tc>
        <w:tc>
          <w:tcPr>
            <w:tcW w:w="22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8</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72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14">
              <w:r>
                <w:rPr>
                  <w:rFonts w:ascii="Times New Roman" w:cs="Times New Roman" w:eastAsia="Times New Roman" w:hAnsi="Times New Roman"/>
                  <w:sz w:val="18"/>
                  <w:szCs w:val="18"/>
                  <w:color w:val="0000FF"/>
                  <w:w w:val="88"/>
                </w:rPr>
                <w:t>15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582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5">
              <w:r>
                <w:rPr>
                  <w:rFonts w:ascii="Times New Roman" w:cs="Times New Roman" w:eastAsia="Times New Roman" w:hAnsi="Times New Roman"/>
                  <w:sz w:val="18"/>
                  <w:szCs w:val="18"/>
                  <w:color w:val="0000FF"/>
                  <w:w w:val="88"/>
                </w:rPr>
                <w:t>26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8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FF"/>
                <w:w w:val="88"/>
              </w:rPr>
            </w:pPr>
            <w:hyperlink w:anchor="page26">
              <w:r>
                <w:rPr>
                  <w:rFonts w:ascii="Times New Roman" w:cs="Times New Roman" w:eastAsia="Times New Roman" w:hAnsi="Times New Roman"/>
                  <w:sz w:val="18"/>
                  <w:szCs w:val="18"/>
                  <w:color w:val="0000FF"/>
                  <w:w w:val="88"/>
                </w:rPr>
                <w:t>26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7"/>
          </w:tcPr>
          <w:p>
            <w:pPr>
              <w:spacing w:after="0"/>
              <w:rPr>
                <w:rFonts w:ascii="Times New Roman" w:cs="Times New Roman" w:eastAsia="Times New Roman" w:hAnsi="Times New Roman"/>
                <w:sz w:val="18"/>
                <w:szCs w:val="18"/>
                <w:b w:val="1"/>
                <w:bCs w:val="1"/>
                <w:color w:val="0000FF"/>
                <w:w w:val="97"/>
              </w:rPr>
            </w:pPr>
            <w:hyperlink w:anchor="page26">
              <w:r>
                <w:rPr>
                  <w:rFonts w:ascii="Times New Roman" w:cs="Times New Roman" w:eastAsia="Times New Roman" w:hAnsi="Times New Roman"/>
                  <w:sz w:val="18"/>
                  <w:szCs w:val="18"/>
                  <w:b w:val="1"/>
                  <w:bCs w:val="1"/>
                  <w:color w:val="0000FF"/>
                  <w:w w:val="97"/>
                </w:rPr>
                <w:t>PART II. OTHER INFORMATION</w:t>
              </w:r>
            </w:hyperlink>
          </w:p>
        </w:tc>
        <w:tc>
          <w:tcPr>
            <w:tcW w:w="834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Risk Factors</w:t>
              </w:r>
            </w:hyperlink>
          </w:p>
        </w:tc>
        <w:tc>
          <w:tcPr>
            <w:tcW w:w="9280" w:type="dxa"/>
            <w:vAlign w:val="bottom"/>
            <w:gridSpan w:val="1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80" w:type="dxa"/>
            <w:vAlign w:val="bottom"/>
            <w:gridSpan w:val="17"/>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7"/>
          </w:tcPr>
          <w:p>
            <w:pPr>
              <w:spacing w:after="0"/>
              <w:rPr>
                <w:sz w:val="24"/>
                <w:szCs w:val="24"/>
                <w:color w:val="auto"/>
              </w:rPr>
            </w:pPr>
          </w:p>
        </w:tc>
        <w:tc>
          <w:tcPr>
            <w:tcW w:w="584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28</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60" w:type="dxa"/>
            <w:vAlign w:val="bottom"/>
            <w:gridSpan w:val="12"/>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27" w:lineRule="exact"/>
        <w:rPr>
          <w:sz w:val="20"/>
          <w:szCs w:val="20"/>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 and</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continued declines in our comparable sales.</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January 31, 2015.</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Times New Roman" w:cs="Times New Roman" w:eastAsia="Times New Roman" w:hAnsi="Times New Roman"/>
                <w:sz w:val="18"/>
                <w:szCs w:val="18"/>
                <w:b w:val="1"/>
                <w:bCs w:val="1"/>
                <w:color w:val="0000EE"/>
              </w:rPr>
            </w:pPr>
            <w:hyperlink w:anchor="page1">
              <w:r>
                <w:rPr>
                  <w:rFonts w:ascii="Times New Roman" w:cs="Times New Roman" w:eastAsia="Times New Roman" w:hAnsi="Times New Roman"/>
                  <w:sz w:val="18"/>
                  <w:szCs w:val="18"/>
                  <w:b w:val="1"/>
                  <w:bCs w:val="1"/>
                  <w:color w:val="0000EE"/>
                </w:rPr>
                <w:t>Table of Contents</w:t>
              </w:r>
            </w:hyperlink>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5"/>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1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112,292</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31,374</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98,403</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3,208</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9,100</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13,320</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267,697</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109,003</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584</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357,177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377,284</w:t>
            </w:r>
          </w:p>
        </w:tc>
      </w:tr>
      <w:tr>
        <w:trPr>
          <w:trHeight w:val="67"/>
        </w:trPr>
        <w:tc>
          <w:tcPr>
            <w:tcW w:w="1360" w:type="dxa"/>
            <w:vAlign w:val="bottom"/>
            <w:tcBorders>
              <w:bottom w:val="single" w:sz="8" w:color="CCEEFF"/>
            </w:tcBorders>
            <w:gridSpan w:val="2"/>
          </w:tcPr>
          <w:p>
            <w:pPr>
              <w:spacing w:after="0"/>
              <w:rPr>
                <w:sz w:val="5"/>
                <w:szCs w:val="5"/>
                <w:color w:val="auto"/>
              </w:rPr>
            </w:pPr>
          </w:p>
        </w:tc>
        <w:tc>
          <w:tcPr>
            <w:tcW w:w="7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32,906</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14,595</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15,548</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63,049</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5,297</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24,467</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89,611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92,813</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Common stock, without par value; 200,000 shares authorized, 40,790 and 40,695 shares issued and 38,595</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40,074 outstanding, respectively</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80,992</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216,451</w:t>
            </w: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(12,957)</w:t>
            </w: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267,566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284,471</w:t>
            </w: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357,177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377,284</w:t>
            </w:r>
          </w:p>
        </w:tc>
      </w:tr>
      <w:tr>
        <w:trPr>
          <w:trHeight w:val="27"/>
        </w:trPr>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0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120,724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231,157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107,958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123,199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100,708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2,042</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24,429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9,658</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14,771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14,165</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40,663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40,722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0.35</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0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14,165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0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14,165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7,150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1,962</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24,897</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3,591</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32,756</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Non-cash operating, investing, and financing activities</w:t>
      </w:r>
    </w:p>
    <w:p>
      <w:pPr>
        <w:spacing w:after="0" w:line="20" w:lineRule="exact"/>
        <w:rPr>
          <w:sz w:val="20"/>
          <w:szCs w:val="20"/>
          <w:color w:val="auto"/>
        </w:rPr>
      </w:pPr>
      <w:r>
        <w:rPr>
          <w:sz w:val="20"/>
          <w:szCs w:val="20"/>
          <w:color w:val="auto"/>
        </w:rPr>
        <w:br w:type="column"/>
      </w:r>
    </w:p>
    <w:p>
      <w:pPr>
        <w:jc w:val="both"/>
        <w:ind w:left="800"/>
        <w:spacing w:after="0"/>
        <w:tabs>
          <w:tab w:leader="none" w:pos="2420" w:val="left"/>
        </w:tabs>
        <w:rPr>
          <w:sz w:val="20"/>
          <w:szCs w:val="20"/>
          <w:color w:val="auto"/>
        </w:rPr>
      </w:pPr>
      <w:r>
        <w:rPr>
          <w:rFonts w:ascii="Times New Roman" w:cs="Times New Roman" w:eastAsia="Times New Roman" w:hAnsi="Times New Roman"/>
          <w:sz w:val="18"/>
          <w:szCs w:val="18"/>
          <w:color w:val="auto"/>
        </w:rPr>
        <w:t>(36,250)</w:t>
      </w:r>
      <w:r>
        <w:rPr>
          <w:sz w:val="20"/>
          <w:szCs w:val="20"/>
          <w:color w:val="auto"/>
        </w:rPr>
        <w:tab/>
      </w:r>
      <w:r>
        <w:rPr>
          <w:rFonts w:ascii="Times New Roman" w:cs="Times New Roman" w:eastAsia="Times New Roman" w:hAnsi="Times New Roman"/>
          <w:sz w:val="18"/>
          <w:szCs w:val="18"/>
          <w:color w:val="auto"/>
        </w:rPr>
        <w:t>19,876</w:t>
      </w:r>
    </w:p>
    <w:p>
      <w:pPr>
        <w:spacing w:after="0" w:line="63" w:lineRule="exact"/>
        <w:rPr>
          <w:sz w:val="20"/>
          <w:szCs w:val="20"/>
          <w:color w:val="auto"/>
        </w:rPr>
      </w:pPr>
    </w:p>
    <w:p>
      <w:pPr>
        <w:jc w:val="both"/>
        <w:ind w:left="780"/>
        <w:spacing w:after="0"/>
        <w:tabs>
          <w:tab w:leader="none" w:pos="2420" w:val="left"/>
        </w:tabs>
        <w:rPr>
          <w:sz w:val="20"/>
          <w:szCs w:val="20"/>
          <w:color w:val="auto"/>
        </w:rPr>
      </w:pPr>
      <w:r>
        <w:rPr>
          <w:rFonts w:ascii="Times New Roman" w:cs="Times New Roman" w:eastAsia="Times New Roman" w:hAnsi="Times New Roman"/>
          <w:sz w:val="18"/>
          <w:szCs w:val="18"/>
          <w:color w:val="auto"/>
        </w:rPr>
        <w:t>112,292</w:t>
      </w:r>
      <w:r>
        <w:rPr>
          <w:sz w:val="20"/>
          <w:szCs w:val="20"/>
          <w:color w:val="auto"/>
        </w:rPr>
        <w:tab/>
      </w:r>
      <w:r>
        <w:rPr>
          <w:rFonts w:ascii="Times New Roman" w:cs="Times New Roman" w:eastAsia="Times New Roman" w:hAnsi="Times New Roman"/>
          <w:sz w:val="18"/>
          <w:szCs w:val="18"/>
          <w:color w:val="auto"/>
        </w:rPr>
        <w:t>59,215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76,042</w:t>
        <w:tab/>
        <w:t>$</w:t>
      </w:r>
      <w:r>
        <w:rPr>
          <w:sz w:val="20"/>
          <w:szCs w:val="20"/>
          <w:color w:val="auto"/>
        </w:rPr>
        <w:tab/>
      </w:r>
      <w:r>
        <w:rPr>
          <w:rFonts w:ascii="Times New Roman" w:cs="Times New Roman" w:eastAsia="Times New Roman" w:hAnsi="Times New Roman"/>
          <w:sz w:val="18"/>
          <w:szCs w:val="18"/>
          <w:color w:val="auto"/>
        </w:rPr>
        <w:t>79,091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15" w:lineRule="exact"/>
        <w:rPr>
          <w:sz w:val="20"/>
          <w:szCs w:val="20"/>
          <w:color w:val="auto"/>
        </w:rPr>
      </w:pPr>
    </w:p>
    <w:p>
      <w:pPr>
        <w:sectPr>
          <w:pgSz w:w="11900" w:h="16838" w:orient="portrait"/>
          <w:cols w:equalWidth="0" w:num="2">
            <w:col w:w="7660" w:space="720"/>
            <w:col w:w="30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289"/>
        </w:trPr>
        <w:tc>
          <w:tcPr>
            <w:tcW w:w="83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 incurred but not yet paid</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expenditures incurred but not yet paid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the Company and Basis of Presentation</w:t>
      </w:r>
    </w:p>
    <w:p>
      <w:pPr>
        <w:spacing w:after="0" w:line="94"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The terms “Company” and “Vera Bradley” refer to Vera Bradley, Inc. and its subsidiaries, except where the context requires otherwise or where otherwise indicated.</w:t>
      </w:r>
    </w:p>
    <w:p>
      <w:pPr>
        <w:spacing w:after="0" w:line="27"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Vera Bradley is a leading designer of women’s handbags and accessories, luggage and travel items, eyewear, and stationery and gifts. Founded in 1982 by friends Barbara Bradley Baekgaard and Patricia R. Miller, the brand’s iconic designs and versatile styles offer women of all ages a colorful way to accessorize every look.</w:t>
      </w:r>
    </w:p>
    <w:p>
      <w:pPr>
        <w:spacing w:after="0" w:line="4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direct-to-consumer eBay sales, and the Company's annual outlet sale in Fort Wayne, Indiana. As of August 1, 2015, the Company operated 107 full-line stores and 37 factory outlet stores. The Indirect business consists of sales of Vera Bradley products to approximately 2,700 specialty retail locations, substantially all of which are located in the United States, as well as department stores, national accounts, third-party e-commerce sites, the Company's wholesale business in Japan, and third-party inventory liquidation.</w:t>
      </w:r>
    </w:p>
    <w:p>
      <w:pPr>
        <w:spacing w:after="0" w:line="54"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January 31, 2015, filed with the SEC.</w:t>
      </w:r>
    </w:p>
    <w:p>
      <w:pPr>
        <w:spacing w:after="0" w:line="49"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1, 2015, are not necessarily indicative of the results to be expected for the full fiscal year.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The Company has eliminated intercompany balances and transactions in consolidation.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August 1, 2015, and August 2, 2014, refer to the thirteen-week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 and Tenant-Improvement Allowances</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August 1, 2015 and January 31, 2015, deferred rent liability was $10.4 million and $8.9 million, respectively, and is included within other long-term liabilities on the Consolidated Balance Sheets.</w:t>
      </w:r>
    </w:p>
    <w:p>
      <w:pPr>
        <w:spacing w:after="0" w:line="184" w:lineRule="exact"/>
        <w:rPr>
          <w:sz w:val="20"/>
          <w:szCs w:val="20"/>
          <w:color w:val="auto"/>
        </w:rPr>
      </w:pPr>
    </w:p>
    <w:p>
      <w:pPr>
        <w:ind w:left="660" w:right="300"/>
        <w:spacing w:after="0" w:line="255" w:lineRule="auto"/>
        <w:rPr>
          <w:sz w:val="20"/>
          <w:szCs w:val="20"/>
          <w:color w:val="auto"/>
        </w:rPr>
      </w:pPr>
      <w:r>
        <w:rPr>
          <w:rFonts w:ascii="Times New Roman" w:cs="Times New Roman" w:eastAsia="Times New Roman" w:hAnsi="Times New Roman"/>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August 1, 2015 and January 31, 2015, the deferred lease credit liability was $16.7 million and $13.8 million, respectively. Of these amounts, $2.2 million and $1.8 million is included within other accrued liabilities as of August 1, 2015 and January 31, 2015, respectively; and $14.5 million and $12.0 million is included within other long-term liabilities as of August 1, 2015 and January 31, 2015, respectively.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 xml:space="preserve">In April 2014, the Financial Accounting Standards Board (“FASB”) issued Accounting Standards Update (“ASU”) 2014-08, </w:t>
      </w:r>
      <w:r>
        <w:rPr>
          <w:rFonts w:ascii="Times New Roman" w:cs="Times New Roman" w:eastAsia="Times New Roman" w:hAnsi="Times New Roman"/>
          <w:sz w:val="18"/>
          <w:szCs w:val="18"/>
          <w:i w:val="1"/>
          <w:iCs w:val="1"/>
          <w:color w:val="auto"/>
        </w:rPr>
        <w:t>Reporting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and Disclosures of Disposals of Components of an Entity</w:t>
      </w:r>
      <w:r>
        <w:rPr>
          <w:rFonts w:ascii="Times New Roman" w:cs="Times New Roman" w:eastAsia="Times New Roman" w:hAnsi="Times New Roman"/>
          <w:sz w:val="18"/>
          <w:szCs w:val="18"/>
          <w:color w:val="auto"/>
        </w:rPr>
        <w:t>. This guidance states that the disposal of a component of an entity 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adoption of this standard did not have a material impact on the Company's Consolidated Financial Statements upon adoption.</w:t>
      </w:r>
    </w:p>
    <w:p>
      <w:pPr>
        <w:spacing w:after="0" w:line="51" w:lineRule="exact"/>
        <w:rPr>
          <w:sz w:val="20"/>
          <w:szCs w:val="20"/>
          <w:color w:val="auto"/>
        </w:rPr>
      </w:pPr>
    </w:p>
    <w:p>
      <w:pPr>
        <w:ind w:left="660" w:right="80"/>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54" w:lineRule="exact"/>
        <w:rPr>
          <w:sz w:val="20"/>
          <w:szCs w:val="20"/>
          <w:color w:val="auto"/>
        </w:rPr>
      </w:pPr>
    </w:p>
    <w:p>
      <w:pPr>
        <w:ind w:left="660" w:right="140"/>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45"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which modifies the presentation of debt issuance costs in financial statements. Under this new guidance, the Company will be required to present these costs in our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48"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7"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1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20" w:type="dxa"/>
            <w:vAlign w:val="bottom"/>
          </w:tcPr>
          <w:p>
            <w:pPr>
              <w:spacing w:after="0"/>
              <w:rPr>
                <w:sz w:val="12"/>
                <w:szCs w:val="12"/>
                <w:color w:val="auto"/>
              </w:rPr>
            </w:pPr>
          </w:p>
        </w:tc>
        <w:tc>
          <w:tcPr>
            <w:tcW w:w="100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5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14,771</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14,165</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40,663</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40,719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39,606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40,722</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Earnings per share - basic:</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0.35</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1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Earnings per share - diluted:</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As of August 1, 2015 and August 2, 2014, there were an immaterial number of additional shares issuable upon the vesting of restricted stock units that were excluded from the diluted share calculations because they were anti-dilutive.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receivables, other current assets, and payables as of August 1, 2015, and January 31, 2015,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240" w:top="117" w:right="3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were as follows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20" w:type="dxa"/>
            <w:vAlign w:val="bottom"/>
          </w:tcPr>
          <w:p>
            <w:pPr>
              <w:spacing w:after="0"/>
              <w:rPr>
                <w:sz w:val="13"/>
                <w:szCs w:val="13"/>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7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70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Raw materials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5,542</w:t>
            </w: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102,718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92,391</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103,921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98,403</w:t>
            </w: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220" w:hanging="564"/>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raw materials was primarily a result of the Company's finished goods suppliers purchasing and taking ownership of fabric.</w:t>
      </w:r>
    </w:p>
    <w:p>
      <w:pPr>
        <w:spacing w:after="0" w:line="2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As of August 1, 2015 and January 31, 2015, the Company had borrowing availability of $125.0 million under its second amended and restated credit agreement.</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1, 2015, was 39.3%, compared to 40.3% for the thirteen weeks ended August 2, 2014. The year-over year decrease is primarily due to the relative impact of discrete items occurring in the prior year but not the current year.</w:t>
      </w:r>
    </w:p>
    <w:p>
      <w:pPr>
        <w:spacing w:after="0" w:line="27"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1, 2015, was 63.8%, compared to 39.5% for the twenty-six weeks ended August 2, 2014. The year-over year increase is primarily due to the impact of discrete items, including an increase in income tax reserves for uncertain federal and state tax positions related to research and development tax credits from prior years.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94"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Company recognizes share-based compensation expense, for its awards of restricted stock and restricted stock units, in an amount equal to the fair market value of the underlying stock on the grant date of the respective award.</w:t>
      </w:r>
    </w:p>
    <w:p>
      <w:pPr>
        <w:spacing w:after="0" w:line="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Awards of Restricted Stock Units</w:t>
      </w:r>
    </w:p>
    <w:p>
      <w:pPr>
        <w:spacing w:after="0" w:line="173" w:lineRule="exact"/>
        <w:rPr>
          <w:sz w:val="20"/>
          <w:szCs w:val="20"/>
          <w:color w:val="auto"/>
        </w:rPr>
      </w:pPr>
    </w:p>
    <w:p>
      <w:pPr>
        <w:jc w:val="both"/>
        <w:ind w:left="660" w:right="32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1, 2015, the Company granted 36,001 time-based and performance-based restricted stock units with an aggregate fair value of $0.5 million to certain employees under the 2010 Equity and Incentive Plan compared to a total of 60,511 time-based and performance-based restricted stock units with an aggregate fair value of $1.4 million granted in the same period of the prior year.</w:t>
      </w:r>
    </w:p>
    <w:p>
      <w:pPr>
        <w:spacing w:after="0" w:line="122"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August 1, 2015, the Company granted 598,361 time-based and performance-based restricted stock units with an aggregate fair value of $9.5 million to certain employees and non-employee directors under the 2010 Equity and Incentive Plan compared to a total of 278,491 time-based and performance-based restricted stock units with an aggregate fair value of $7.3 million granted in the same period of the prior year. The Company determined the fair value of the awards based on the closing price of the Company’s common stock on the grant date.</w:t>
      </w:r>
    </w:p>
    <w:p>
      <w:pPr>
        <w:spacing w:after="0" w:line="126"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Beginning in fiscal 2014, all restricted stock units issued to non-employee directors vest after a one-year period from the grant date.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is recognizing the expense relating to these units, net of estimated forfeitures, on a straight-line basis over the vesting period.</w:t>
      </w:r>
    </w:p>
    <w:p>
      <w:pPr>
        <w:spacing w:after="0" w:line="171"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or earnings per share targets during the three-year performance period. The Company is recognizing the expense relating to these units, net of estimated forfeitures, based on the probable outcome of achievement of the financial targets, on a straight-line basis over three years.</w:t>
      </w:r>
    </w:p>
    <w:p>
      <w:pPr>
        <w:spacing w:after="0" w:line="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August 1, 2015 (units in thousands):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31, 2015</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August 1, 2015</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498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As of August 1, 2015, there was $8.9 million of total unrecognized compensation cost, net of estimated forfeitures, related to nonvested restricted stock units. That cost is expected to be recognized over a weighted-average period of 2.1 years.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9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94" w:lineRule="exact"/>
        <w:rPr>
          <w:sz w:val="20"/>
          <w:szCs w:val="20"/>
          <w:color w:val="auto"/>
        </w:rPr>
      </w:pPr>
    </w:p>
    <w:p>
      <w:pPr>
        <w:ind w:left="660" w:right="100"/>
        <w:spacing w:after="0" w:line="313" w:lineRule="auto"/>
        <w:rPr>
          <w:sz w:val="20"/>
          <w:szCs w:val="20"/>
          <w:color w:val="auto"/>
        </w:rPr>
      </w:pPr>
      <w:r>
        <w:rPr>
          <w:rFonts w:ascii="Times New Roman" w:cs="Times New Roman" w:eastAsia="Times New Roman" w:hAnsi="Times New Roman"/>
          <w:sz w:val="17"/>
          <w:szCs w:val="17"/>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w:t>
      </w:r>
    </w:p>
    <w:p>
      <w:pPr>
        <w:spacing w:after="0" w:line="3"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The Company purchased 1,574,380 shares at an average price of $13.03 per share, excluding commissions, for an aggregate amount of $20.5 million during the twenty-six weeks ended August 1, 2015. As of August 1, 2015, there was $6.5 million remaining available to repurchase shares of the Company's common stock under the 2014 Share Repurchase Program. Subsequent to quarter end, the Company purchased 623,633 shares at an average price of $10.47 per share, excluding commissions, which completed the 2014 Share Repurchase Program.</w:t>
      </w:r>
    </w:p>
    <w:p>
      <w:pPr>
        <w:spacing w:after="0" w:line="126"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As of August 1, 2015, the Company held as treasury shares 2,195,365 shares of its common stock at an average price of $15.25 per share, excluding commissions, for an aggregate carrying amount of $33.5 million. The Company’s treasury shares may be issued under the 2010 Equity and Incentive Plan or for other corporate purposes.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94"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On June 4, 2014, the Company entered into a five-year agreement with Mitsubishi Corporation Fashion Company and Look Inc. to import and distribute Vera Bradley products in Japan. As a result of moving to this wholesale business model, the Company exited its direct business in Japan during the third quarter of fiscal 2015 and the results of operations are reported as discontinued operations. Japan results were previously reported in the Direct segment, which has been restated to exclude the results of the discontinued operations for the periods presented. Following are the Japan results of operations (in thousands):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4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2"/>
                <w:szCs w:val="12"/>
                <w:color w:val="auto"/>
              </w:rPr>
            </w:pPr>
          </w:p>
        </w:tc>
        <w:tc>
          <w:tcPr>
            <w:tcW w:w="1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20" w:type="dxa"/>
            <w:vAlign w:val="bottom"/>
          </w:tcPr>
          <w:p>
            <w:pPr>
              <w:spacing w:after="0"/>
              <w:rPr>
                <w:sz w:val="12"/>
                <w:szCs w:val="12"/>
                <w:color w:val="auto"/>
              </w:rPr>
            </w:pPr>
          </w:p>
        </w:tc>
        <w:tc>
          <w:tcPr>
            <w:tcW w:w="108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44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2,408</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1,023</w:t>
            </w:r>
          </w:p>
        </w:tc>
      </w:tr>
      <w:tr>
        <w:trPr>
          <w:trHeight w:val="27"/>
        </w:trPr>
        <w:tc>
          <w:tcPr>
            <w:tcW w:w="4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1,385</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2,367</w:t>
            </w:r>
          </w:p>
        </w:tc>
      </w:tr>
      <w:tr>
        <w:trPr>
          <w:trHeight w:val="27"/>
        </w:trPr>
        <w:tc>
          <w:tcPr>
            <w:tcW w:w="4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from discontinued operations</w:t>
            </w:r>
          </w:p>
        </w:tc>
        <w:tc>
          <w:tcPr>
            <w:tcW w:w="98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7"/>
        </w:trPr>
        <w:tc>
          <w:tcPr>
            <w:tcW w:w="4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first quarter of fiscal 2016, the Company closed its manufacturing facility located in New Haven, Indiana.</w:t>
      </w:r>
    </w:p>
    <w:p>
      <w:pPr>
        <w:spacing w:after="0" w:line="90"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 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facility closure, are as follows (in thousands):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Inventory-Related</w:t>
            </w:r>
          </w:p>
        </w:tc>
        <w:tc>
          <w:tcPr>
            <w:tcW w:w="14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 Termination</w:t>
            </w: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320" w:type="dxa"/>
            <w:vAlign w:val="bottom"/>
          </w:tcPr>
          <w:p>
            <w:pPr>
              <w:spacing w:after="0"/>
              <w:rPr>
                <w:sz w:val="13"/>
                <w:szCs w:val="13"/>
                <w:color w:val="auto"/>
              </w:rPr>
            </w:pPr>
          </w:p>
        </w:tc>
        <w:tc>
          <w:tcPr>
            <w:tcW w:w="11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Benefits 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2015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January 31, 2015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2016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August 1, 2015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180"/>
        <w:spacing w:after="0" w:line="258" w:lineRule="auto"/>
        <w:rPr>
          <w:sz w:val="20"/>
          <w:szCs w:val="20"/>
          <w:color w:val="auto"/>
        </w:rPr>
      </w:pPr>
      <w:r>
        <w:rPr>
          <w:rFonts w:ascii="Times New Roman" w:cs="Times New Roman" w:eastAsia="Times New Roman" w:hAnsi="Times New Roman"/>
          <w:sz w:val="18"/>
          <w:szCs w:val="18"/>
          <w:color w:val="auto"/>
        </w:rPr>
        <w:t>Other charges affecting comparability of the financial results for the twenty-six weeks ended August 1, 2015 and August 2, 2014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94"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1"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color w:val="auto"/>
        </w:rPr>
        <w:t xml:space="preserve">The Direct segment includes the Company’s full-line and factory outlet stores, the Company’s website, verabradley.com, direct-to-consumer eBay sales, and the annual outlet sale. Revenues generated through this segment are driven through the sale of Company-branded products from Vera Bradley to end consumers. The Company exited its direct Japan operations in the third quarter of fiscal 2015. Direct segment results for the current and prior periods presented are reported on a continuing operations basis unless otherwise stated. Discontinued operations are detailed in Note 10 </w:t>
      </w: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of this Quarterly Report on Form 10-Q</w:t>
      </w:r>
      <w:r>
        <w:rPr>
          <w:rFonts w:ascii="Times New Roman" w:cs="Times New Roman" w:eastAsia="Times New Roman" w:hAnsi="Times New Roman"/>
          <w:sz w:val="18"/>
          <w:szCs w:val="18"/>
          <w:i w:val="1"/>
          <w:iCs w:val="1"/>
          <w:color w:val="auto"/>
        </w:rPr>
        <w:t>.</w:t>
      </w:r>
    </w:p>
    <w:p>
      <w:pPr>
        <w:spacing w:after="0" w:line="49"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Indirect segment represents revenues generated through the distribution of Company-branded products to specialty retailers representing approximately 2,700 locations, substantially all of which are located in the United States, as well as key accounts, which include department stores, national accounts, third-party e-commerce sites, the Company's wholesale business in Japan, and third-party inventory liquidation.</w:t>
      </w:r>
    </w:p>
    <w:p>
      <w:pPr>
        <w:spacing w:after="0" w:line="4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41"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August 1, 2015 and August 2, 2014, respectively, consisted of the following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00" w:type="dxa"/>
            <w:vAlign w:val="bottom"/>
          </w:tcPr>
          <w:p>
            <w:pPr>
              <w:spacing w:after="0"/>
              <w:rPr>
                <w:sz w:val="12"/>
                <w:szCs w:val="12"/>
                <w:color w:val="auto"/>
              </w:rPr>
            </w:pPr>
          </w:p>
        </w:tc>
        <w:tc>
          <w:tcPr>
            <w:tcW w:w="1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300" w:type="dxa"/>
            <w:vAlign w:val="bottom"/>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5"/>
        </w:trPr>
        <w:tc>
          <w:tcPr>
            <w:tcW w:w="3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83,775</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77,777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149,961</w:t>
            </w: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41,183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81,196</w:t>
            </w:r>
          </w:p>
        </w:tc>
      </w:tr>
      <w:tr>
        <w:trPr>
          <w:trHeight w:val="237"/>
        </w:trPr>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120,724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118,960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221,828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231,157</w:t>
            </w:r>
          </w:p>
        </w:tc>
      </w:tr>
      <w:tr>
        <w:trPr>
          <w:trHeight w:val="67"/>
        </w:trPr>
        <w:tc>
          <w:tcPr>
            <w:tcW w:w="3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16,557</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30,880</w:t>
            </w: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Indirect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31,386</w:t>
            </w:r>
          </w:p>
        </w:tc>
      </w:tr>
      <w:tr>
        <w:trPr>
          <w:trHeight w:val="237"/>
        </w:trPr>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31,345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33,069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62,266</w:t>
            </w:r>
          </w:p>
        </w:tc>
      </w:tr>
      <w:tr>
        <w:trPr>
          <w:trHeight w:val="67"/>
        </w:trPr>
        <w:tc>
          <w:tcPr>
            <w:tcW w:w="3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31,345</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62,266</w:t>
            </w: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(37,733)</w:t>
            </w: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9,486</w:t>
            </w:r>
          </w:p>
        </w:tc>
        <w:tc>
          <w:tcPr>
            <w:tcW w:w="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24,533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17"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cash flows of the Company as of and for the thirteen and twenty-six weeks ended August 1, 2015 and August 2, 2014. The following discussion should be read in conjunction with our Annual Report on Form 10-K for the fiscal year ended January 31, 2015, and our unaudited consolidated financial statements and the related notes included in Item 1 of this Quarterly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second quarter of fiscal 2016 (all comparisons are to the second quarter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progressing product innovation by launching two new fabrications, our Wildwood leather and Preppy Poly collections.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increase the mix of higher-margin, made-for-outlet product in our factory outlet stores.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build a more flexible, efficient, and cost-effective supply chain through vendor and country diversification.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six new full-line stores and three new factory outlet stores during the second quarter.</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make significant investments in marketing to modernize our brand and attract new customers.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enhanced our e-commerce search capabilities.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9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1.5% to $120.7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segment sales increased 7.7% to $83.8 million. Comparable sales (including e-commerce) decreased 15.0%.</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segment sales decreased 10.3% to $36.9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$66.6 million (55.1% of net revenue).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$9.5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was $9.4 million, or $0.15 per diluted share.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$76.0 million at August 1, 2015.</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twenty-six weeks totaled $15.4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for the thirteen weeks totaled $13.3 million.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2014, we entered into a five-year agreement with Mitsubishi Corporation Fashion Company and Look Inc. to</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import and distribute Vera Bradley products in Japan. As a result of moving to this wholesale business model, we exited our direct business in Japan during the third quarter of fiscal 2015 and are accounting for it as a discontinued operation. Consolidated income statement and Direct segment results for the current and prior periods presented are reported on a continuing operations basis unless otherwise stated.</w:t>
      </w:r>
    </w:p>
    <w:p>
      <w:pPr>
        <w:spacing w:after="0" w:line="209" w:lineRule="exact"/>
        <w:rPr>
          <w:sz w:val="20"/>
          <w:szCs w:val="20"/>
          <w:color w:val="auto"/>
        </w:rPr>
      </w:pPr>
    </w:p>
    <w:p>
      <w:pPr>
        <w:ind w:right="14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Restructuring and Other Charges Affecting Comparability of the Year-to-Date Periods ended August 1, 2015, and August 2, 2014 </w:t>
      </w:r>
      <w:r>
        <w:rPr>
          <w:rFonts w:ascii="Times New Roman" w:cs="Times New Roman" w:eastAsia="Times New Roman" w:hAnsi="Times New Roman"/>
          <w:sz w:val="18"/>
          <w:szCs w:val="18"/>
          <w:color w:val="auto"/>
        </w:rPr>
        <w:t>In the first quarter of fiscal 2016, the Company closed its manufacturing facility located in New Haven, Indiana.</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incurred restructuring and other charges during the first quarter of fiscal 2016 of approximately $3.4 million ($2.1 million after the associated tax benefit), related to the facility closing. These charges include severance and benefit costs of approximately $1.7 million, lease termination costs of approximately $0.7 million, inventory-related charges of approximately $0.6 million, and other associated net costs, which include accelerated depreciation related to fixed assets, of approximately $0.4 million. These charges are reflected in cost of sales in the Company's Consolidated Financial Statements.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17"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Management expects that the facility closure will reduce operating costs by approximately $12.0 million annually beginning in the fourth quarter of fiscal 2016. All production from the facility will be absorbed by the Company’s third party manufacturing suppliers.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Other charges affecting comparability of the financial results for the twenty-six weeks ended August 1, 2015 and August 2, 2014 totaled approximately $3.1 million ($2.1 million after the associated tax benefit) consisting of charges in the first quarter of fiscal 2016 of $1.3 million in employee severance (reflected in selling, general, and administrative expenses), $1.2 million due to a retail store early lease termination agreement (reflected in selling, general, and administrative expenses), and $0.6 million related to an increase in income tax reserves for uncertain federal and state tax positions related to research and development tax credits (reflected in income tax expense).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to the Notes to the Consolidated Financial Statements, herein,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direct-to-consumer eBay sales, and our annual outlet sale in Fort Wayne, Indiana. Revenues for the Indirect segment reflect sales to specialty retail partners, department stores, national accounts, third-party e-commerce sites, our wholesale business in Japan, and third-party inventory liquidation.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Comparable sales (including e-commerce)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3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27" w:lineRule="exact"/>
        <w:rPr>
          <w:sz w:val="20"/>
          <w:szCs w:val="20"/>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advertising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such as free shipping; commodity prices, such as for cotton; and labor costs.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income is equal to gross profit less SG&amp;A expenses plus other income. Operating income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 is equal to operating income less net interest expense and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net of taxes, is equal to the loss from the results of operations related to the direct Japan business, which was exited in the third quarter of fiscal 2015, adjusted for the associated tax benefit.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equal to the sum of income from continuing operations and loss from discontinued operations, net of taxes.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117" w:right="2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periods indicated, both in dollars and as a percentage of our net revenues ($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0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280" w:type="dxa"/>
            <w:vAlign w:val="bottom"/>
          </w:tcPr>
          <w:p>
            <w:pPr>
              <w:jc w:val="right"/>
              <w:ind w:right="431"/>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4"/>
        </w:trPr>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0"/>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120,724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118,960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221,828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231,157</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55,516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107,958</w:t>
            </w: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63,444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118,248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123,199</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50,663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114,963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100,708</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2,042</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24,533</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24,429</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9,658</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14,771</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(606)</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14,165</w:t>
            </w:r>
          </w:p>
        </w:tc>
      </w:tr>
      <w:tr>
        <w:trPr>
          <w:trHeight w:val="67"/>
        </w:trPr>
        <w:tc>
          <w:tcPr>
            <w:tcW w:w="48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48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37"/>
        </w:trPr>
        <w:tc>
          <w:tcPr>
            <w:tcW w:w="4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280" w:type="dxa"/>
            <w:vAlign w:val="bottom"/>
          </w:tcPr>
          <w:p>
            <w:pPr>
              <w:spacing w:after="0"/>
              <w:rPr>
                <w:sz w:val="21"/>
                <w:szCs w:val="21"/>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60" w:type="dxa"/>
            <w:vAlign w:val="bottom"/>
          </w:tcPr>
          <w:p>
            <w:pPr>
              <w:jc w:val="right"/>
              <w:ind w:right="417"/>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4"/>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
        </w:trPr>
        <w:tc>
          <w:tcPr>
            <w:tcW w:w="4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83,775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77,777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154,208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149,961</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28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36,949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41,183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67,620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81,196</w:t>
            </w:r>
          </w:p>
        </w:tc>
      </w:tr>
      <w:tr>
        <w:trPr>
          <w:trHeight w:val="27"/>
        </w:trPr>
        <w:tc>
          <w:tcPr>
            <w:tcW w:w="4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120,724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118,960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221,828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231,157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
        </w:trPr>
        <w:tc>
          <w:tcPr>
            <w:tcW w:w="4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4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80" w:type="dxa"/>
            <w:vAlign w:val="bottom"/>
          </w:tcPr>
          <w:p>
            <w:pPr>
              <w:jc w:val="right"/>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4"/>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17,122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24,584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30,880</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0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24,692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31,386</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(21,859)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(19,823)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(44,761)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(37,733)</w:t>
            </w:r>
          </w:p>
        </w:tc>
      </w:tr>
      <w:tr>
        <w:trPr>
          <w:trHeight w:val="237"/>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24,533</w:t>
            </w:r>
          </w:p>
        </w:tc>
      </w:tr>
      <w:tr>
        <w:trPr>
          <w:trHeight w:val="67"/>
        </w:trPr>
        <w:tc>
          <w:tcPr>
            <w:tcW w:w="48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74"/>
        </w:trPr>
        <w:tc>
          <w:tcPr>
            <w:tcW w:w="482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8"/>
                <w:szCs w:val="18"/>
                <w:b w:val="1"/>
                <w:bCs w:val="1"/>
                <w:color w:val="auto"/>
              </w:rPr>
              <w:t>Operating Income as a Percentage of Net Revenues by</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325,956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233,836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325,956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233,836</w:t>
            </w:r>
          </w:p>
        </w:tc>
      </w:tr>
      <w:tr>
        <w:trPr>
          <w:trHeight w:val="341"/>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362</w:t>
            </w:r>
          </w:p>
        </w:tc>
      </w:tr>
    </w:tbl>
    <w:p>
      <w:pPr>
        <w:spacing w:after="0" w:line="126"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full-line and factory outlet stores.</w:t>
      </w:r>
    </w:p>
    <w:p>
      <w:pPr>
        <w:spacing w:after="0" w:line="27" w:lineRule="exact"/>
        <w:rPr>
          <w:rFonts w:ascii="Times New Roman" w:cs="Times New Roman" w:eastAsia="Times New Roman" w:hAnsi="Times New Roman"/>
          <w:sz w:val="18"/>
          <w:szCs w:val="18"/>
          <w:color w:val="auto"/>
        </w:rPr>
      </w:pPr>
    </w:p>
    <w:p>
      <w:pPr>
        <w:jc w:val="both"/>
        <w:ind w:left="540" w:right="100" w:hanging="532"/>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(including e-commerce)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portion of the current or comparable prior period or the remodel resulted in a significant change in square footage.</w:t>
      </w:r>
    </w:p>
    <w:p>
      <w:pPr>
        <w:spacing w:after="0" w:line="1"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09" w:lineRule="exact"/>
        <w:rPr>
          <w:sz w:val="20"/>
          <w:szCs w:val="20"/>
          <w:color w:val="auto"/>
        </w:rPr>
      </w:pPr>
    </w:p>
    <w:p>
      <w:pPr>
        <w:ind w:right="43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Thirteen Weeks Ended August 1, 2015, Compared to Thirteen Weeks Ended August 2, 2014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2015, net revenues increased $1.7 million, or 1.5%, to $120.7 million, from $119.0 million in the comparable prior-year period.</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August 1, 2015, net revenues in the Direct segment increased $6.0 million, or 7.7%, to $83.8 million, from $77.8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comparable prior-year period. This change resulted from a $17.3 million increase in revenues at our non-comparable stores, which included 19 additional stores in the current year, partially offset by a comparable sales (including e-commerce) decrease of $11.3 million, or 15.0%. The decrease in comparable sales (including e-commerce)</w:t>
      </w:r>
    </w:p>
    <w:p>
      <w:pPr>
        <w:sectPr>
          <w:pgSz w:w="11900" w:h="16838" w:orient="portrait"/>
          <w:cols w:equalWidth="0" w:num="1">
            <w:col w:w="11420"/>
          </w:cols>
          <w:pgMar w:left="240" w:top="117"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0"/>
        <w:spacing w:after="0" w:line="313" w:lineRule="auto"/>
        <w:rPr>
          <w:sz w:val="20"/>
          <w:szCs w:val="20"/>
          <w:color w:val="auto"/>
        </w:rPr>
      </w:pPr>
      <w:r>
        <w:rPr>
          <w:rFonts w:ascii="Times New Roman" w:cs="Times New Roman" w:eastAsia="Times New Roman" w:hAnsi="Times New Roman"/>
          <w:sz w:val="17"/>
          <w:szCs w:val="17"/>
          <w:color w:val="auto"/>
        </w:rPr>
        <w:t>includes a 14.7% decrease in e-commerce sales and 15.2% decrease in comparable store sales. The declines in comparable store sales and comparable sales (including e-commerce) were primarily due to year-over-year declines in store and e-commerce traffic, partially as a result of reduced promotional activity.</w:t>
      </w:r>
    </w:p>
    <w:p>
      <w:pPr>
        <w:spacing w:after="0" w:line="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thirteen weeks ended August 1, 2015, net revenues in the Indirect segment decreased $4.3 million, or 10.3%, to $36.9 million, from $41.2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decrease was primarily due to lower average order size from the Company’s specialty retail accounts and a year-over-year reduction in the total number of specialty retail accounts, partially offset by the timing of the Company’s summer product launch (which resulted in approximately $3.7 million of revenues recognized in the second quarter of this year as compared to the first quarter of last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thirteen weeks ended August 1, 2015, gross profit increased $3.2 million, or 4.9%, to $66.6 million, from $63.4 million in the comparable prior-year period. As a percentage of net revenues, gross profit increased to 55.1% for the thirteen weeks ended August 1, 2015, from 53.3% in the comparable prior-year period. The increase in gross profit as a percentage of net revenues was primarily due to the increased sales of higher-margin made-for-outlet product in the Company’s factory outlet stores, leverage of overhead costs, Fall 2014 cost reductions at the Company's since-closed domestic manufacturing facility, lower levels of liquidation sales, and reduced promotional activity.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thirteen weeks ended August 1, 2015, SG&amp;A expenses increased $6.7 million, or 13.2%, to $57.4 million, from $50.7 million in the comparable prior-year period. As a percentage of net revenues, SG&amp;A expenses increased to 47.5% for the thirteen weeks ended August 1, 2015, from 42.6% in the comparable prior-year period. The $6.7 million increase was primarily due to strategic investments which included incremental marketing, new store expenses, and e-commerce investments. SG&amp;A expenses as a percentage of net revenues increased primarily due to the strategic investments, fixed expenses being spread over lower comparable revenues, as well as deleveraging of store operating expenses as a result of lower comparable store sales.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2015, other income decreased $0.2 million, or 39.1%, to $0.3 million, from $0.5 million in the comparable prior-year period, primarily due to a decrease in reimbursement of co-op mailer expense from Indirect retailers.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For the thirteen weeks ended August 1, 2015, operating income decreased $3.7 million, or 28.4%, to $9.5 million in the current year, from $13.2 million in the comparable prior-year period. As a percentage of net revenues, operating income was 7.9% and 11.1% for the thirteen weeks ended August 1, 2015 and August 2, 2014, respectively. The decrease in operating income was due to an increase in selling, general, and administrative expenses and decrease in other income, partially offset by an increase in gross profit, which are described above.</w:t>
      </w:r>
    </w:p>
    <w:p>
      <w:pPr>
        <w:spacing w:after="0" w:line="124"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thirteen weeks ended August 1, 2015, operating income in the Direct segment decreased $0.5 million, or 3.3%, to $16.6 million from $17.1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As a percentage of Direct segment net revenues, operating income in the Direct segment was 19.8% and 22.0% for the thirteen weeks ended August 1, 2015 and August 2, 2014, respectively. The decrease in operating income was primarily due to strategic investments including new store expenses and e-commerce investments, partially offset by an increase in gross profit as a percentage of net revenues, which is described above.</w:t>
      </w:r>
    </w:p>
    <w:p>
      <w:pPr>
        <w:spacing w:after="0" w:line="12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Indirect</w:t>
      </w:r>
      <w:r>
        <w:rPr>
          <w:rFonts w:ascii="Times New Roman" w:cs="Times New Roman" w:eastAsia="Times New Roman" w:hAnsi="Times New Roman"/>
          <w:sz w:val="17"/>
          <w:szCs w:val="17"/>
          <w:color w:val="auto"/>
        </w:rPr>
        <w:t>. For the thirteen weeks ended August 1, 2015, operating income in the Indirect segment decreased $1.1 million, or 7.3%, to $14.8 million from $15.9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the comparable prior-year period. As a percentage of Indirect segment net revenues, operating income in the Indirect segment was 40.0% and</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38.7% for the thirteen weeks ended August 1, 2015 and August 2, 2014, respectively. The decrease in operating income is primarily due to a decrease in net revenues, partially offset by an increase in gross profit as a percentage of net revenues, which are described above.</w:t>
      </w:r>
    </w:p>
    <w:p>
      <w:pPr>
        <w:spacing w:after="0" w:line="12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August 1, 2015, unallocated expenses increased $2.1 million, or 10.3%, to $21.9 million from $19.8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primarily due to incremental marketing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1, 2015, was 39.3%, compared to 40.3% for the thirteen weeks ended August 2, 2014. The year-over-year decrease is primarily due to the relative impact of discrete items occurring in the prior year but not the current year.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7"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2015, income from continuing operations decreased $2.2 million, or 27.6%, to $5.7 million from $7.9 million in the comparable prior-year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2, 2014, loss from discontinued operations, net of taxes, was $0.3 million reflecting the Company's exit from Japan operations during the third quarter of fiscal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2015, net income decreased $1.9 million, or 24.8%, to $5.7 million from $7.6 million in the comparable prior-year period.</w:t>
      </w:r>
    </w:p>
    <w:p>
      <w:pPr>
        <w:spacing w:after="0" w:line="185" w:lineRule="exact"/>
        <w:rPr>
          <w:sz w:val="20"/>
          <w:szCs w:val="20"/>
          <w:color w:val="auto"/>
        </w:rPr>
      </w:pPr>
    </w:p>
    <w:p>
      <w:pPr>
        <w:ind w:right="400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Twenty-Six Weeks Ended August 1, 2015, Compared to Twenty-Six Weeks Ended August 2, 2014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1, 2015, net revenues decreased $9.4 million, or 4.0%, to $221.8 million, from $231.2 million in the comparable prior-year period.</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twenty-six weeks ended August 1, 2015, net revenues in the Direct segment increased $4.2 million, or 2.8%, to $154.2 million, from $150.0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This change resulted from a $26.7 million increase in revenues at our non-comparable stores, which included 19 additional stores in the current year, which was partially offset by a comparable sales (including e-commerce) decrease of $21.7 million, or 15.8%. The decrease in comparable sales (including e-commerce) includes a 12.4% decrease in e-commerce sales, an 18.3% decrease in comparable store sales, as well as a decrease in total sales at our annual outlet sale compared to the prior year. The declines in comparable store sales and comparable sales (including e-commerce) were primarily due to year-over-year declines in store and e-commerce traffic, partially as a result of reduced promotional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twenty-six weeks ended August 1, 2015, net revenues in the Indirect segment decreased $13.6 million, or 16.7%, to $67.6 million, from</w:t>
      </w:r>
    </w:p>
    <w:p>
      <w:pPr>
        <w:spacing w:after="0" w:line="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$81.2 million in the comparable prior-year period, primarily due to lower average order size from the Company’s specialty retail accounts. In addition, there was a year-over-year reduction in the total number of specialty retail accounts.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twenty-six weeks ended August 1, 2015, gross profit decreased $5.0 million, or 4.0%, to $118.2 million, from $123.2 million in the comparable prior-year period. As a percentage of net revenues, gross profit was consistent at 53.3% for the twenty-six weeks ended August 1, 2015 and the comparable prior-year period. Gross profit included restructuring charges of $3.4 million related to the closure of our manufacturing facility in the first quarter of fiscal 2016, as discussed in more detail in Note 11 to the Notes to the Consolidated Financial Statements herein, offset by increased sales of higher-margin made-for-outlet product in the Company’s factory outlet stores, leverage of overhead costs, Fall 2014 cost reductions at the Company's since-closed domestic manufacturing facility, lower levels of liquidation sales, and reduced promotional activity.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the twenty-six weeks ended August 1, 2015, SG&amp;A expenses increased $14.3 million, or 14.2%, to $115.0 million, from $100.7 million in the comparable prior-year period. As a percentage of net revenues, SG&amp;A expenses increased to 51.8% for the twenty-six weeks ended August 1, 2015, from 43.6% in the comparable prior-year period. The increase in SG&amp;A expenses for the twenty-six weeks ended August 1, 2015, included $1.3 million in employee severance expense and $1.2 million in expense related to a retail store early termination agreement that did not occur in the comparable period. The remaining increase was primarily due to strategic investments, which included incremental marketing, new store expenses, and e-commerce investments. SG&amp;A expenses as a percentage of net revenues increased primarily due to the strategic investments, fixed expenses being spread over lower revenues and deleveraging of store operating expenses as a result of lower comparable store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1, 2015, other income decreased $0.8 million, or 39.8%, to $1.2 million, from $2.0 million in the comparable prior-year period, primarily due to a decrease in reimbursement of co-op mailer expense from Indirect retailers.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twenty-six weeks ended August 1, 2015, operating income decreased $20.0 million, or 81.6%, to $4.5 million in the current year, from $24.5 million in the comparable prior-year period. As a percentage of net revenues, operating income was 2.0% and 10.6% for the twenty-six weeks ended August 1, 2015 and August 2, 2014, respectively. Operating income for the twenty-six weeks ended August 1, 2015, was negatively impacted by the $5.9 million in restructuring and other charges described above under “Gross Profit” and “Selling, General, and Administrative Expenses.” The remaining decrease in operating income was due to an increase in selling, general, and administrative expenses and a decrease in other income and gross profit, which are described above.</w:t>
      </w:r>
    </w:p>
    <w:p>
      <w:pPr>
        <w:spacing w:after="0" w:line="13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Direct</w:t>
      </w:r>
      <w:r>
        <w:rPr>
          <w:rFonts w:ascii="Times New Roman" w:cs="Times New Roman" w:eastAsia="Times New Roman" w:hAnsi="Times New Roman"/>
          <w:sz w:val="18"/>
          <w:szCs w:val="18"/>
          <w:color w:val="auto"/>
        </w:rPr>
        <w:t>. For the twenty-six weeks ended August 1, 2015, operating income in the Direct segment decreased $6.3 million, or 20.4%, to $24.6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$30.9 million in the comparable prior-year period. As a percentage of Direct segment net revenues, operating income in the Direct segment was 15.9% and 20.6% for the twenty-six weeks ended August 1, 2015 and August 2, 2014, respectively. Operating income in the Direct segment was negatively impacted by $3.5 million in aggregate restructuring and other charges related to the closure of our manufacturing facility in the first quarter of fiscal 2016 and a retail store early termination agreement. The remaining decrease was primarily due to strategic investments including new store expenses and e-commerce investments, partially offset by an increase in gross profit as a percentage of net revenues, which is described above.</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Indirect</w:t>
      </w:r>
      <w:r>
        <w:rPr>
          <w:rFonts w:ascii="Times New Roman" w:cs="Times New Roman" w:eastAsia="Times New Roman" w:hAnsi="Times New Roman"/>
          <w:sz w:val="18"/>
          <w:szCs w:val="18"/>
          <w:color w:val="auto"/>
        </w:rPr>
        <w:t>. For the twenty-six weeks ended August 1, 2015, operating income in the Indirect segment decreased $6.7 million, or 21.3%, to $24.7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$31.4 million in the comparable prior-year period. As a percentage of Indirect segment net revenues, operating income in the Indirect segment was 36.5% and 38.7% for the twenty-six weeks ended August 1, 2015 and August 2, 2014, respectively. Operating income in the Indirect segment was negatively impacted by $1.1 million in restructuring charges related to the closure of our manufacturing facility in the first quarter of fiscal 2016. The remaining decrease in operating income is primarily due to a decrease in net revenues, partially offset by an increase in gross profit as a percentage of net revenues, which are described above.</w:t>
      </w:r>
    </w:p>
    <w:p>
      <w:pPr>
        <w:spacing w:after="0" w:line="12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August 1, 2015, unallocated expenses increased $7.1 million, or 18.6%, to $44.8 million from $37.7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included $1.3 million in employee severance expense. The remaining increase was primarily due to incremental marketing investments.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1, 2015, was 63.8%, compared to 39.5% for the twenty-six weeks ended August 2, 2014. The year-over-year increase is primarily due to the impact of discrete items, including an increase in income tax reserves for uncertain federal and state tax positions related to research and development tax credits from prior years.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p>
      <w:pPr>
        <w:spacing w:after="0" w:line="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1, 2015, income from continuing operations decreased $13.2 million, or 89.3%, to $1.6 million from $14.8 million in the comparable prior-year period. Included in this decrease were restructuring and other charges of $6.5 million ($4.2 million after the associated tax benefit), as described in Note 11 to the Notes to the Consolidated Financial Statements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2, 2014, loss from discontinued operations, net of taxes was $0.6 million reflecting the Japan operations which were exited during the third quarter of fiscal 2015.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1, 2015, net income decreased $12.6 million, or 88.9%, to $1.6 million from $14.2 million in the comparable prior-year period. Included in this decrease were restructuring and other charges of $6.5 million ($4.2 million after the associated tax benefit), as described in Note 11 to the Consolidated Financial Statements herein.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7"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primary source of liquidity is cash flow from operations. We also have access to additional liquidity, if needed, through borrowings under our $125.0 million second amended and restated credit agreement. There were no borrowings under this agreement at August 1, 2015.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cash flows from operating activities and the availability of borrowings under our second amended and restated credit agreement or other financing arrangements will be sufficient to meet working capital requirements, anticipated capital expenditures, share repurchases, and debt payments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0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August 2,</w:t>
            </w:r>
          </w:p>
        </w:tc>
      </w:tr>
      <w:tr>
        <w:trPr>
          <w:trHeight w:val="194"/>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32,756</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9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twenty-six weeks ended August 1, 2015, was $1.0 million, compared to net cash provided by operating activities of $32.8 million for the twenty-six weeks ended August 2, 2014. This decrease was primarily due to a decrease in net income of $12.6 million along with a change in inventory balances that resulted in a $5.5 million use of cash for the twenty-six weeks ended August 1, 2015, as compared to $24.9 million of cash provided for the twenty-six weeks ended August 2, 2014.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new store openings, buildings, operational equipment, and information technology investments.</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$15.4 million and $12.2 million for the twenty-six weeks ended August 1, 2015 and August 2, 2014, respectively. The increase in capital expenditures was due primarily to the opening of 19 new stores in the first and second quarter of the current year as compared to ten stores in the comparable prior year period, which was partially offset by reduced spending for the campus consolidation project.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2016 are expected to be approximately $31.0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$19.9 million for the twenty-six weeks ended August 1, 2015 which was primarily related to purchases of shares of the Company's common stock made under the 2014 Share Repurchase Program. This compares to net cash used in financing activities of $0.6 million for the twenty-six weeks ended August 2, 2014.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Credit Agreement</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agreement. The Credit Agreement provides for certain credit facilities to VBD in an aggregate principal amount not to initially exceed $125.0 million, the proceeds of which will be used for general corporate purposes of VBD and its subsidiaries, including but not limited to Vera Bradley International, LLC and Vera Bradley Sales, LLC (collectively, the “Named Subsidiaries”).</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August 1, 2015, the Company had borrowing availability of $125.0 million under the agreement.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 The Company was in compliance with these covenants as of August 1, 2015.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31, 2015.</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31, 2015. As of August 1, 2015, there was no significant change to any of the critical accounting policies and estimates described in the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In April 2014, the Financial Accounting Standards Board (“FASB”) issued Accounting Standards Update (“ASU”) 2014-08, </w:t>
      </w:r>
      <w:r>
        <w:rPr>
          <w:rFonts w:ascii="Times New Roman" w:cs="Times New Roman" w:eastAsia="Times New Roman" w:hAnsi="Times New Roman"/>
          <w:sz w:val="17"/>
          <w:szCs w:val="17"/>
          <w:i w:val="1"/>
          <w:iCs w:val="1"/>
          <w:color w:val="auto"/>
        </w:rPr>
        <w:t>Reporting Discontinued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 and Disclosures of Disposals of Components of an Entity</w:t>
      </w:r>
      <w:r>
        <w:rPr>
          <w:rFonts w:ascii="Times New Roman" w:cs="Times New Roman" w:eastAsia="Times New Roman" w:hAnsi="Times New Roman"/>
          <w:sz w:val="17"/>
          <w:szCs w:val="17"/>
          <w:color w:val="auto"/>
        </w:rPr>
        <w:t>. This guidance states that the disposal of a component of an entity is to be reported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discontinued operations only if the disposal represents a strategic shift that has (or will have) a major effect on an entity’s operations and financial results. The pronouncement also requires additional disclosures regarding individually significant disposals of components that do not meet the criteria to be recognized as a discontinued operation as well as additional and expanded disclosures. The guidance is effective for all disposals (or classifications as held for sale) of components of an entity and all businesses or nonprofit activities that, on acquisition, are classified as held for sale that occur within annual periods beginning on or after December 15, 2014, and interim periods within annual periods beginning on or after December 15, 2015; it is applied prospectively. Early adoption is permitted, but only for disposals (or classifications as held for sale) that have not been reported in financial statements previously issued or available for issuance. The adoption of this standard did not have a material impact on the Company's Consolidated Financial Statements upon adoption.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7"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3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fiscal 2019. Earlier application is permitted as of the original effective date, annual reporting periods beginning after December 2016, including interim periods within that reporting period. The Company is currently evaluating the impact of this standard, including the transition method, on its consolidated results of operations, financial position and cash flows.</w:t>
      </w:r>
    </w:p>
    <w:p>
      <w:pPr>
        <w:spacing w:after="0" w:line="5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xml:space="preserve"> which requires management to evaluate whether there is substantial doubt about an entity’s ability to continue as a going concern and provide related footnote disclosures. The guidance is effective for annual or interim reporting periods beginning on or after December 15, 2016. Early adoption is permitted for financial statements that have not been previously issued. The standard allows for either a full retrospective or modified retrospective transition method. The Company does not expect this standard to have an impact on the Company’s Consolidated Financial Statements upon adoption.</w:t>
      </w:r>
    </w:p>
    <w:p>
      <w:pPr>
        <w:spacing w:after="0" w:line="4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which modifies the presentation of debt issuance costs in financial statements. Under this new guidance, the Company will be required to present these costs in our condensed consolidated balance sheets as a direct deduction from the related debt liability. The requirements of the new standard will become effective for fiscal years, and interim periods within those fiscal years (including retrospective application), beginning after December 15, 2015; early adoption is permitted. The Company is currently evaluating this guidance and does not expect the application of this standard to have a material impact on the Company’s Consolidated Financial Statements upon adoption.</w:t>
      </w:r>
    </w:p>
    <w:p>
      <w:pPr>
        <w:spacing w:after="0" w:line="4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which requires entities to measure inventory at the lower of cost and net realizable value. This guidance is effective for interim and annual periods beginning on or after December 15, 2016. The Company is currently evaluating this guidance and does not expect the application of this standard to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117"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1, 2015, there was no material change in the market risks described in “Quantitative and Qualitative Disclosures About Market Risks” in the Company’s Annual Report on Form 10-K for the fiscal year ended January 31, 2015.</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1, 2015.</w:t>
      </w:r>
    </w:p>
    <w:p>
      <w:pPr>
        <w:spacing w:after="0" w:line="13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240" w:top="117" w:right="5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to our risk factors as previously set forth in the Company’s Annual Report on Form 10-K for the fiscal year ended January 31, 2015.</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September 9, 2014, the Company’s board of directors approved a share repurchase program (the “2014 Share Repurchase Program”) authorizing up to $40.0 million of repurchases of shares of the Company's common stock. The 2014 Share Repurchase Program expires in October 2016. During the thirteen weeks ended August 1, 2015, the Company repurchased 1,149,531 shares of the Company's common stock at an average price of $11.60 per share, excluding commissions.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on the shares repurchased under the program during the thirteen weeks ended August 1, 2015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00" w:type="dxa"/>
            <w:vAlign w:val="bottom"/>
            <w:vMerge w:val="restart"/>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Plans or Program</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 2015 - May 30, 2015</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145,500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145,500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17,853,799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May 31, 2015 - July 4, 2015</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460,000</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12,560,534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5, 2015 - August 1, 2015</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544,031</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544,031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6,527,471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9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1,149,531</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1,149,531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Exhibits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16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July 15, 2015 among Vera Bradley Designs, Inc., JPMorgan Chase Bank,</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National Association, and the lenders party thereto</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906 Certifications*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300" w:right="120" w:hanging="1265"/>
        <w:spacing w:after="0" w:line="25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Vera Bradley, Inc.’s Quarterly Report on Form 10-Q for the quarter ended August 1, 2015 formatted in Extensible Business Reporting Language (XBRL): (i) Consolidated Statements of Income for the Thirteen and Twenty-Six Weeks ended August 1, 2015 and August 2, 2014; (ii) Consolidated Statements of Comprehensive Income for the Thirteen and Twenty-Six Weeks ended August 1, 2015 and August 2, 2014; (iii) Consolidated Balance Sheets as of August 1, 2015 and January 31, 2015; (iv) Consolidated Statements of Cash Flows for the Twenty-Six Weeks ended August 1, 2015 and August 2, 2014, and (v) Notes to Consolidated Financial Statements. **</w:t>
      </w:r>
    </w:p>
    <w:p>
      <w:pPr>
        <w:spacing w:after="0" w:line="147" w:lineRule="exact"/>
        <w:rPr>
          <w:sz w:val="20"/>
          <w:szCs w:val="20"/>
          <w:color w:val="auto"/>
        </w:rPr>
      </w:pPr>
    </w:p>
    <w:p>
      <w:pPr>
        <w:ind w:left="740" w:hanging="70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9, 2015</w:t>
      </w:r>
      <w:r>
        <w:rPr>
          <w:sz w:val="20"/>
          <w:szCs w:val="20"/>
          <w:color w:val="auto"/>
        </w:rPr>
        <w:tab/>
      </w:r>
      <w:r>
        <w:rPr>
          <w:rFonts w:ascii="Times New Roman" w:cs="Times New Roman" w:eastAsia="Times New Roman" w:hAnsi="Times New Roman"/>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Kevin J. Sierks</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240" w:top="117"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5"/>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16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July 15, 2015 among Vera Bradley Designs, Inc., JPMorgan Chase Bank,</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National Association, and the lenders party thereto</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CFO Section 302 Certification</w:t>
            </w:r>
          </w:p>
        </w:tc>
        <w:tc>
          <w:tcPr>
            <w:tcW w:w="0" w:type="dxa"/>
            <w:vAlign w:val="bottom"/>
          </w:tcPr>
          <w:p>
            <w:pPr>
              <w:spacing w:after="0"/>
              <w:rPr>
                <w:sz w:val="1"/>
                <w:szCs w:val="1"/>
                <w:color w:val="auto"/>
              </w:rPr>
            </w:pPr>
          </w:p>
        </w:tc>
      </w:tr>
      <w:tr>
        <w:trPr>
          <w:trHeight w:val="392"/>
        </w:trPr>
        <w:tc>
          <w:tcPr>
            <w:tcW w:w="116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906 Certifications*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300" w:right="120" w:hanging="1265"/>
        <w:spacing w:after="0" w:line="25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Vera Bradley, Inc.’s Quarterly Report on Form 10-Q for the quarter ended August 1, 2015 formatted in Extensible Business Reporting Language (XBRL): (i) Consolidated Statements of Income for the Thirteen and Twenty-Six Weeks ended August 1, 2015 and August 2, 2014; (ii) Consolidated Statements of Comprehensive Income for the Thirteen and Twenty-Six Weeks ended August 1, 2015 and August 2, 2014; (iii) Consolidated Balance Sheets as of August 1, 2015 and January 31, 2015; (iv) Consolidated Statements of Cash Flows for the Twenty-Six Weeks ended August 1, 2015 and August 2, 2014, and (v) Notes to Consolidated Financial Statements. **</w:t>
      </w:r>
    </w:p>
    <w:p>
      <w:pPr>
        <w:spacing w:after="0" w:line="147" w:lineRule="exact"/>
        <w:rPr>
          <w:sz w:val="20"/>
          <w:szCs w:val="20"/>
          <w:color w:val="auto"/>
        </w:rPr>
      </w:pPr>
    </w:p>
    <w:p>
      <w:pPr>
        <w:ind w:left="740" w:hanging="705"/>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643890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$125,000,000</w:t>
      </w:r>
    </w:p>
    <w:p>
      <w:pPr>
        <w:spacing w:after="0" w:line="200" w:lineRule="exact"/>
        <w:rPr>
          <w:sz w:val="20"/>
          <w:szCs w:val="20"/>
          <w:color w:val="auto"/>
        </w:rPr>
      </w:pPr>
    </w:p>
    <w:p>
      <w:pPr>
        <w:spacing w:after="0" w:line="2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SECOND AMENDED AND RESTATED CREDIT AGREEMENT</w:t>
      </w:r>
    </w:p>
    <w:p>
      <w:pPr>
        <w:spacing w:after="0" w:line="3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dated as of</w:t>
      </w:r>
    </w:p>
    <w:p>
      <w:pPr>
        <w:spacing w:after="0" w:line="32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July 15, 2015</w:t>
      </w:r>
    </w:p>
    <w:p>
      <w:pPr>
        <w:spacing w:after="0" w:line="3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3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VERA BRADLEY DESIGNS, INC.,</w:t>
      </w:r>
    </w:p>
    <w:p>
      <w:pPr>
        <w:spacing w:after="0" w:line="3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2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0" w:lineRule="exact"/>
        <w:rPr>
          <w:sz w:val="20"/>
          <w:szCs w:val="20"/>
          <w:color w:val="auto"/>
        </w:rPr>
      </w:pPr>
    </w:p>
    <w:p>
      <w:pPr>
        <w:spacing w:after="0" w:line="236"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22"/>
          <w:szCs w:val="22"/>
          <w:color w:val="auto"/>
        </w:rPr>
        <w:t>JPMORGAN CHASE BANK, NATIONAL ASSOCIATION,</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1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KEYBANK NATIONAL ASSOCIATION,</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Documentation Agent</w:t>
      </w:r>
    </w:p>
    <w:p>
      <w:pPr>
        <w:spacing w:after="0" w:line="1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3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401955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220"/>
          </w:cols>
          <w:pgMar w:left="1440" w:top="36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87"/>
        </w:trPr>
        <w:tc>
          <w:tcPr>
            <w:tcW w:w="2160" w:type="dxa"/>
            <w:vAlign w:val="bottom"/>
          </w:tcPr>
          <w:p>
            <w:pPr>
              <w:spacing w:after="0"/>
              <w:rPr>
                <w:sz w:val="24"/>
                <w:szCs w:val="24"/>
                <w:color w:val="auto"/>
              </w:rPr>
            </w:pPr>
          </w:p>
        </w:tc>
        <w:tc>
          <w:tcPr>
            <w:tcW w:w="7100" w:type="dxa"/>
            <w:vAlign w:val="bottom"/>
          </w:tcPr>
          <w:p>
            <w:pPr>
              <w:ind w:left="23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100" w:type="dxa"/>
            <w:vAlign w:val="bottom"/>
          </w:tcPr>
          <w:p>
            <w:pPr>
              <w:spacing w:after="0"/>
              <w:rPr>
                <w:sz w:val="24"/>
                <w:szCs w:val="24"/>
                <w:color w:val="auto"/>
              </w:rPr>
            </w:pPr>
          </w:p>
        </w:tc>
      </w:tr>
      <w:tr>
        <w:trPr>
          <w:trHeight w:val="864"/>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7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54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Defined Terms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Classification of Loans and Borrowings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Terms Generally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Accounting Terms; GAAP</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648"/>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w w:val="96"/>
              </w:rPr>
              <w:t>ARTICLE II The Credits</w:t>
            </w:r>
          </w:p>
        </w:tc>
        <w:tc>
          <w:tcPr>
            <w:tcW w:w="7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54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Loans and Borrowings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Requests for Revolving Borrowings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[Intentionally Omitted]</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Swingline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Letters of Credit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Funding of Borrowings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Interest Elections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2.09.</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Termination, Reduction and Increase of 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2.10.</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Repayment of Loans; Evidence of Debt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Prepayment of Loans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Fees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2.13.</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2.15.</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Increased Costs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Break Funding Payments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2.17.</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Payments Generally; Pro Rata Treatment; Sharing of Set-offs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2.19.</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Defaulting Lenders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 Representations and Warranties</w:t>
      </w:r>
    </w:p>
    <w:p>
      <w:pPr>
        <w:spacing w:after="0" w:line="14"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22"/>
          <w:szCs w:val="22"/>
          <w:color w:val="auto"/>
        </w:rPr>
        <w:t>45</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360"/>
          </w:cols>
          <w:pgMar w:left="280" w:top="122" w:right="259" w:bottom="1440" w:gutter="0" w:footer="0" w:header="0"/>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Organization; Powers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Authorization; Enforceability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Governmental Approvals; No Conflicts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Financial Condition; No Material Adverse Change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Properties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Litigation and Environmental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Compliance with Laws and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Investment Company Status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Taxes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ERISA</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Disclosure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Security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Regulation U</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Labor Relations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3.16.</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Anti-Corruption Laws and Sanctions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648"/>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Conditions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54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Effectiveness and Initial Advance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Each Credit Event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648"/>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Affirmative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54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Financial Statements; Ratings Change and Other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Notices of Material Events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Existence; Conduct of Business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Payment of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5.05.</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Maintenance of Properties; 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5.06.</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Books and Records; Inspection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Compliance with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Use of Proceeds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Further Assurances;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74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Additional Subsidiary Guarantors and Collateral</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648"/>
        </w:trPr>
        <w:tc>
          <w:tcPr>
            <w:tcW w:w="9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Negative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851"/>
        </w:trPr>
        <w:tc>
          <w:tcPr>
            <w:tcW w:w="1780" w:type="dxa"/>
            <w:vAlign w:val="bottom"/>
          </w:tcPr>
          <w:p>
            <w:pPr>
              <w:spacing w:after="0"/>
              <w:rPr>
                <w:sz w:val="24"/>
                <w:szCs w:val="24"/>
                <w:color w:val="auto"/>
              </w:rPr>
            </w:pPr>
          </w:p>
        </w:tc>
        <w:tc>
          <w:tcPr>
            <w:tcW w:w="7480" w:type="dxa"/>
            <w:vAlign w:val="bottom"/>
          </w:tcPr>
          <w:p>
            <w:pPr>
              <w:ind w:left="3840"/>
              <w:spacing w:after="0"/>
              <w:rPr>
                <w:sz w:val="20"/>
                <w:szCs w:val="20"/>
                <w:color w:val="auto"/>
              </w:rPr>
            </w:pPr>
            <w:r>
              <w:rPr>
                <w:rFonts w:ascii="Times New Roman" w:cs="Times New Roman" w:eastAsia="Times New Roman" w:hAnsi="Times New Roman"/>
                <w:sz w:val="22"/>
                <w:szCs w:val="22"/>
                <w:color w:val="auto"/>
              </w:rPr>
              <w:t>ii</w:t>
            </w:r>
          </w:p>
        </w:tc>
        <w:tc>
          <w:tcPr>
            <w:tcW w:w="2100" w:type="dxa"/>
            <w:vAlign w:val="bottom"/>
          </w:tcPr>
          <w:p>
            <w:pPr>
              <w:spacing w:after="0"/>
              <w:rPr>
                <w:sz w:val="24"/>
                <w:szCs w:val="24"/>
                <w:color w:val="auto"/>
              </w:rPr>
            </w:pPr>
          </w:p>
        </w:tc>
      </w:tr>
    </w:tbl>
    <w:p>
      <w:pPr>
        <w:sectPr>
          <w:pgSz w:w="11900" w:h="16838" w:orient="portrait"/>
          <w:cols w:equalWidth="0" w:num="1">
            <w:col w:w="11360"/>
          </w:cols>
          <w:pgMar w:left="280" w:top="122" w:right="259" w:bottom="1440" w:gutter="0" w:footer="0" w:header="0"/>
        </w:sectPr>
      </w:pPr>
    </w:p>
    <w:bookmarkStart w:id="33" w:name="page34"/>
    <w:bookmarkEnd w:id="33"/>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Indebtedness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6.02.</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Liens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Fundamental Changes; Asset Sales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Investments, Loans, Advances, Guarantees and Acquisitions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Swap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Restricted 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Restrictive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6.09.</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Minimum EBITDAR</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6.10.</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Maximum Leverage Ratio</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6.11.</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Subordinated Indebtedness; Other Indebtedness and Payments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6.12.</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Use of Proceeds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6.13.</w:t>
            </w:r>
          </w:p>
        </w:tc>
        <w:tc>
          <w:tcPr>
            <w:tcW w:w="7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Capital Expenditures</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Events of Default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756"/>
        </w:trPr>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The Administrative Agent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756"/>
        </w:trPr>
        <w:tc>
          <w:tcPr>
            <w:tcW w:w="9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540"/>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9.01.</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Waivers; Amendments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9.03.</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Expenses; Indemnity; Damage Waiver</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9.04.</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Successors and Assigns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Survival</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9.06.</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Counterparts; Integration; Effectiveness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9.07.</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Severability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9.08.</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Right of Setoff</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9.09.</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9.10.</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WAIVER OF JURY TRIAL</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9.11.</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Headings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9.12.</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Confidentiality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9.13.</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Interest Rate Limitation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9.14.</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USA PATRIOT Act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9.15.</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Application of Proceeds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9.16.</w:t>
            </w:r>
          </w:p>
        </w:tc>
        <w:tc>
          <w:tcPr>
            <w:tcW w:w="74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Amendment and Restatement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pacing w:after="0" w:line="200" w:lineRule="exact"/>
        <w:rPr>
          <w:sz w:val="20"/>
          <w:szCs w:val="20"/>
          <w:color w:val="auto"/>
        </w:rPr>
      </w:pPr>
    </w:p>
    <w:p>
      <w:pPr>
        <w:sectPr>
          <w:pgSz w:w="11900" w:h="16838" w:orient="portrait"/>
          <w:cols w:equalWidth="0" w:num="1">
            <w:col w:w="11360"/>
          </w:cols>
          <w:pgMar w:left="28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360"/>
          </w:cols>
          <w:pgMar w:left="280" w:top="122" w:right="259" w:bottom="1440" w:gutter="0" w:footer="0" w:header="0"/>
          <w:type w:val="continuous"/>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479"/>
        </w:trPr>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Schedule I  –</w:t>
            </w:r>
          </w:p>
        </w:tc>
        <w:tc>
          <w:tcPr>
            <w:tcW w:w="120" w:type="dxa"/>
            <w:vAlign w:val="bottom"/>
          </w:tcPr>
          <w:p>
            <w:pPr>
              <w:spacing w:after="0"/>
              <w:rPr>
                <w:sz w:val="24"/>
                <w:szCs w:val="24"/>
                <w:color w:val="auto"/>
              </w:rPr>
            </w:pPr>
          </w:p>
        </w:tc>
        <w:tc>
          <w:tcPr>
            <w:tcW w:w="10040" w:type="dxa"/>
            <w:vAlign w:val="bottom"/>
            <w:gridSpan w:val="11"/>
          </w:tcPr>
          <w:p>
            <w:pPr>
              <w:ind w:left="80"/>
              <w:spacing w:after="0"/>
              <w:rPr>
                <w:sz w:val="20"/>
                <w:szCs w:val="20"/>
                <w:color w:val="auto"/>
              </w:rPr>
            </w:pPr>
            <w:r>
              <w:rPr>
                <w:rFonts w:ascii="Times New Roman" w:cs="Times New Roman" w:eastAsia="Times New Roman" w:hAnsi="Times New Roman"/>
                <w:sz w:val="22"/>
                <w:szCs w:val="22"/>
                <w:color w:val="auto"/>
              </w:rPr>
              <w:t>Exiting Lenders</w:t>
            </w:r>
          </w:p>
        </w:tc>
      </w:tr>
      <w:tr>
        <w:trPr>
          <w:trHeight w:val="257"/>
        </w:trPr>
        <w:tc>
          <w:tcPr>
            <w:tcW w:w="1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1.01(a)</w:t>
            </w:r>
          </w:p>
        </w:tc>
        <w:tc>
          <w:tcPr>
            <w:tcW w:w="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954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Pricing Schedule</w:t>
            </w:r>
          </w:p>
        </w:tc>
      </w:tr>
      <w:tr>
        <w:trPr>
          <w:trHeight w:val="257"/>
        </w:trPr>
        <w:tc>
          <w:tcPr>
            <w:tcW w:w="1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1.01(b)</w:t>
            </w:r>
          </w:p>
        </w:tc>
        <w:tc>
          <w:tcPr>
            <w:tcW w:w="9820" w:type="dxa"/>
            <w:vAlign w:val="bottom"/>
            <w:gridSpan w:val="10"/>
          </w:tcPr>
          <w:p>
            <w:pPr>
              <w:ind w:left="100"/>
              <w:spacing w:after="0"/>
              <w:rPr>
                <w:sz w:val="20"/>
                <w:szCs w:val="20"/>
                <w:color w:val="auto"/>
              </w:rPr>
            </w:pPr>
            <w:r>
              <w:rPr>
                <w:rFonts w:ascii="Times New Roman" w:cs="Times New Roman" w:eastAsia="Times New Roman" w:hAnsi="Times New Roman"/>
                <w:sz w:val="22"/>
                <w:szCs w:val="22"/>
                <w:color w:val="auto"/>
              </w:rPr>
              <w:t>–  Existing Letters of Credit</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2.01</w:t>
            </w:r>
          </w:p>
        </w:tc>
        <w:tc>
          <w:tcPr>
            <w:tcW w:w="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Commitments</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3.12</w:t>
            </w:r>
          </w:p>
        </w:tc>
        <w:tc>
          <w:tcPr>
            <w:tcW w:w="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Subsidiaries</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6.01</w:t>
            </w:r>
          </w:p>
        </w:tc>
        <w:tc>
          <w:tcPr>
            <w:tcW w:w="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6.02</w:t>
            </w:r>
          </w:p>
        </w:tc>
        <w:tc>
          <w:tcPr>
            <w:tcW w:w="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283"/>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6.08</w:t>
            </w:r>
          </w:p>
        </w:tc>
        <w:tc>
          <w:tcPr>
            <w:tcW w:w="2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2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Existing Restrictions</w:t>
            </w:r>
          </w:p>
        </w:tc>
      </w:tr>
      <w:tr>
        <w:trPr>
          <w:trHeight w:val="420"/>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79"/>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Exhibit A</w:t>
            </w:r>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  Form of Assignment and Assumption</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B</w:t>
            </w:r>
          </w:p>
        </w:tc>
        <w:tc>
          <w:tcPr>
            <w:tcW w:w="220" w:type="dxa"/>
            <w:vAlign w:val="bottom"/>
          </w:tcPr>
          <w:p>
            <w:pPr>
              <w:spacing w:after="0"/>
              <w:rPr>
                <w:sz w:val="22"/>
                <w:szCs w:val="22"/>
                <w:color w:val="auto"/>
              </w:rPr>
            </w:pPr>
          </w:p>
        </w:tc>
        <w:tc>
          <w:tcPr>
            <w:tcW w:w="98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  Form of Borrowing Request</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C</w:t>
            </w:r>
          </w:p>
        </w:tc>
        <w:tc>
          <w:tcPr>
            <w:tcW w:w="220" w:type="dxa"/>
            <w:vAlign w:val="bottom"/>
          </w:tcPr>
          <w:p>
            <w:pPr>
              <w:spacing w:after="0"/>
              <w:rPr>
                <w:sz w:val="22"/>
                <w:szCs w:val="22"/>
                <w:color w:val="auto"/>
              </w:rPr>
            </w:pPr>
          </w:p>
        </w:tc>
        <w:tc>
          <w:tcPr>
            <w:tcW w:w="98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  Form of Increase Request</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D</w:t>
            </w:r>
          </w:p>
        </w:tc>
        <w:tc>
          <w:tcPr>
            <w:tcW w:w="220" w:type="dxa"/>
            <w:vAlign w:val="bottom"/>
          </w:tcPr>
          <w:p>
            <w:pPr>
              <w:spacing w:after="0"/>
              <w:rPr>
                <w:sz w:val="22"/>
                <w:szCs w:val="22"/>
                <w:color w:val="auto"/>
              </w:rPr>
            </w:pPr>
          </w:p>
        </w:tc>
        <w:tc>
          <w:tcPr>
            <w:tcW w:w="98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  Form of Compliance Certificate</w:t>
            </w:r>
          </w:p>
        </w:tc>
      </w:tr>
      <w:tr>
        <w:trPr>
          <w:trHeight w:val="230"/>
        </w:trPr>
        <w:tc>
          <w:tcPr>
            <w:tcW w:w="13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Exhibit E-1</w:t>
            </w:r>
          </w:p>
        </w:tc>
        <w:tc>
          <w:tcPr>
            <w:tcW w:w="220" w:type="dxa"/>
            <w:vAlign w:val="bottom"/>
          </w:tcPr>
          <w:p>
            <w:pPr>
              <w:spacing w:after="0"/>
              <w:rPr>
                <w:sz w:val="20"/>
                <w:szCs w:val="20"/>
                <w:color w:val="auto"/>
              </w:rPr>
            </w:pPr>
          </w:p>
        </w:tc>
        <w:tc>
          <w:tcPr>
            <w:tcW w:w="9820" w:type="dxa"/>
            <w:vAlign w:val="bottom"/>
            <w:gridSpan w:val="10"/>
          </w:tcPr>
          <w:p>
            <w:pPr>
              <w:ind w:left="20"/>
              <w:spacing w:after="0" w:line="230" w:lineRule="exact"/>
              <w:rPr>
                <w:sz w:val="20"/>
                <w:szCs w:val="20"/>
                <w:color w:val="auto"/>
              </w:rPr>
            </w:pPr>
            <w:r>
              <w:rPr>
                <w:rFonts w:ascii="Times New Roman" w:cs="Times New Roman" w:eastAsia="Times New Roman" w:hAnsi="Times New Roman"/>
                <w:sz w:val="22"/>
                <w:szCs w:val="22"/>
                <w:color w:val="auto"/>
              </w:rPr>
              <w:t>–   U.S. Tax Compliance Certificate (For Non-U.S. Lenders that are not Partnerships for U.S. Federal; Income</w:t>
            </w:r>
          </w:p>
        </w:tc>
      </w:tr>
      <w:tr>
        <w:trPr>
          <w:trHeight w:val="263"/>
        </w:trPr>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Tax Purposes)</w:t>
            </w:r>
          </w:p>
        </w:tc>
        <w:tc>
          <w:tcPr>
            <w:tcW w:w="300" w:type="dxa"/>
            <w:vAlign w:val="bottom"/>
            <w:tcBorders>
              <w:top w:val="single" w:sz="8" w:color="auto"/>
            </w:tcBorders>
            <w:gridSpan w:val="3"/>
          </w:tcPr>
          <w:p>
            <w:pPr>
              <w:spacing w:after="0"/>
              <w:rPr>
                <w:sz w:val="22"/>
                <w:szCs w:val="22"/>
                <w:color w:val="auto"/>
              </w:rPr>
            </w:pPr>
          </w:p>
        </w:tc>
        <w:tc>
          <w:tcPr>
            <w:tcW w:w="3380" w:type="dxa"/>
            <w:vAlign w:val="bottom"/>
            <w:gridSpan w:val="3"/>
          </w:tcPr>
          <w:p>
            <w:pPr>
              <w:spacing w:after="0"/>
              <w:rPr>
                <w:sz w:val="22"/>
                <w:szCs w:val="22"/>
                <w:color w:val="auto"/>
              </w:rPr>
            </w:pPr>
          </w:p>
        </w:tc>
      </w:tr>
      <w:tr>
        <w:trPr>
          <w:trHeight w:val="230"/>
        </w:trPr>
        <w:tc>
          <w:tcPr>
            <w:tcW w:w="13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Exhibit E-2</w:t>
            </w:r>
          </w:p>
        </w:tc>
        <w:tc>
          <w:tcPr>
            <w:tcW w:w="220" w:type="dxa"/>
            <w:vAlign w:val="bottom"/>
          </w:tcPr>
          <w:p>
            <w:pPr>
              <w:spacing w:after="0"/>
              <w:rPr>
                <w:sz w:val="20"/>
                <w:szCs w:val="20"/>
                <w:color w:val="auto"/>
              </w:rPr>
            </w:pPr>
          </w:p>
        </w:tc>
        <w:tc>
          <w:tcPr>
            <w:tcW w:w="9820" w:type="dxa"/>
            <w:vAlign w:val="bottom"/>
            <w:gridSpan w:val="10"/>
          </w:tcPr>
          <w:p>
            <w:pPr>
              <w:ind w:left="20"/>
              <w:spacing w:after="0" w:line="230" w:lineRule="exact"/>
              <w:rPr>
                <w:sz w:val="20"/>
                <w:szCs w:val="20"/>
                <w:color w:val="auto"/>
              </w:rPr>
            </w:pPr>
            <w:r>
              <w:rPr>
                <w:rFonts w:ascii="Times New Roman" w:cs="Times New Roman" w:eastAsia="Times New Roman" w:hAnsi="Times New Roman"/>
                <w:sz w:val="22"/>
                <w:szCs w:val="22"/>
                <w:color w:val="auto"/>
              </w:rPr>
              <w:t>–   U.S. Tax Compliance Certificate (For Non-U.S. Lenders that are Partnerships for U.S. Federal; Income Tax</w:t>
            </w:r>
          </w:p>
        </w:tc>
      </w:tr>
      <w:tr>
        <w:trPr>
          <w:trHeight w:val="263"/>
        </w:trPr>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Purposes)</w:t>
            </w:r>
          </w:p>
        </w:tc>
        <w:tc>
          <w:tcPr>
            <w:tcW w:w="280" w:type="dxa"/>
            <w:vAlign w:val="bottom"/>
            <w:tcBorders>
              <w:top w:val="single" w:sz="8" w:color="auto"/>
            </w:tcBorders>
          </w:tcPr>
          <w:p>
            <w:pPr>
              <w:spacing w:after="0"/>
              <w:rPr>
                <w:sz w:val="22"/>
                <w:szCs w:val="22"/>
                <w:color w:val="auto"/>
              </w:rPr>
            </w:pPr>
          </w:p>
        </w:tc>
        <w:tc>
          <w:tcPr>
            <w:tcW w:w="3760" w:type="dxa"/>
            <w:vAlign w:val="bottom"/>
            <w:gridSpan w:val="7"/>
          </w:tcPr>
          <w:p>
            <w:pPr>
              <w:spacing w:after="0"/>
              <w:rPr>
                <w:sz w:val="22"/>
                <w:szCs w:val="22"/>
                <w:color w:val="auto"/>
              </w:rPr>
            </w:pPr>
          </w:p>
        </w:tc>
      </w:tr>
      <w:tr>
        <w:trPr>
          <w:trHeight w:val="230"/>
        </w:trPr>
        <w:tc>
          <w:tcPr>
            <w:tcW w:w="13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Exhibit E-3</w:t>
            </w:r>
          </w:p>
        </w:tc>
        <w:tc>
          <w:tcPr>
            <w:tcW w:w="220" w:type="dxa"/>
            <w:vAlign w:val="bottom"/>
          </w:tcPr>
          <w:p>
            <w:pPr>
              <w:spacing w:after="0"/>
              <w:rPr>
                <w:sz w:val="20"/>
                <w:szCs w:val="20"/>
                <w:color w:val="auto"/>
              </w:rPr>
            </w:pPr>
          </w:p>
        </w:tc>
        <w:tc>
          <w:tcPr>
            <w:tcW w:w="28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w:t>
            </w:r>
          </w:p>
        </w:tc>
        <w:tc>
          <w:tcPr>
            <w:tcW w:w="9540" w:type="dxa"/>
            <w:vAlign w:val="bottom"/>
            <w:gridSpan w:val="9"/>
          </w:tcPr>
          <w:p>
            <w:pPr>
              <w:ind w:left="220"/>
              <w:spacing w:after="0" w:line="230" w:lineRule="exact"/>
              <w:rPr>
                <w:sz w:val="20"/>
                <w:szCs w:val="20"/>
                <w:color w:val="auto"/>
              </w:rPr>
            </w:pPr>
            <w:r>
              <w:rPr>
                <w:rFonts w:ascii="Times New Roman" w:cs="Times New Roman" w:eastAsia="Times New Roman" w:hAnsi="Times New Roman"/>
                <w:sz w:val="22"/>
                <w:szCs w:val="22"/>
                <w:color w:val="auto"/>
              </w:rPr>
              <w:t>U.S. Tax Compliance Certificate (For Non-U.S. Participants that are not Partnerships for U.S. Federal;</w:t>
            </w:r>
          </w:p>
        </w:tc>
      </w:tr>
      <w:tr>
        <w:trPr>
          <w:trHeight w:val="263"/>
        </w:trPr>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8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Income Tax Purposes)</w:t>
            </w:r>
          </w:p>
        </w:tc>
        <w:tc>
          <w:tcPr>
            <w:tcW w:w="280" w:type="dxa"/>
            <w:vAlign w:val="bottom"/>
            <w:tcBorders>
              <w:top w:val="single" w:sz="8" w:color="auto"/>
            </w:tcBorders>
          </w:tcPr>
          <w:p>
            <w:pPr>
              <w:spacing w:after="0"/>
              <w:rPr>
                <w:sz w:val="22"/>
                <w:szCs w:val="22"/>
                <w:color w:val="auto"/>
              </w:rPr>
            </w:pPr>
          </w:p>
        </w:tc>
        <w:tc>
          <w:tcPr>
            <w:tcW w:w="2780" w:type="dxa"/>
            <w:vAlign w:val="bottom"/>
          </w:tcPr>
          <w:p>
            <w:pPr>
              <w:spacing w:after="0"/>
              <w:rPr>
                <w:sz w:val="22"/>
                <w:szCs w:val="22"/>
                <w:color w:val="auto"/>
              </w:rPr>
            </w:pPr>
          </w:p>
        </w:tc>
      </w:tr>
      <w:tr>
        <w:trPr>
          <w:trHeight w:val="230"/>
        </w:trPr>
        <w:tc>
          <w:tcPr>
            <w:tcW w:w="13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Exhibit E-4</w:t>
            </w:r>
          </w:p>
        </w:tc>
        <w:tc>
          <w:tcPr>
            <w:tcW w:w="220" w:type="dxa"/>
            <w:vAlign w:val="bottom"/>
          </w:tcPr>
          <w:p>
            <w:pPr>
              <w:spacing w:after="0"/>
              <w:rPr>
                <w:sz w:val="20"/>
                <w:szCs w:val="20"/>
                <w:color w:val="auto"/>
              </w:rPr>
            </w:pPr>
          </w:p>
        </w:tc>
        <w:tc>
          <w:tcPr>
            <w:tcW w:w="9820" w:type="dxa"/>
            <w:vAlign w:val="bottom"/>
            <w:gridSpan w:val="10"/>
          </w:tcPr>
          <w:p>
            <w:pPr>
              <w:ind w:left="20"/>
              <w:spacing w:after="0" w:line="230" w:lineRule="exact"/>
              <w:rPr>
                <w:sz w:val="20"/>
                <w:szCs w:val="20"/>
                <w:color w:val="auto"/>
              </w:rPr>
            </w:pPr>
            <w:r>
              <w:rPr>
                <w:rFonts w:ascii="Times New Roman" w:cs="Times New Roman" w:eastAsia="Times New Roman" w:hAnsi="Times New Roman"/>
                <w:sz w:val="22"/>
                <w:szCs w:val="22"/>
                <w:color w:val="auto"/>
              </w:rPr>
              <w:t>–   U.S. Tax Compliance Certificate (For Non-U.S. Participants that are Partnerships for U.S. Federal; Income</w:t>
            </w:r>
          </w:p>
        </w:tc>
      </w:tr>
      <w:tr>
        <w:trPr>
          <w:trHeight w:val="289"/>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Tax Purposes)</w:t>
            </w:r>
          </w:p>
        </w:tc>
        <w:tc>
          <w:tcPr>
            <w:tcW w:w="260" w:type="dxa"/>
            <w:vAlign w:val="bottom"/>
            <w:tcBorders>
              <w:top w:val="single" w:sz="8" w:color="auto"/>
            </w:tcBorders>
          </w:tcPr>
          <w:p>
            <w:pPr>
              <w:spacing w:after="0"/>
              <w:rPr>
                <w:sz w:val="24"/>
                <w:szCs w:val="24"/>
                <w:color w:val="auto"/>
              </w:rPr>
            </w:pPr>
          </w:p>
        </w:tc>
        <w:tc>
          <w:tcPr>
            <w:tcW w:w="3400" w:type="dxa"/>
            <w:vAlign w:val="bottom"/>
            <w:gridSpan w:val="4"/>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420"/>
          </w:cols>
          <w:pgMar w:left="240" w:top="122" w:right="239" w:bottom="1440" w:gutter="0" w:footer="0" w:header="0"/>
        </w:sectPr>
      </w:pPr>
    </w:p>
    <w:bookmarkStart w:id="35" w:name="page36"/>
    <w:bookmarkEnd w:id="35"/>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SECOND AMENDED AND RESTATED CREDIT AGREEMENT dated as of July 15, 2015, among VERA BRADLEY DESIGNS, INC., the LENDERS party hereto and JPMORGAN CHASE BANK, NATIONAL ASSOCIATION, as Administrative Agent.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5"/>
        <w:spacing w:after="0" w:line="252" w:lineRule="auto"/>
        <w:tabs>
          <w:tab w:leader="none" w:pos="177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Administrative Agent, the financial institutions designated as existing lenders on Schedule 2.01 (the “Continuing Lenders”) and the financial institutions listed on Schedule I hereto (the “Exiting Lenders”) are party to that certain Amended and Restated Credit Agreement, dated as of October 4, 2010 (as amended up to but not including the date hereof, the “Existing Credit Agreement”).</w:t>
      </w:r>
    </w:p>
    <w:p>
      <w:pPr>
        <w:spacing w:after="0" w:line="179"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7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Administrative Agent and the Continuing Lenders wish to amend and restate the Existing Credit Agreement on the terms and conditions set forth below to, among other things, extend the Revolving Maturity Date, reallocate the Commitments and make the other changes to the Existing Credit Agreement evidenced hereby.</w:t>
      </w:r>
    </w:p>
    <w:p>
      <w:pPr>
        <w:spacing w:after="0" w:line="17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institutions identified on Schedule 2.01 which are not Continuing Lenders wish to become “Lenders” hereunder and accept and assume the obligations of “Lenders” hereunder with the Commitments specified on the Commitment Schedule.</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agreements made herein, and for other good and valuable consideration, the receipt and sufficiency of which are hereby acknowledged, the parties hereto agree that the Existing Credit Agreement is amended and restated in its entirety as follows:</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w:t>
      </w:r>
    </w:p>
    <w:p>
      <w:pPr>
        <w:spacing w:after="0" w:line="2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14"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2"/>
          <w:szCs w:val="22"/>
          <w:b w:val="1"/>
          <w:bCs w:val="1"/>
          <w:i w:val="1"/>
          <w:iCs w:val="1"/>
          <w:color w:val="auto"/>
        </w:rPr>
        <w:t>Defined Terms</w:t>
      </w:r>
      <w:r>
        <w:rPr>
          <w:rFonts w:ascii="Times New Roman" w:cs="Times New Roman" w:eastAsia="Times New Roman" w:hAnsi="Times New Roman"/>
          <w:sz w:val="22"/>
          <w:szCs w:val="22"/>
          <w:color w:val="auto"/>
        </w:rPr>
        <w:t>. As used in this Agreement, the following terms have the meanings specified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07"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Entity or Business</w:t>
      </w:r>
      <w:r>
        <w:rPr>
          <w:rFonts w:ascii="Times New Roman" w:cs="Times New Roman" w:eastAsia="Times New Roman" w:hAnsi="Times New Roman"/>
          <w:sz w:val="22"/>
          <w:szCs w:val="22"/>
          <w:color w:val="auto"/>
        </w:rPr>
        <w:t>” means either (a) the assets constituting a business, division, facility, product line or line of business of any Person not already a Subsidiary or (b) 100% of the capital stock of any such Person, which Person shall, as a result of such acquisition or merger, become a Wholly-Owned Subsidiary of the Borrower (or shall be merged with and into the Borrower with the Borrower being the surviving Person or with a Subsidiary Guarantor with the Subsidiary Guarantor being the surviving Person or such other surviving Person becoming a Subsidiary Guarantor).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has the meaning assigned to such term in Section 9.14.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25" w:right="239" w:bottom="1440" w:gutter="0" w:footer="0" w:header="0"/>
        </w:sectPr>
      </w:pPr>
    </w:p>
    <w:bookmarkStart w:id="36" w:name="page37"/>
    <w:bookmarkEnd w:id="36"/>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 Rate</w:t>
      </w:r>
      <w:r>
        <w:rPr>
          <w:rFonts w:ascii="Times New Roman" w:cs="Times New Roman" w:eastAsia="Times New Roman" w:hAnsi="Times New Roman"/>
          <w:sz w:val="22"/>
          <w:szCs w:val="22"/>
          <w:color w:val="auto"/>
        </w:rPr>
        <w:t>” means, with respect to any Eurodollar Borrowing for any Interest Period (or, as applicable, for the purpose of determining the Alternate Base Rate for any day by reference to a one month Interest Period), an interest rate per annum (rounded upwards, if necessary, to the next 1/16 of 1%) equal to (a) the LIBO Rate for such Interest Period multiplied by (b) the Statutory Reserve Rate.</w:t>
      </w:r>
    </w:p>
    <w:p>
      <w:pPr>
        <w:spacing w:after="0" w:line="18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JPMorgan, in its capacity as administrative agent for the Lenders hereunder, and its successors and assigns in such capacity.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Second Amended and Restated Credit Agreement, as it may be amended, restated, modified or supplemented from time to time.</w:t>
      </w:r>
    </w:p>
    <w:p>
      <w:pPr>
        <w:spacing w:after="0" w:line="158"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means, for any day, a rate per annum equal to the greatest of (a) the Prime Rate in effect on such day (b) the Federal Funds Effective Rate in effect on such day plus ½ of 1% and (c) the Adjusted LIBO Rate for deposits in dollars for a one month Interest Period on such day (or if such day is not a Business Day, the immediately preceding Business Day) plus 1%; provided that, for the avoidance of doubt, the Adjusted LIBO Rate for any day shall be based on the rate appearing on the Reuters Screen LIBOR01 Page (or on any successor or substitute page of such page) at approximately 11:00 a.m. London time on such day (or if such day is not a Business Day, the immediately preceding Business Day).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92" w:lineRule="exact"/>
        <w:rPr>
          <w:sz w:val="20"/>
          <w:szCs w:val="20"/>
          <w:color w:val="auto"/>
        </w:rPr>
      </w:pPr>
    </w:p>
    <w:p>
      <w:pPr>
        <w:jc w:val="both"/>
        <w:ind w:right="20"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Borrower or its Subsidiaries from time to time concerning or relating to bribery or corruption (but not including any such law, rule or regulation in so far as it applies to matters unrelated to the Borrower, its Subsidiaries or their respective businesses).</w:t>
      </w:r>
    </w:p>
    <w:p>
      <w:pPr>
        <w:spacing w:after="0" w:line="17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with respect to any Lender, the percentage of the total Commitments represented by such Lender’s Commitment; provided that in the case of Section 2.20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81"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means, for any day, with respect to any Eurodollar Loan or ABR Loan or with respect to the Letter of Credit fees or the facility fees payable hereunder, the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5" w:right="239" w:bottom="1440" w:gutter="0" w:footer="0" w:header="0"/>
        </w:sectPr>
      </w:pPr>
    </w:p>
    <w:bookmarkStart w:id="37" w:name="page38"/>
    <w:bookmarkEnd w:id="3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rate per annum set forth on Schedule 1.01(a) under the caption “Eurodollar Spread”, “ABR Spread”, “Letter of Credit Fee” or “Facility Fee”, as the case may be, based upon the Leverage Ratio.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has the meaning assigned to such term in Section 9.04.</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w:t>
      </w:r>
      <w:r>
        <w:rPr>
          <w:rFonts w:ascii="Times New Roman" w:cs="Times New Roman" w:eastAsia="Times New Roman" w:hAnsi="Times New Roman"/>
          <w:sz w:val="22"/>
          <w:szCs w:val="22"/>
          <w:color w:val="auto"/>
        </w:rPr>
        <w:t>” means any sale, transfer or other disposition of any asset of the Borrower or any Subsidiary in a single transaction or in a series of related transactions (other than (a) the sale of inventory in the ordinary course or the sale or other disposition of obsolete or worn out property in the ordinary course and (b) the sale of Permitted Investments in the ordinary course of business).</w:t>
      </w:r>
    </w:p>
    <w:p>
      <w:pPr>
        <w:spacing w:after="0" w:line="18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assignee (with the consent of any party whose consent is required by Section 9.04), and accepted by the Administrative Agent, in the form of Exhibit A or any other form approved by the Administrative Agent.</w:t>
      </w:r>
    </w:p>
    <w:p>
      <w:pPr>
        <w:spacing w:after="0" w:line="173"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Revolving Maturity Date and the date of termination of the Commitments.</w:t>
      </w:r>
    </w:p>
    <w:p>
      <w:pPr>
        <w:spacing w:after="0" w:line="158"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Vera Bradley Designs, Inc., an Indiana corporation.</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Loans of the same Type, made, converted or continued on the same date and, in the case of Eurodollar Loans, as to which a single Interest Period is in effect or (b) a Swingline Loan.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Request</w:t>
      </w:r>
      <w:r>
        <w:rPr>
          <w:rFonts w:ascii="Times New Roman" w:cs="Times New Roman" w:eastAsia="Times New Roman" w:hAnsi="Times New Roman"/>
          <w:sz w:val="21"/>
          <w:szCs w:val="21"/>
          <w:color w:val="auto"/>
        </w:rPr>
        <w:t>” means a request by the Borrower for a Revolving Borrowing in accordance with Section 2.03.</w:t>
      </w:r>
    </w:p>
    <w:p>
      <w:pPr>
        <w:spacing w:after="0" w:line="231"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other day on which commercial banks in New York City are authorized or required by law to remain closed; provided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5" w:right="239" w:bottom="1440" w:gutter="0" w:footer="0" w:header="0"/>
        </w:sectPr>
      </w:pPr>
    </w:p>
    <w:bookmarkStart w:id="38" w:name="page39"/>
    <w:bookmarkEnd w:id="38"/>
    <w:p>
      <w:pPr>
        <w:jc w:val="both"/>
        <w:spacing w:after="0" w:line="271" w:lineRule="auto"/>
        <w:rPr>
          <w:sz w:val="20"/>
          <w:szCs w:val="20"/>
          <w:color w:val="auto"/>
        </w:rPr>
      </w:pPr>
      <w:r>
        <w:rPr>
          <w:rFonts w:ascii="Times New Roman" w:cs="Times New Roman" w:eastAsia="Times New Roman" w:hAnsi="Times New Roman"/>
          <w:sz w:val="22"/>
          <w:szCs w:val="22"/>
          <w:color w:val="auto"/>
        </w:rPr>
        <w:t>that, when used in connection with a Eurodollar Loan, the term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also exclude any day on which banks are not open for dealings in dollar deposits in the London interbank market.</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without duplication, any expenditures for any purchase or other acquisition of any asset which would be classified as a fixed or capital asset on a consolidated balance sheet of the Borrower and its Subsidiaries prepared in accordance with GAAP excluding (a) the cost of assets acquired with Capital Lease Obligations, (b) expenditures of insurance proceeds to rebuild or replace any asset after a casualty loss and (c) leasehold improvement expenditures for which the Borrower or a Subsidiary is reimbursed promptly by the lessor.</w:t>
      </w:r>
    </w:p>
    <w:p>
      <w:pPr>
        <w:spacing w:after="0" w:line="18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Vera Bradley, Inc., Barbara Baekgaard, Patricia Miller, Jill Nichols, Michael Ray and Kim Colby and their respective heirs and descendants and any trust established for the benefit of such Persons, of Equity Interests representing more than 40% of the aggregate ordinary voting power represented by the issued and outstanding Equity Interests of the Borrower; or (b) occupation of a majority of the seats (other than vacant seats) on the board of directors of the Borrower by Persons who were neither (i) nominated by the board of directors of the Borrower nor (ii) appointed or approved by directors so nominated; or (c) the acquisition of direct or indirect Control of the Borrower by any Person or group other than Vera Bradley, Inc.</w:t>
      </w:r>
    </w:p>
    <w:p>
      <w:pPr>
        <w:spacing w:after="0" w:line="192"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has the meaning assigned to such term in Section 9.13.</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comprising such Borrowing, are Revolving Loans or Swingline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property with respect to which any security interests have been granted (or purported to be granted) pursuant to any Security Document, including, without limitation, all “Collateral” referred to in the Security Agreement and all cash delivered as collateral pursuant to Section 2.06(j).</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Access Agreement</w:t>
      </w:r>
      <w:r>
        <w:rPr>
          <w:rFonts w:ascii="Times New Roman" w:cs="Times New Roman" w:eastAsia="Times New Roman" w:hAnsi="Times New Roman"/>
          <w:sz w:val="22"/>
          <w:szCs w:val="22"/>
          <w:color w:val="auto"/>
        </w:rPr>
        <w:t>” means any landlord waiver, bailee letter or other agreement, in form and substance satisfactory to the Administrative Agent, between the Administrative Agent and any third party (including any bailee, consignee, customs broker, or other similar Person) in possession of any Collateral or any landlord of the Borrower for any real property where any Collateral is located, as such landlord waiver, bailee letter or other agreement may be amended, restated, or otherwise modified from time to time.</w:t>
      </w:r>
    </w:p>
    <w:p>
      <w:pPr>
        <w:spacing w:after="0" w:line="181"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JPMorgan, in its capacity as collateral agent for the benefit of the Secured Creditors under the Security Documents, and its successors and assigns in such capacity.</w:t>
      </w:r>
    </w:p>
    <w:p>
      <w:pPr>
        <w:spacing w:after="0" w:line="158"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or increased from time to time pursuant to Section 2.09 and (b) reduced or increased from time to time pursuant to assignments by or to such Lender pursuant to Section 9.04. The initial amount of each Lender’s Commitment is set forth on Schedule 2.01, or in the Assignment and Assumption pursuant to which such Lender shall have assumed its Commitment, as applicable. The initial aggregate amount of the Lenders’ Commitments is $125,000,000.</w:t>
      </w:r>
    </w:p>
    <w:p>
      <w:pPr>
        <w:spacing w:after="0" w:line="182"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Lenders</w:t>
      </w:r>
      <w:r>
        <w:rPr>
          <w:rFonts w:ascii="Times New Roman" w:cs="Times New Roman" w:eastAsia="Times New Roman" w:hAnsi="Times New Roman"/>
          <w:sz w:val="22"/>
          <w:szCs w:val="22"/>
          <w:color w:val="auto"/>
        </w:rPr>
        <w:t>” has the meaning assigned to such term in the Recitals hereto.</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Documents</w:t>
      </w:r>
      <w:r>
        <w:rPr>
          <w:rFonts w:ascii="Times New Roman" w:cs="Times New Roman" w:eastAsia="Times New Roman" w:hAnsi="Times New Roman"/>
          <w:sz w:val="22"/>
          <w:szCs w:val="22"/>
          <w:color w:val="auto"/>
        </w:rPr>
        <w:t>” means this Agreement and, after the execution and delivery thereof pursuant to the terms of this Agreement, each promissory note, if any, delivered pursuant to Section 2.10(e), the Parent Guaranty, the Subsidiary Guaranty, each Security Document and each other document or instrument contemplated hereby and executed by the Borrower, Holdings, and/or any Subsidiary Guarantor in favor of the Administrative Agent, the Collateral Agent or any Lender, any amendment, restatement or supplement of any of the foregoing and any other document from time to time designated in writing as a “Credit Document” hereunder by the Administrative Agent and the Borrower.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5" w:right="2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Parties</w:t>
      </w:r>
      <w:r>
        <w:rPr>
          <w:rFonts w:ascii="Times New Roman" w:cs="Times New Roman" w:eastAsia="Times New Roman" w:hAnsi="Times New Roman"/>
          <w:sz w:val="22"/>
          <w:szCs w:val="22"/>
          <w:color w:val="auto"/>
        </w:rPr>
        <w:t>” means Holdings, the Borrower and each Subsidiary Guarantor.</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8"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Credit Parties</w:t>
      </w:r>
      <w:r>
        <w:rPr>
          <w:rFonts w:ascii="Times New Roman" w:cs="Times New Roman" w:eastAsia="Times New Roman" w:hAnsi="Times New Roman"/>
          <w:sz w:val="22"/>
          <w:szCs w:val="22"/>
          <w:color w:val="auto"/>
        </w:rPr>
        <w:t>” means Holdings, the Borrower and each Subsidiary Guarantor that is a Domestic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19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each Subsidiary that is incorporated under the laws of the United States, any State thereof or the District of Columbia.</w:t>
      </w:r>
    </w:p>
    <w:p>
      <w:pPr>
        <w:spacing w:after="0" w:line="158"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w:t>
      </w:r>
      <w:r>
        <w:rPr>
          <w:rFonts w:ascii="Times New Roman" w:cs="Times New Roman" w:eastAsia="Times New Roman" w:hAnsi="Times New Roman"/>
          <w:sz w:val="22"/>
          <w:szCs w:val="22"/>
          <w:color w:val="auto"/>
        </w:rPr>
        <w:t xml:space="preserve">” means, for any applicable computation period, Holdings’ and its subsidiaries’ Net Income on a consolidated basis from continuing operations,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to the extent included in the determination of Net Income, (a) income and franchise taxes paid or accrued during such period, (b) Total Interest Expense for such period, (c) amortization and depreciation deducted in determining Net Income for such period, (d) goodwill or other intangible asset impairments or charges required or permitted by FAS 142 for such period, (e) non-cash restructuring charges, (f) non-cash compensation expenses, and (g) cash restructuring charges in an aggregate amount not to exceed $10,000,000 in any period of four consecutive fiscal quarters plus if such four fiscal quarter period includes the first quarter of Holdings’ 2016 fiscal year, the amount of the cash restructuring charges incurred in such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calculating EBITDA, if the sales revenue generated by any Person or business unit acquired, divested or liquidated, by the Borrower or any Subsidiary during the period of four consecutive fiscal quarters prior to such acquisition, divestiture or liquidation was $5,000,000 or more, then the consolidated net income of such Person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625" w:right="239" w:bottom="1440" w:gutter="0" w:footer="0" w:header="0"/>
        </w:sectPr>
      </w:pPr>
    </w:p>
    <w:bookmarkStart w:id="41" w:name="page42"/>
    <w:bookmarkEnd w:id="41"/>
    <w:p>
      <w:pPr>
        <w:jc w:val="both"/>
        <w:spacing w:after="0" w:line="246" w:lineRule="auto"/>
        <w:rPr>
          <w:sz w:val="20"/>
          <w:szCs w:val="20"/>
          <w:color w:val="auto"/>
        </w:rPr>
      </w:pPr>
      <w:r>
        <w:rPr>
          <w:rFonts w:ascii="Times New Roman" w:cs="Times New Roman" w:eastAsia="Times New Roman" w:hAnsi="Times New Roman"/>
          <w:sz w:val="22"/>
          <w:szCs w:val="22"/>
          <w:color w:val="auto"/>
        </w:rPr>
        <w:t>or business unit acquired, or divested or liquidated (plus, to the extent deducted in determining such consolidated net income, Total Interest Expense, income tax expense, depreciation and amortization, goodwill or other intangible asset impairments or charges required or permitted by FAS 142 for such period, non-cash restructuring charges, non-cash compensation expenses, and cash restructuring charges in an aggregate amount not to exceed, together with cash restructuring charges added back to EBITDA pursuant to clause (g) above, $10,000,000 in any period of four consecutive fiscal quarters plus if such four fiscal quarter period includes the first quarter of Holdings’ 2016 fiscal year, the amount of the cash restructuring charges incurred in such quarter, in each case, of such Person or business unit) shall be included (or, in the case of a divestiture or liquidation, excluded) on a pro forma basis for such period (assuming the consummation of each such acquisition and the incurrence or assumption of any debt in connection therewith (or the consummation of such divestiture or liquidation) occurred on the first day of such period) in accordance with Article 11 of Regulation S-X of the Securities and Exchange Commission.</w:t>
      </w:r>
    </w:p>
    <w:p>
      <w:pPr>
        <w:spacing w:after="0" w:line="189"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EBITDAR</w:t>
      </w:r>
      <w:r>
        <w:rPr>
          <w:rFonts w:ascii="Times New Roman" w:cs="Times New Roman" w:eastAsia="Times New Roman" w:hAnsi="Times New Roman"/>
          <w:sz w:val="22"/>
          <w:szCs w:val="22"/>
          <w:color w:val="auto"/>
        </w:rPr>
        <w:t xml:space="preserve">” means, for any applicable computation period, EBITDA for such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to the extent deducted in the determination of Net Income for such period, Rentals for such period.</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9.02).</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5" w:right="239" w:bottom="1440" w:gutter="0" w:footer="0" w:header="0"/>
        </w:sectPr>
      </w:pPr>
    </w:p>
    <w:bookmarkStart w:id="42" w:name="page43"/>
    <w:bookmarkEnd w:id="4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or, solely for purposes of Section 302 of ERISA and Section 412 of the Code, is treated as a single employer under Section 414 of the Code.</w:t>
      </w:r>
    </w:p>
    <w:p>
      <w:pPr>
        <w:spacing w:after="0" w:line="158"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 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96"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Adjusted LIBO Rate.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assigned to such term in Article VII.</w:t>
      </w:r>
    </w:p>
    <w:p>
      <w:pPr>
        <w:spacing w:after="0" w:line="220"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becomes a party to this Agreement with respect to such interest in the Loan or Commitment (other than pursuant to an assignment request by the Borrower under Section 2.19) or (ii) such Lender changes its lending office, except in each case to the extent that, pursuant to Section 2.17, amounts with respect to such Taxes were payable either to such Lender’s assignor immediately before such Lender became a party hereto or to such Lender immediately before it changed its lending office; (c) Taxes attributable to such Recipient’s failure to comply with Section 2.17(e); and (d) any U.S. federal withholding Taxes imposed under FATCA.</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has the meaning assigned to such term in the Recitals hereto.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5" w:right="239" w:bottom="1440" w:gutter="0" w:footer="0" w:header="0"/>
        </w:sectPr>
      </w:pPr>
    </w:p>
    <w:bookmarkStart w:id="43" w:name="page44"/>
    <w:bookmarkEnd w:id="43"/>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means the letters of credit issued and outstanding under the Existing Credit Agreement and set forth on Schedule 1.01(b)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Exiting Lenders</w:t>
      </w:r>
      <w:r>
        <w:rPr>
          <w:rFonts w:ascii="Times New Roman" w:cs="Times New Roman" w:eastAsia="Times New Roman" w:hAnsi="Times New Roman"/>
          <w:sz w:val="22"/>
          <w:szCs w:val="22"/>
          <w:color w:val="auto"/>
        </w:rPr>
        <w:t>” has the meaning assigned to such term in the Recitals hereto.</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Guarantees</w:t>
      </w:r>
      <w:r>
        <w:rPr>
          <w:rFonts w:ascii="Times New Roman" w:cs="Times New Roman" w:eastAsia="Times New Roman" w:hAnsi="Times New Roman"/>
          <w:sz w:val="22"/>
          <w:szCs w:val="22"/>
          <w:color w:val="auto"/>
        </w:rPr>
        <w:t>” means, collectively, the Parent Guaranty and the Subsidiary Guaranty.</w:t>
      </w:r>
    </w:p>
    <w:p>
      <w:pPr>
        <w:spacing w:after="0" w:line="22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executive officer, director of finance, vice president of finance, chief financial officer, principal accounting officer, treasurer or controller of the Borrower.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Tier Material Foreign Subsidiary</w:t>
      </w:r>
      <w:r>
        <w:rPr>
          <w:rFonts w:ascii="Times New Roman" w:cs="Times New Roman" w:eastAsia="Times New Roman" w:hAnsi="Times New Roman"/>
          <w:sz w:val="22"/>
          <w:szCs w:val="22"/>
          <w:color w:val="auto"/>
        </w:rPr>
        <w:t>” has the meaning assigned to such term in Section 5.10(a).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any Lender that is not a “United States person” within the meaning of Section 7701(a)(30)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Code.</w:t>
      </w:r>
    </w:p>
    <w:p>
      <w:pPr>
        <w:spacing w:after="0" w:line="196"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incorporated or organized under the laws of any jurisdiction other than the United States of America, any State thereof or the District of Columbia.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u w:val="single" w:color="auto"/>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in any manner, whether directly or indirectly, and including any obligation of the guarantor, direct or indirect, (a) to purchase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5" w:right="2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Guarantee shall not include endorsements for collection or deposit in the ordinary course of business. The amount of any Guarantee made by any guarantor shall be deemed to be the lower of (a) an amount equal to the stated or determinable amount of the primary obligation in respect of which such Guarantee is made and (b) the maximum amount for which such guarantor may be liable pursuant to the terms of the instrument embodying such Guarantee, unless (in the case of a primary obligation that is not Indebtedness) such primary obligation and the maximum amount for which such guarantor may be liable are not stated or determinable, in which case the amount of such Guarantee shall be such guarantor’s maximum reasonably anticipated liability in respect thereof as determined by the Borrower in good faith.</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means Vera Bradley, Inc., an Indiana corporation.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Interest Period</w:t>
      </w:r>
      <w:r>
        <w:rPr>
          <w:rFonts w:ascii="Times New Roman" w:cs="Times New Roman" w:eastAsia="Times New Roman" w:hAnsi="Times New Roman"/>
          <w:sz w:val="22"/>
          <w:szCs w:val="22"/>
          <w:color w:val="auto"/>
        </w:rPr>
        <w:t>” has the meaning assigned to it in the definition of “LIBO Rate.”</w:t>
      </w:r>
    </w:p>
    <w:p>
      <w:pPr>
        <w:spacing w:after="0" w:line="220"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and (k) all Off-Balance Sheet Liabilities. The Indebtedness of any Person shall include the Indebtedness of any other entity (including any partnership in which such Person is a general partner) to the extent such Person is liable therefor as a result of such Person’s ownership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25" w:right="23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22"/>
          <w:szCs w:val="22"/>
          <w:color w:val="auto"/>
        </w:rPr>
        <w:t>interest in or other relationship with such entity, except to the extent the terms of such Indebtedness provide that such Person is not liable therefor.</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Credit Party under any Credit Document and (b) to the extent not otherwise described in (a), Other Taxes.</w:t>
      </w: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assigned to such term in Section 9.03(b).</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Memorandum</w:t>
      </w:r>
      <w:r>
        <w:rPr>
          <w:rFonts w:ascii="Times New Roman" w:cs="Times New Roman" w:eastAsia="Times New Roman" w:hAnsi="Times New Roman"/>
          <w:sz w:val="22"/>
          <w:szCs w:val="22"/>
          <w:color w:val="auto"/>
        </w:rPr>
        <w:t>” means the Confidential Information Memorandum dated July 2015 relating to the Borrower and the Transactions.</w:t>
      </w:r>
    </w:p>
    <w:p>
      <w:pPr>
        <w:spacing w:after="0" w:line="15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Interpolated Rate</w:t>
      </w:r>
      <w:r>
        <w:rPr>
          <w:rFonts w:ascii="Times New Roman" w:cs="Times New Roman" w:eastAsia="Times New Roman" w:hAnsi="Times New Roman"/>
          <w:sz w:val="22"/>
          <w:szCs w:val="22"/>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that LIBO Screen Rate is available that exceeds the Impacted Interest Period, in each case, at such time.</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means a request by the Borrower to convert or continue a Revolving Borrowing in accordance with Section 2.08.</w:t>
      </w:r>
    </w:p>
    <w:p>
      <w:pPr>
        <w:spacing w:after="0" w:line="158"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(a) with respect to any ABR Loan (other than a Swingline Loan), the last day of each March, June, September and December,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66"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with respect to any Eurodollar Borrowing, the period commencing on the date of such Borrowing and ending on the numerically corresponding day in the calendar month that is one, two, three or six months thereafter, as the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625" w:right="239" w:bottom="1440" w:gutter="0" w:footer="0" w:header="0"/>
        </w:sectPr>
      </w:pPr>
    </w:p>
    <w:bookmarkStart w:id="46" w:name="page47"/>
    <w:bookmarkEnd w:id="46"/>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means JPMorgan, in its capacity as the issuer of Letters of Credit hereunder, and its successors in such capacity as provided in Section 2.06(i). The Issuing Bank may, in its discretion, arrange for one or more Letters of Credit to be issued by Affiliates of the Issuing Bank, in which case the term “Issuing Bank” shall include any such Affiliate with respect to Letters of Credit issued by such Affiliate.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JPMorgan</w:t>
      </w:r>
      <w:r>
        <w:rPr>
          <w:rFonts w:ascii="Times New Roman" w:cs="Times New Roman" w:eastAsia="Times New Roman" w:hAnsi="Times New Roman"/>
          <w:sz w:val="21"/>
          <w:szCs w:val="21"/>
          <w:color w:val="auto"/>
        </w:rPr>
        <w:t>” means JPMorgan Chase Bank, National Association, a national banking association, and its successors.</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the Issuing Bank pursuant to a Letter of Credit.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total LC Exposure at such time.</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 and any other Person that shall have become a party hereto pursuant to an Assignment and Assumption or pursuant to Section 2.09(d), other than any such Person that ceases to be a party hereto pursuant to an Assignment and Assumption. Unless the context otherwise requires, the term “Lenders” includes the Swingline Lender.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at any time, the ratio of Total Debt at such time to EBITDA for the most recently completed four fiscal quarters of Holdings, computed on a consolidated basis for Holdings and its subsidiaries.</w:t>
      </w:r>
    </w:p>
    <w:p>
      <w:pPr>
        <w:spacing w:after="0" w:line="158"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LIBO Rate</w:t>
      </w:r>
      <w:r>
        <w:rPr>
          <w:rFonts w:ascii="Times New Roman" w:cs="Times New Roman" w:eastAsia="Times New Roman" w:hAnsi="Times New Roman"/>
          <w:sz w:val="21"/>
          <w:szCs w:val="21"/>
          <w:color w:val="auto"/>
        </w:rPr>
        <w:t>” means, with respect to any Eurodollar Borrowing for any Interest Period, the London interbank offered rate as administered by ICE Benchmark Administration (or any other Person that takes over the administration of such rate) for deposits in Dollars for a period equal in length to such Interest Period as displayed on page LIBOR01 of the Reuters screen (or, in the event such rate does not appear on such Reuters page, on any successor or substitute Reuters page that displays such rate, or on the appropriate page of such other information service that publishes such rate from time to time as selected by the Administrative Agent in its reasonable discretion; in each case, the “</w:t>
      </w:r>
      <w:r>
        <w:rPr>
          <w:rFonts w:ascii="Times New Roman" w:cs="Times New Roman" w:eastAsia="Times New Roman" w:hAnsi="Times New Roman"/>
          <w:sz w:val="21"/>
          <w:szCs w:val="21"/>
          <w:u w:val="single" w:color="auto"/>
          <w:color w:val="auto"/>
        </w:rPr>
        <w:t>LIBO Screen Rate</w:t>
      </w:r>
      <w:r>
        <w:rPr>
          <w:rFonts w:ascii="Times New Roman" w:cs="Times New Roman" w:eastAsia="Times New Roman" w:hAnsi="Times New Roman"/>
          <w:sz w:val="21"/>
          <w:szCs w:val="21"/>
          <w:color w:val="auto"/>
        </w:rPr>
        <w:t xml:space="preserve">”) at approximately 11:00 a.m. London time two Business Days prior to the first day of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LIBO Screen Rate shall be less than zero, such rate shall be deemed to be zero for the purposes of this Agreement;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the LIBO Screen Rate shall not be available at such time for such Interest Period (an “</w:t>
      </w:r>
      <w:r>
        <w:rPr>
          <w:rFonts w:ascii="Times New Roman" w:cs="Times New Roman" w:eastAsia="Times New Roman" w:hAnsi="Times New Roman"/>
          <w:sz w:val="21"/>
          <w:szCs w:val="21"/>
          <w:u w:val="single" w:color="auto"/>
          <w:color w:val="auto"/>
        </w:rPr>
        <w:t>Impacted Interest Period</w:t>
      </w:r>
      <w:r>
        <w:rPr>
          <w:rFonts w:ascii="Times New Roman" w:cs="Times New Roman" w:eastAsia="Times New Roman" w:hAnsi="Times New Roman"/>
          <w:sz w:val="21"/>
          <w:szCs w:val="21"/>
          <w:color w:val="auto"/>
        </w:rPr>
        <w:t>”) then the LIBO Rate shall be the Interpolated Rate; provided that if any Interpolated Rate shall be less than zero, such rate shall be deemed to be zero for purposes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Screen Rate</w:t>
      </w:r>
      <w:r>
        <w:rPr>
          <w:rFonts w:ascii="Times New Roman" w:cs="Times New Roman" w:eastAsia="Times New Roman" w:hAnsi="Times New Roman"/>
          <w:sz w:val="22"/>
          <w:szCs w:val="22"/>
          <w:color w:val="auto"/>
        </w:rPr>
        <w:t>” has the meaning assigned to it in the definition of “LIBO Rate.”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25" w:right="239" w:bottom="1440" w:gutter="0" w:footer="0" w:header="0"/>
        </w:sectPr>
      </w:pPr>
    </w:p>
    <w:bookmarkStart w:id="47" w:name="page48"/>
    <w:bookmarkEnd w:id="47"/>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2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assets, operations or condition, financial or otherwise, of the Borrower and the Subsidiaries taken as a whole, (b) the ability of the Borrower to perform any of its obligations under the Credit Documents or (c) the rights of or benefits available to the Administrative Agent, the Collateral Agent or the Lenders under the Credit Documents.</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the Loans and Letters of Credit), or obligations in respect of one or more Swap Agreements, of any one or more of the Borrower and its Subsidiaries in an aggregate principal amount exceeding $10,000,000.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1"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Subsidiary</w:t>
      </w:r>
      <w:r>
        <w:rPr>
          <w:rFonts w:ascii="Times New Roman" w:cs="Times New Roman" w:eastAsia="Times New Roman" w:hAnsi="Times New Roman"/>
          <w:sz w:val="21"/>
          <w:szCs w:val="21"/>
          <w:color w:val="auto"/>
        </w:rPr>
        <w:t>” means a Subsidiary held directly by the Borrower or any Subsidiary Guarantor that is a Domestic Subsidiary, which Subsidiary (a) as of the date hereof, has assets having a book value (i) in excess of $1,000,000 in the case of any Domestic Subsidiary or (ii) in excess of $5,000,000 in the case of any First Tier Material Foreign Subsidiary, or which generated (i) in excess of $1,000,000 in the case of any Domestic Subsidiary or (ii) in excess of $5,000,0000 in the case of any First Tier Material Foreign Subsidiary of net income over the four fiscal quarter period most recently ended prior to the date hereof, or</w:t>
      </w:r>
    </w:p>
    <w:p>
      <w:pPr>
        <w:spacing w:after="0" w:line="4" w:lineRule="exact"/>
        <w:rPr>
          <w:sz w:val="20"/>
          <w:szCs w:val="20"/>
          <w:color w:val="auto"/>
        </w:rPr>
      </w:pPr>
    </w:p>
    <w:p>
      <w:pPr>
        <w:jc w:val="both"/>
        <w:ind w:firstLine="8"/>
        <w:spacing w:after="0" w:line="245" w:lineRule="auto"/>
        <w:tabs>
          <w:tab w:leader="none" w:pos="31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has or acquires assets having a book value (i) in excess of $1,000,000 in the case of any Domestic Subsidiary or (ii) in excess of $5,000,000 in the case of any First Tier Material Foreign Subsidiary or which generated in excess of (i) $1,000,000 in the case of any Domestic Subsidiary or (ii) in excess of $5,000,000 in the case of any First Tier Material Foreign Subsidiary of net income over the four fiscal quarter period most recently ended prior to the time of computation.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has the meaning assigned to such term in Section 9.13.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20" w:lineRule="exact"/>
        <w:rPr>
          <w:sz w:val="20"/>
          <w:szCs w:val="20"/>
          <w:color w:val="auto"/>
        </w:rPr>
      </w:pPr>
    </w:p>
    <w:p>
      <w:pPr>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means, for any computation period, with respect to Holdings on a consolidated basis with its subsidiaries (other than any subsidiary which is restricted from declaring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25" w:right="239" w:bottom="1440" w:gutter="0" w:footer="0" w:header="0"/>
        </w:sectPr>
      </w:pPr>
    </w:p>
    <w:bookmarkStart w:id="48" w:name="page49"/>
    <w:bookmarkEnd w:id="48"/>
    <w:p>
      <w:pPr>
        <w:jc w:val="both"/>
        <w:spacing w:after="0" w:line="271" w:lineRule="auto"/>
        <w:rPr>
          <w:sz w:val="20"/>
          <w:szCs w:val="20"/>
          <w:color w:val="auto"/>
        </w:rPr>
      </w:pPr>
      <w:r>
        <w:rPr>
          <w:rFonts w:ascii="Times New Roman" w:cs="Times New Roman" w:eastAsia="Times New Roman" w:hAnsi="Times New Roman"/>
          <w:sz w:val="22"/>
          <w:szCs w:val="22"/>
          <w:color w:val="auto"/>
        </w:rPr>
        <w:t>or paying dividends or otherwise advancing funds to its parent whether by contract or otherwise), cumulative net income earned during such period (determined before the deduction of minority interests) as determined in accordance with GAAP.</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Off-Balance Sheet Liability</w:t>
      </w:r>
      <w:r>
        <w:rPr>
          <w:rFonts w:ascii="Times New Roman" w:cs="Times New Roman" w:eastAsia="Times New Roman" w:hAnsi="Times New Roman"/>
          <w:sz w:val="22"/>
          <w:szCs w:val="22"/>
          <w:color w:val="auto"/>
        </w:rPr>
        <w:t>” of a Person means (a) any repurchase obligation or liability of such Person with respect to accounts or notes receivable sold by such Person, (b) any liability under any Sale and Leaseback Transaction other than Capital Lease Obligations, (c) any liability under any so-called “synthetic lease” arrangement or transaction entered into by such Person, or (d) any obligation arising with respect to any other transaction which is the functional equivalent of or takes the place of borrowing but which does not constitute a liability on the balance sheets of such Person.</w:t>
      </w:r>
    </w:p>
    <w:p>
      <w:pPr>
        <w:spacing w:after="0" w:line="18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1"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Section 2.19</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with respect to any Lender, any Person as to which such Lender is, directly or indirectly,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w:t>
      </w:r>
    </w:p>
    <w:p>
      <w:pPr>
        <w:spacing w:after="0" w:line="196"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Guaranty</w:t>
      </w:r>
      <w:r>
        <w:rPr>
          <w:rFonts w:ascii="Times New Roman" w:cs="Times New Roman" w:eastAsia="Times New Roman" w:hAnsi="Times New Roman"/>
          <w:sz w:val="22"/>
          <w:szCs w:val="22"/>
          <w:color w:val="auto"/>
        </w:rPr>
        <w:t>” means that certain Amended and Restated Parent Guaranty dated as of the date hereof by Holdings in favor of the Administrative Agent for the benefit of the Secured Creditors, as from time to time amended, restated or supplemented.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Section 9.04.</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specified in Section 9.04(c).</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the acquisition by the Borrower or a Wholly-Owned Subsidiary thereof of an Acquired Entity or Business (including by way of merger of such Acquired Entity or Business with and into the Borrower (so long as the Borrower is the surviving corporation) or a Wholly-Owned Subsidiary thereof (so long as the Wholly-Owned Subsidiary is the surviving corporation or the surviving corporation becomes a Subsidiary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 the consideration paid or to be paid by the Borrower or such Wholly-Owned Subsidiary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625" w:right="239" w:bottom="1440" w:gutter="0" w:footer="0" w:header="0"/>
        </w:sectPr>
      </w:pPr>
    </w:p>
    <w:bookmarkStart w:id="49" w:name="page50"/>
    <w:bookmarkEnd w:id="49"/>
    <w:p>
      <w:pPr>
        <w:jc w:val="both"/>
        <w:spacing w:after="0" w:line="246" w:lineRule="auto"/>
        <w:rPr>
          <w:sz w:val="20"/>
          <w:szCs w:val="20"/>
          <w:color w:val="auto"/>
        </w:rPr>
      </w:pPr>
      <w:r>
        <w:rPr>
          <w:rFonts w:ascii="Times New Roman" w:cs="Times New Roman" w:eastAsia="Times New Roman" w:hAnsi="Times New Roman"/>
          <w:sz w:val="22"/>
          <w:szCs w:val="22"/>
          <w:color w:val="auto"/>
        </w:rPr>
        <w:t>consists solely of cash (including proceeds of Revolving Loans or Swingline Loans), the issuance of common stock of the Borrower to the extent no Default or Event of Default exists pursuant to clause (m) of Article VII or would result therefrom and the assumption/acquisition of any Indebtedness (calculated at face value) which is permitted to remain outstanding in accordance with the requirements of Section 6.01; (b) in the case of the acquisition of 100% of the capital stock of any Person (including by way of merger), such Person shall own no capital stock of any other Person (excluding de minimis amounts) unless either (i) such Person owns 100% of the capital stock of such other Person or (ii) such Person and its Wholly-Owned Subsidiaries own at least 80% of the consolidated assets of such other Person and its Subsidiaries; (c) the Acquired Entity or Business acquired pursuant to the respective Permitted Acquisition is in a business permitted by Section 6.03(c); (d) in the case of a stock acquisition, such acquisition shall have been approved by the board of directors of the Acquired Entity or Business; and (e) all applicable requirements of Sections 6.03 and 6.04(f) applicable to Permitted Acquisitions are satisfied.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720" w:hanging="415"/>
        <w:spacing w:after="0"/>
        <w:tabs>
          <w:tab w:leader="none" w:pos="17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that are not yet due or are being contested in compliance with Section 5.04;</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landlord’s and other like Liens imposed by law, arising in the ordinary course of business and securing obligations that are not overdue by more than 30 days or are being contested in compliance with Section 5.04;</w:t>
      </w:r>
    </w:p>
    <w:p>
      <w:pPr>
        <w:spacing w:after="0" w:line="167" w:lineRule="exact"/>
        <w:rPr>
          <w:rFonts w:ascii="Times New Roman" w:cs="Times New Roman" w:eastAsia="Times New Roman" w:hAnsi="Times New Roman"/>
          <w:sz w:val="22"/>
          <w:szCs w:val="22"/>
          <w:color w:val="auto"/>
        </w:rPr>
      </w:pPr>
    </w:p>
    <w:p>
      <w:pPr>
        <w:ind w:right="20" w:firstLine="1305"/>
        <w:spacing w:after="0" w:line="284" w:lineRule="auto"/>
        <w:tabs>
          <w:tab w:leader="none" w:pos="183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workers’ compensation, unemployment insurance and other social security laws or regulations;</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83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4"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clause (k) of Article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VII; and</w:t>
      </w:r>
    </w:p>
    <w:p>
      <w:pPr>
        <w:spacing w:after="0" w:line="20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8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“Permitted Encumbrances” shall not include any Lien securing Indebtedness.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20" w:firstLine="1305"/>
        <w:spacing w:after="0" w:line="284" w:lineRule="auto"/>
        <w:tabs>
          <w:tab w:leader="none" w:pos="1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50" w:name="page51"/>
    <w:bookmarkEnd w:id="50"/>
    <w:p>
      <w:pPr>
        <w:spacing w:after="0" w:line="271" w:lineRule="auto"/>
        <w:rPr>
          <w:sz w:val="20"/>
          <w:szCs w:val="20"/>
          <w:color w:val="auto"/>
        </w:rPr>
      </w:pPr>
      <w:r>
        <w:rPr>
          <w:rFonts w:ascii="Times New Roman" w:cs="Times New Roman" w:eastAsia="Times New Roman" w:hAnsi="Times New Roman"/>
          <w:sz w:val="22"/>
          <w:szCs w:val="22"/>
          <w:color w:val="auto"/>
        </w:rPr>
        <w:t>such obligations are backed by the full faith and credit of the United States of America), in each case maturing within one year from the date of acquisition thereof;</w:t>
      </w:r>
    </w:p>
    <w:p>
      <w:pPr>
        <w:spacing w:after="0" w:line="158" w:lineRule="exact"/>
        <w:rPr>
          <w:sz w:val="20"/>
          <w:szCs w:val="20"/>
          <w:color w:val="auto"/>
        </w:rPr>
      </w:pPr>
    </w:p>
    <w:p>
      <w:pPr>
        <w:ind w:right="20" w:firstLine="1305"/>
        <w:spacing w:after="0" w:line="284" w:lineRule="auto"/>
        <w:tabs>
          <w:tab w:leader="none" w:pos="175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S&amp;P or from Moody’s;</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7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82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1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means that certain Amended and Restated Pledge Agreement dated as of the date hereof made by the Borrower, Holdings and each Subsidiary Guarantor in favor of the Collateral Agent, for the ratable benefit of the Secured Creditors, as from time to time amended, restated or supplemented (by joinder or otherwise), together with any other pledge agreement entered into by Holdings, the Borrower or a Subsidiary in favor of the Collateral Agent.</w:t>
      </w:r>
    </w:p>
    <w:p>
      <w:pPr>
        <w:spacing w:after="0" w:line="18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per annum publicly announced from time to time by JPMorgan as its prime rate in effect at its office located at 270 Park Avenue, New York, New York; each change in the Prime Rate shall be effective from and including the date such change is publicly announced as being effective.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and (c) any Issuing Bank, as applicable.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assigned to such term in Section 9.04.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625" w:right="239" w:bottom="1440" w:gutter="0" w:footer="0" w:header="0"/>
        </w:sectPr>
      </w:pPr>
    </w:p>
    <w:bookmarkStart w:id="51" w:name="page52"/>
    <w:bookmarkEnd w:id="51"/>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Rentals</w:t>
      </w:r>
      <w:r>
        <w:rPr>
          <w:rFonts w:ascii="Times New Roman" w:cs="Times New Roman" w:eastAsia="Times New Roman" w:hAnsi="Times New Roman"/>
          <w:sz w:val="22"/>
          <w:szCs w:val="22"/>
          <w:color w:val="auto"/>
        </w:rPr>
        <w:t>” of a Person means, with respect to any period, the aggregate of amount of rental expense for such period, determined in accordance with GAAP and deducted in computing Net Income of such Person.</w:t>
      </w:r>
    </w:p>
    <w:p>
      <w:pPr>
        <w:spacing w:after="0" w:line="158"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having Revolving Credit Exposures, unused Commitments and LC Exposure, representing more than 51% of the sum of the total Revolving Credit Exposures, unused Commitments and LC Exposure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there are three or fewer Lenders then Required Lenders shall mean at least two Lenders.</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 any dividend or other distribution (whether in cash, securities or other property) with respect to any Equity Interests in the Borrower or any Subsidiary or (b) any payment (whether in cash, securities or other property), including any sinking fund or similar deposit, on account of the purchase, redemption, retirement, acquisition, cancellation or termination of any such Equity Interests in the Borrower or any Subsidiary or any option, warrant or other right to acquire any such Equity Interests in the Borrower or any Subsidiary.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Borrowing</w:t>
      </w:r>
      <w:r>
        <w:rPr>
          <w:rFonts w:ascii="Times New Roman" w:cs="Times New Roman" w:eastAsia="Times New Roman" w:hAnsi="Times New Roman"/>
          <w:sz w:val="22"/>
          <w:szCs w:val="22"/>
          <w:color w:val="auto"/>
        </w:rPr>
        <w:t>” means a Borrowing comprised of Revolving Loans.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with respect to any Lender at any time, the sum of the outstanding principal amount of such Lender’s Revolving Loans, its LC Exposure and Swingline Exposure at such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Section 2.01.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Maturity Date</w:t>
      </w:r>
      <w:r>
        <w:rPr>
          <w:rFonts w:ascii="Times New Roman" w:cs="Times New Roman" w:eastAsia="Times New Roman" w:hAnsi="Times New Roman"/>
          <w:sz w:val="22"/>
          <w:szCs w:val="22"/>
          <w:color w:val="auto"/>
        </w:rPr>
        <w:t>” means July 15, 2020.</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w:t>
      </w:r>
    </w:p>
    <w:p>
      <w:pPr>
        <w:spacing w:after="0" w:line="220"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and Leaseback Transaction</w:t>
      </w:r>
      <w:r>
        <w:rPr>
          <w:rFonts w:ascii="Times New Roman" w:cs="Times New Roman" w:eastAsia="Times New Roman" w:hAnsi="Times New Roman"/>
          <w:sz w:val="22"/>
          <w:szCs w:val="22"/>
          <w:color w:val="auto"/>
        </w:rPr>
        <w:t>” means any sale or other transfer of property by any Person with the intent to lease such property as lessee.</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the subject or target of any Sanctions (at the time of this Agreement, Crimea, Cuba, Iran, North Korea, Sudan and Syria).</w:t>
      </w:r>
    </w:p>
    <w:p>
      <w:pPr>
        <w:spacing w:after="0" w:line="158"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(b) any Person operating, organized or resident in a Sanctioned Country or (c) any Person owned or controlled by any such Person or Persons described in the foregoing clauses (a) or (b).</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625" w:right="239" w:bottom="1440" w:gutter="0" w:footer="0" w:header="0"/>
        </w:sectPr>
      </w:pPr>
    </w:p>
    <w:bookmarkStart w:id="52" w:name="page53"/>
    <w:bookmarkEnd w:id="52"/>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“Sanctions”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Creditors</w:t>
      </w:r>
      <w:r>
        <w:rPr>
          <w:rFonts w:ascii="Times New Roman" w:cs="Times New Roman" w:eastAsia="Times New Roman" w:hAnsi="Times New Roman"/>
          <w:sz w:val="22"/>
          <w:szCs w:val="22"/>
          <w:color w:val="auto"/>
        </w:rPr>
        <w:t>” has the meaning ascribed to such term by the Security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has the meaning ascribed to such term by the Security Agreement.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means that certain Amended and Restated Security Agreement dated as of the date hereof made by the Borrower, Holdings and each Subsidiary Guarantor in favor of the Collateral Agent, for the ratable benefit of the Secured Creditors, as from time to time amended, restated or supplemented (by joinder or otherwise).</w:t>
      </w:r>
    </w:p>
    <w:p>
      <w:pPr>
        <w:spacing w:after="0" w:line="173"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the Security Agreement, the Pledge Agreement and each other document or instrument (as any such document or instrument may be amended, restated or supplemented (by joinder or otherwise)), pursuant to which security is granted to the Collateral Agent for the ratable benefit of the Secured Creditors.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Party</w:t>
      </w:r>
      <w:r>
        <w:rPr>
          <w:rFonts w:ascii="Times New Roman" w:cs="Times New Roman" w:eastAsia="Times New Roman" w:hAnsi="Times New Roman"/>
          <w:sz w:val="22"/>
          <w:szCs w:val="22"/>
          <w:color w:val="auto"/>
        </w:rPr>
        <w:t>” means the Administrative Agent, the Issuing Bank, the Swingline Lender or any other Lender.</w:t>
      </w:r>
    </w:p>
    <w:p>
      <w:pPr>
        <w:spacing w:after="0" w:line="220"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Reserve Rate</w:t>
      </w:r>
      <w:r>
        <w:rPr>
          <w:rFonts w:ascii="Times New Roman" w:cs="Times New Roman" w:eastAsia="Times New Roman" w:hAnsi="Times New Roman"/>
          <w:sz w:val="22"/>
          <w:szCs w:val="22"/>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25" w:right="239" w:bottom="1440" w:gutter="0" w:footer="0" w:header="0"/>
        </w:sectPr>
      </w:pPr>
    </w:p>
    <w:bookmarkStart w:id="53" w:name="page54"/>
    <w:bookmarkEnd w:id="53"/>
    <w:p>
      <w:pPr>
        <w:jc w:val="both"/>
        <w:spacing w:after="0" w:line="271" w:lineRule="auto"/>
        <w:rPr>
          <w:sz w:val="20"/>
          <w:szCs w:val="20"/>
          <w:color w:val="auto"/>
        </w:rPr>
      </w:pPr>
      <w:r>
        <w:rPr>
          <w:rFonts w:ascii="Times New Roman" w:cs="Times New Roman" w:eastAsia="Times New Roman" w:hAnsi="Times New Roman"/>
          <w:sz w:val="22"/>
          <w:szCs w:val="22"/>
          <w:color w:val="auto"/>
        </w:rPr>
        <w:t>Controlled, by the parent or one or more subsidiaries of the parent or by the parent and one or more subsidiaries of the parent. For the avoidance of doubt the Borrower is a “subsidiary” of Holdings.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Borrower.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each Subsidiary of the Borrower which is a party to the Subsidiary Guaranty.</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Guaranty</w:t>
      </w:r>
      <w:r>
        <w:rPr>
          <w:rFonts w:ascii="Times New Roman" w:cs="Times New Roman" w:eastAsia="Times New Roman" w:hAnsi="Times New Roman"/>
          <w:sz w:val="22"/>
          <w:szCs w:val="22"/>
          <w:color w:val="auto"/>
        </w:rPr>
        <w:t>” means, collectively, the Amended and Restated Subsidiary Guaranty dated as of the date hereof made by each Subsidiary Guarantor party thereto in favor of the Administrative Agent for the ratable benefit of the Secured Creditors, as from time to time amended, restated or supplemented (by joinder or otherwise), together with each other guaranty, joinder or guaranty supplement delivered pursuant to Section 5.10. The Subsidiary Guarantors initially party to the Subsidiary Guaranty are so designated on Schedule 3.12 hereto.</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Portion</w:t>
      </w:r>
      <w:r>
        <w:rPr>
          <w:rFonts w:ascii="Times New Roman" w:cs="Times New Roman" w:eastAsia="Times New Roman" w:hAnsi="Times New Roman"/>
          <w:sz w:val="22"/>
          <w:szCs w:val="22"/>
          <w:color w:val="auto"/>
        </w:rPr>
        <w:t>” means, with respect to the property of the Borrower and its Subsidiaries, property which (a) represents more than 5% of the consolidated net book value of assets of the Borrower and its Subsidiaries as would be shown in the consolidated financial statements of the Borrower and its Subsidiaries as at the beginning of the twelve month period ending with the last day of the month preceding the month in which such determination is made, or (b) is responsible for more than 5% of the consolidated net sales or of the consolidated net income of the Borrower and its Subsidiaries as reflected in the financial statements referred to in clause (a) above for such twelve month period.</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Agreement</w:t>
      </w:r>
      <w:r>
        <w:rPr>
          <w:rFonts w:ascii="Times New Roman" w:cs="Times New Roman" w:eastAsia="Times New Roman" w:hAnsi="Times New Roman"/>
          <w:sz w:val="22"/>
          <w:szCs w:val="22"/>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means, at any time, the aggregate principal amount of all Swingline Loans outstanding at such time. The Swingline Exposure of any Lender at any time shall be (a) in the case of Lenders other than the Swingline Lender, its Applicable Percentage of the total Swingline Exposure at such time and (b) in the case of the Swingline Lender, the aggregate principal amount of all Swingline Loans outstanding at such time (less the amount of participations funded by the other Lenders in such Swingline Loans).</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means JPMorgan, in its capacity as lender of Swingline Loans hereunder, and its successors and assigns in such capacity.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means a Loan made pursuant to Section 2.05.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625" w:right="239" w:bottom="1440" w:gutter="0" w:footer="0" w:header="0"/>
        </w:sectPr>
      </w:pPr>
    </w:p>
    <w:bookmarkStart w:id="54" w:name="page55"/>
    <w:bookmarkEnd w:id="54"/>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xml:space="preserve">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Debt</w:t>
      </w:r>
      <w:r>
        <w:rPr>
          <w:rFonts w:ascii="Times New Roman" w:cs="Times New Roman" w:eastAsia="Times New Roman" w:hAnsi="Times New Roman"/>
          <w:sz w:val="22"/>
          <w:szCs w:val="22"/>
          <w:color w:val="auto"/>
        </w:rPr>
        <w:t xml:space="preserve">” means (a) all Indebtedness of Holdings and its subsidiaries, on a consolidated basis, calculated in accordance with GAAP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without duplication (b) the face amount of all outstanding letters of credit in respect of which Holdings or any of its subsidiaries has any actual or contingent reimbursement obligation and (c) the principal amount of all Guarantees of Indebtedness by Holdings and its subsidiaries.</w:t>
      </w:r>
    </w:p>
    <w:p>
      <w:pPr>
        <w:spacing w:after="0" w:line="18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Interest Expense</w:t>
      </w:r>
      <w:r>
        <w:rPr>
          <w:rFonts w:ascii="Times New Roman" w:cs="Times New Roman" w:eastAsia="Times New Roman" w:hAnsi="Times New Roman"/>
          <w:sz w:val="22"/>
          <w:szCs w:val="22"/>
          <w:color w:val="auto"/>
        </w:rPr>
        <w:t>” means, for any period, total cash interest expense deducted in the computation of Net Income for such period (including that attributable to Capital Lease Obligations) of Holdings and its subsidiaries for such period with respect to all outstanding Indebtedness of Holdings and its subsidiaries (including all commissions, discounts and other fees and charges owed with respect to letters of credit and bankers’ acceptance financing and net costs of rate hedging in respect of interest rates to the extent such net costs are allocable to such period in accordance with GAAP).</w:t>
      </w:r>
    </w:p>
    <w:p>
      <w:pPr>
        <w:spacing w:after="0" w:line="181"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the Credit Documents, the borrowing of Loans, the use of the proceeds thereof and the issuance of Letters of Credit hereunder.</w:t>
      </w:r>
    </w:p>
    <w:p>
      <w:pPr>
        <w:spacing w:after="0" w:line="158" w:lineRule="exact"/>
        <w:rPr>
          <w:sz w:val="20"/>
          <w:szCs w:val="20"/>
          <w:color w:val="auto"/>
        </w:rPr>
      </w:pPr>
    </w:p>
    <w:p>
      <w:pPr>
        <w:jc w:val="both"/>
        <w:ind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relevant jurisdiction.</w:t>
      </w:r>
    </w:p>
    <w:p>
      <w:pPr>
        <w:spacing w:after="0" w:line="220"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Unfinanced Capital Expenditures</w:t>
      </w:r>
      <w:r>
        <w:rPr>
          <w:rFonts w:ascii="Times New Roman" w:cs="Times New Roman" w:eastAsia="Times New Roman" w:hAnsi="Times New Roman"/>
          <w:sz w:val="22"/>
          <w:szCs w:val="22"/>
          <w:color w:val="auto"/>
        </w:rPr>
        <w:t>” means Capital Expenditures which are not financed with proceeds of non-revolving term loans.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Borrower</w:t>
      </w:r>
      <w:r>
        <w:rPr>
          <w:rFonts w:ascii="Times New Roman" w:cs="Times New Roman" w:eastAsia="Times New Roman" w:hAnsi="Times New Roman"/>
          <w:sz w:val="22"/>
          <w:szCs w:val="22"/>
          <w:color w:val="auto"/>
        </w:rPr>
        <w:t>” means any Borrower that is a U.S. Person.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has the meaning assigned to such term in Section 2.17(e).</w:t>
      </w:r>
    </w:p>
    <w:p>
      <w:pPr>
        <w:spacing w:after="0" w:line="220"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 Subsidiary</w:t>
      </w:r>
      <w:r>
        <w:rPr>
          <w:rFonts w:ascii="Times New Roman" w:cs="Times New Roman" w:eastAsia="Times New Roman" w:hAnsi="Times New Roman"/>
          <w:sz w:val="22"/>
          <w:szCs w:val="22"/>
          <w:color w:val="auto"/>
        </w:rPr>
        <w:t>” of a Person means (a) any subsidiary all of the outstanding voting securities of which shall at the time be owned or controlled, directly or indirectly, by such Person or one or more Wholly-Owned Subsidiaries of such Person, or by such Person and one or more Wholly-Owned Subsidiaries of such Person, or (b) any partnership, limited liability company, association, joint venture or similar business organization 100% of the ownership interests having ordinary voting power of which shall at the time be so owned or controlled (other than in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55" w:name="page56"/>
    <w:bookmarkEnd w:id="5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case of Foreign Subsidiaries, director’s qualifying shares and/or other nominal amounts of shares required to be held by Persons other than the Borrower and its Subsidiaries under applicable law).</w:t>
      </w:r>
    </w:p>
    <w:p>
      <w:pPr>
        <w:spacing w:after="0" w:line="158" w:lineRule="exact"/>
        <w:rPr>
          <w:sz w:val="20"/>
          <w:szCs w:val="20"/>
          <w:color w:val="auto"/>
        </w:rPr>
      </w:pPr>
    </w:p>
    <w:p>
      <w:pPr>
        <w:jc w:val="both"/>
        <w:ind w:right="20" w:firstLine="1297"/>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2"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b w:val="1"/>
          <w:bCs w:val="1"/>
          <w:i w:val="1"/>
          <w:iCs w:val="1"/>
          <w:color w:val="auto"/>
        </w:rPr>
        <w:t>Classification of Loans and Borrowings</w:t>
      </w:r>
      <w:r>
        <w:rPr>
          <w:rFonts w:ascii="Times New Roman" w:cs="Times New Roman" w:eastAsia="Times New Roman" w:hAnsi="Times New Roman"/>
          <w:sz w:val="22"/>
          <w:szCs w:val="22"/>
          <w:color w:val="auto"/>
        </w:rPr>
        <w:t>. For purposes of this Agreement, Loans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“Revolving Loan”)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“Eurodollar Loan”)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“Eurodollar Revolving Loan”). Borrowings also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“Revolving Borrowing”)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“Eurodollar Borrowing”)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“Eurodollar Revolving Borrowing”).</w:t>
      </w:r>
    </w:p>
    <w:p>
      <w:pPr>
        <w:spacing w:after="0" w:line="168"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b w:val="1"/>
          <w:bCs w:val="1"/>
          <w:i w:val="1"/>
          <w:iCs w:val="1"/>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b w:val="1"/>
          <w:bCs w:val="1"/>
          <w:i w:val="1"/>
          <w:iCs w:val="1"/>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ARTICLE 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625" w:right="239" w:bottom="1440" w:gutter="0" w:footer="0" w:header="0"/>
        </w:sectPr>
      </w:pPr>
    </w:p>
    <w:bookmarkStart w:id="56" w:name="page57"/>
    <w:bookmarkEnd w:id="56"/>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b w:val="1"/>
          <w:bCs w:val="1"/>
          <w:i w:val="1"/>
          <w:iCs w:val="1"/>
          <w:color w:val="auto"/>
        </w:rPr>
        <w:t>Commitments</w:t>
      </w:r>
      <w:r>
        <w:rPr>
          <w:rFonts w:ascii="Times New Roman" w:cs="Times New Roman" w:eastAsia="Times New Roman" w:hAnsi="Times New Roman"/>
          <w:sz w:val="22"/>
          <w:szCs w:val="22"/>
          <w:color w:val="auto"/>
        </w:rPr>
        <w:t>. Subject to the terms and conditions set forth herein, each Lender agrees to make Revolving Loans to the Borrower from time to time during the Availability Period in an aggregate principal amount that will not result in (a) such Lender’s Revolving Credit Exposure exceeding such Lender’s Commitment or (b) the sum of the total Revolving Credit Exposures exceeding the total Commitments. Within the foregoing limits and subject to the terms and conditions set forth herein, the Borrower may borrow, prepay and reborrow Revolving Loans.</w:t>
      </w:r>
    </w:p>
    <w:p>
      <w:pPr>
        <w:spacing w:after="0" w:line="169"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b w:val="1"/>
          <w:bCs w:val="1"/>
          <w:i w:val="1"/>
          <w:iCs w:val="1"/>
          <w:color w:val="auto"/>
        </w:rPr>
        <w:t>Loans and Borrowings</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305"/>
        <w:spacing w:after="0" w:line="257" w:lineRule="auto"/>
        <w:tabs>
          <w:tab w:leader="none" w:pos="171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8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each Revolving Borrowing shall be comprised entirely of ABR Loans or Eurodollar Loans as the Borrower may request in accordance herewith. Each Swingline Loan shall be an ABR Loan. Each Lender at its option may make any Eurodollar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79"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8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commencement of each Interest Period for any Eurodollar Borrowing, such Borrowing shall be in an aggregate amount that is an integral multiple of $500,000 and not less than $2,500,000. At the time that each ABR Borrowing is made, such Borrowing shall be in an aggregate amount that is an integral multiple of $500,000 and not less than $500,000;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ABR Revolving Borrowing may be in an aggregate amount that is equal to the entire unused balance of the total Commitments or that is required to finance the reimbursement of an LC Disbursement as contemplated by Section 2.06(e). Each Swingline Loan shall be in an amount that is an integral multiple of $50,000 and not less than $100,000. Borrowings of more than one Type and Class may be outstanding at the same time; provided that there shall not at any time be more than a total of six Eurodollar Revolving Borrowings outstanding.</w:t>
      </w:r>
    </w:p>
    <w:p>
      <w:pPr>
        <w:spacing w:after="0" w:line="18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2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 shall not be entitled to request, or to elect to convert or continue, any Borrowing if the Interest Period requested with respect thereto would end after the Revolving Maturity Date.</w:t>
      </w:r>
    </w:p>
    <w:p>
      <w:pPr>
        <w:spacing w:after="0" w:line="162" w:lineRule="exact"/>
        <w:rPr>
          <w:sz w:val="20"/>
          <w:szCs w:val="20"/>
          <w:color w:val="auto"/>
        </w:rPr>
      </w:pPr>
    </w:p>
    <w:p>
      <w:pPr>
        <w:jc w:val="both"/>
        <w:ind w:firstLine="1297"/>
        <w:spacing w:after="0" w:line="267"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b w:val="1"/>
          <w:bCs w:val="1"/>
          <w:i w:val="1"/>
          <w:iCs w:val="1"/>
          <w:color w:val="auto"/>
        </w:rPr>
        <w:t>Requests for Revolving Borrowings</w:t>
      </w:r>
      <w:r>
        <w:rPr>
          <w:rFonts w:ascii="Times New Roman" w:cs="Times New Roman" w:eastAsia="Times New Roman" w:hAnsi="Times New Roman"/>
          <w:sz w:val="21"/>
          <w:szCs w:val="21"/>
          <w:color w:val="auto"/>
        </w:rPr>
        <w:t xml:space="preserve">. To request a Revolving Borrowing (other than a Swingline Loan), the Borrower shall notify the Administrative Agent of such request by telephone (a) in the case of a Eurodollar Borrowing, not later than 11:00 a.m., New York City time, three Business Days before the date of the proposed Borrowing or (b) in the case of an ABR Borrowing, not later than 11:00 a.m., New York City time, on the date of the proposed Borrowing;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notice of an ABR Revolving Borrowing to finance the reimbursement of an LC Disbursement as contemplated by Section 2.06(e) may be given not later than 10:00 a.m., New York City time, on the date of the proposed Borrowing. Each such telephonic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619" w:right="239" w:bottom="1440" w:gutter="0" w:footer="0" w:header="0"/>
        </w:sectPr>
      </w:pPr>
    </w:p>
    <w:bookmarkStart w:id="57" w:name="page58"/>
    <w:bookmarkEnd w:id="57"/>
    <w:p>
      <w:pPr>
        <w:jc w:val="both"/>
        <w:spacing w:after="0" w:line="252" w:lineRule="auto"/>
        <w:rPr>
          <w:sz w:val="20"/>
          <w:szCs w:val="20"/>
          <w:color w:val="auto"/>
        </w:rPr>
      </w:pPr>
      <w:r>
        <w:rPr>
          <w:rFonts w:ascii="Times New Roman" w:cs="Times New Roman" w:eastAsia="Times New Roman" w:hAnsi="Times New Roman"/>
          <w:sz w:val="22"/>
          <w:szCs w:val="22"/>
          <w:color w:val="auto"/>
        </w:rPr>
        <w:t>Borrowing Request shall be irrevocable and shall be confirmed promptly by hand delivery or telecopy to the Administrative Agent of a written Borrowing Request in the form of Exhibit B or any other form approved by the Administrative Agent and signed by the Borrower. Each such telephonic and written Borrowing Request shall specify the following information in compliance with Section 2.02:</w:t>
      </w:r>
    </w:p>
    <w:p>
      <w:pPr>
        <w:spacing w:after="0" w:line="180" w:lineRule="exact"/>
        <w:rPr>
          <w:sz w:val="20"/>
          <w:szCs w:val="20"/>
          <w:color w:val="auto"/>
        </w:rPr>
      </w:pPr>
    </w:p>
    <w:p>
      <w:pPr>
        <w:ind w:left="1680" w:hanging="375"/>
        <w:spacing w:after="0"/>
        <w:tabs>
          <w:tab w:leader="none" w:pos="16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the requested Borrowing;</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Eurodollar Borrowing;</w:t>
      </w:r>
    </w:p>
    <w:p>
      <w:pPr>
        <w:spacing w:after="0" w:line="233" w:lineRule="exact"/>
        <w:rPr>
          <w:rFonts w:ascii="Times New Roman" w:cs="Times New Roman" w:eastAsia="Times New Roman" w:hAnsi="Times New Roman"/>
          <w:sz w:val="22"/>
          <w:szCs w:val="22"/>
          <w:color w:val="auto"/>
        </w:rPr>
      </w:pPr>
    </w:p>
    <w:p>
      <w:pPr>
        <w:ind w:left="660" w:firstLine="645"/>
        <w:spacing w:after="0" w:line="284" w:lineRule="auto"/>
        <w:tabs>
          <w:tab w:leader="none" w:pos="18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Eurodollar Borrowing, the initial Interest Period to be applicable thereto, which shall be a period contemplated by the definition of the term “Interest Period”; and</w:t>
      </w:r>
    </w:p>
    <w:p>
      <w:pPr>
        <w:spacing w:after="0" w:line="144" w:lineRule="exact"/>
        <w:rPr>
          <w:rFonts w:ascii="Times New Roman" w:cs="Times New Roman" w:eastAsia="Times New Roman" w:hAnsi="Times New Roman"/>
          <w:sz w:val="22"/>
          <w:szCs w:val="22"/>
          <w:color w:val="auto"/>
        </w:rPr>
      </w:pPr>
    </w:p>
    <w:p>
      <w:pPr>
        <w:ind w:left="660" w:firstLine="645"/>
        <w:spacing w:after="0" w:line="284" w:lineRule="auto"/>
        <w:tabs>
          <w:tab w:leader="none" w:pos="17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 which shall comply with the requirements of Section 2.07.</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no election as to the Type of Revolving Borrowing is specified, then the requested Revolving Borrowing shall be an ABR Borrowing. If no Interest Period is specified with respect to any requested Eurodollar Revolving Borrowing, then the Borrower shall be deemed to have selected an Interest Period of one month’s duration. Promptly following receipt of a Borrowing Request in accordance with this Section, the Administrative Agent shall advise each applicable Lender of the details thereof and of the amount of such Lender’s Loan to be made as part of the requested Borrowing.</w:t>
      </w:r>
    </w:p>
    <w:p>
      <w:pPr>
        <w:spacing w:after="0" w:line="175"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2.04.</w:t>
      </w:r>
      <w:r>
        <w:rPr>
          <w:sz w:val="20"/>
          <w:szCs w:val="20"/>
          <w:color w:val="auto"/>
        </w:rPr>
        <w:tab/>
      </w:r>
      <w:r>
        <w:rPr>
          <w:rFonts w:ascii="Times New Roman" w:cs="Times New Roman" w:eastAsia="Times New Roman" w:hAnsi="Times New Roman"/>
          <w:sz w:val="21"/>
          <w:szCs w:val="21"/>
          <w:b w:val="1"/>
          <w:bCs w:val="1"/>
          <w:i w:val="1"/>
          <w:iCs w:val="1"/>
          <w:color w:val="auto"/>
        </w:rPr>
        <w:t>[Intentionally Omitted]</w:t>
      </w:r>
    </w:p>
    <w:p>
      <w:pPr>
        <w:spacing w:after="0" w:line="233"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b w:val="1"/>
          <w:bCs w:val="1"/>
          <w:i w:val="1"/>
          <w:iCs w:val="1"/>
          <w:color w:val="auto"/>
        </w:rPr>
        <w:t>Swingline Loans</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305"/>
        <w:spacing w:after="0" w:line="255" w:lineRule="auto"/>
        <w:tabs>
          <w:tab w:leader="none" w:pos="179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the Swingline Lender may, in its sole discretion, make Swingline Loans to the Borrower from time to time during the Availability Period, in an aggregate principal amount at any time outstanding that will not result in (i) the aggregate principal amount of outstanding Swingline Loans exceeding $15,000,000,</w:t>
      </w:r>
    </w:p>
    <w:p>
      <w:pPr>
        <w:jc w:val="both"/>
        <w:ind w:firstLine="8"/>
        <w:spacing w:after="0" w:line="245" w:lineRule="auto"/>
        <w:tabs>
          <w:tab w:leader="none" w:pos="33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Swingline Lender’s Revolving Credit Exposure exceeding its Commitment or (iii) the sum of the total Revolving Credit Exposures exceeding the total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5"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request a Swingline Loan, the Borrower shall notify the Administrative Agent of such request by telephone (confirmed by telecopy), not later than 3:00 p.m., New York City time, on the day of a proposed Swingline Loan. Each such notice shall be irrevocable and shall specify the requested date (which shall be a Business Day) and amount of the requested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625" w:right="2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22"/>
          <w:szCs w:val="22"/>
          <w:color w:val="auto"/>
        </w:rPr>
        <w:t>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Section 2.06(e), by remittance to the Issuing Bank) by 3:00 p.m., New York City time, on the requested date of such Swingline Loan.</w:t>
      </w:r>
    </w:p>
    <w:p>
      <w:pPr>
        <w:spacing w:after="0" w:line="181" w:lineRule="exact"/>
        <w:rPr>
          <w:sz w:val="20"/>
          <w:szCs w:val="20"/>
          <w:color w:val="auto"/>
        </w:rPr>
      </w:pPr>
    </w:p>
    <w:p>
      <w:pPr>
        <w:jc w:val="both"/>
        <w:ind w:firstLine="1305"/>
        <w:spacing w:after="0" w:line="245" w:lineRule="auto"/>
        <w:tabs>
          <w:tab w:leader="none" w:pos="174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Swingline Lender may by written notice given to the Administrative Agent not later than 10:00 a.m., New York City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6"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b w:val="1"/>
          <w:bCs w:val="1"/>
          <w:i w:val="1"/>
          <w:iCs w:val="1"/>
          <w:color w:val="auto"/>
        </w:rPr>
        <w:t>Letters of Credit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Subject to the terms and conditions set forth herein, the Borrower may request the issuance of Letters of Credit for its own account,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625" w:right="239" w:bottom="1440" w:gutter="0" w:footer="0" w:header="0"/>
        </w:sectPr>
      </w:pPr>
    </w:p>
    <w:bookmarkStart w:id="59" w:name="page60"/>
    <w:bookmarkEnd w:id="59"/>
    <w:p>
      <w:pPr>
        <w:jc w:val="both"/>
        <w:spacing w:after="0" w:line="257" w:lineRule="auto"/>
        <w:rPr>
          <w:sz w:val="20"/>
          <w:szCs w:val="20"/>
          <w:color w:val="auto"/>
        </w:rPr>
      </w:pPr>
      <w:r>
        <w:rPr>
          <w:rFonts w:ascii="Times New Roman" w:cs="Times New Roman" w:eastAsia="Times New Roman" w:hAnsi="Times New Roman"/>
          <w:sz w:val="22"/>
          <w:szCs w:val="22"/>
          <w:color w:val="auto"/>
        </w:rPr>
        <w:t>shall control. Upon the effectiveness of this Agreement, each Existing Letter of Credit shall, without any further action by any party, be deemed to have been issued as a Letter of Credit hereunder on the date of such effectiveness and shall for all purposes hereof be treated as a Letter of Credit under this Agreement.</w:t>
      </w:r>
    </w:p>
    <w:p>
      <w:pPr>
        <w:spacing w:after="0" w:line="173" w:lineRule="exact"/>
        <w:rPr>
          <w:sz w:val="20"/>
          <w:szCs w:val="20"/>
          <w:color w:val="auto"/>
        </w:rPr>
      </w:pPr>
    </w:p>
    <w:p>
      <w:pPr>
        <w:jc w:val="both"/>
        <w:ind w:firstLine="1305"/>
        <w:spacing w:after="0" w:line="245" w:lineRule="auto"/>
        <w:tabs>
          <w:tab w:leader="none" w:pos="172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$10,000,000, (ii) no Lender’s Revolving Credit Exposure shall exceed its Commitment and (iii) the sum of the total Revolving Credit Exposures shall not exceed the total Commitments. Notwithstanding anything herein to the contrary, the Issuing Bank shall have no obligation hereunder to issue, and shall not issue, any Letter of Credit the proceeds of which would be made available to any Person (i) to fund any activity or business of or with any Sanctioned Person, or in any country or territory that, in either case, at the time of such issuance, is the subject of any applicable Sanctions or (ii) in any manner that would result in a violation of any applicable Sanctions by any party to this Agreement.</w:t>
      </w:r>
    </w:p>
    <w:p>
      <w:pPr>
        <w:spacing w:after="0" w:line="19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7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Revolving Maturity Date.</w:t>
      </w:r>
    </w:p>
    <w:p>
      <w:pPr>
        <w:spacing w:after="0" w:line="167" w:lineRule="exact"/>
        <w:rPr>
          <w:rFonts w:ascii="Times New Roman" w:cs="Times New Roman" w:eastAsia="Times New Roman" w:hAnsi="Times New Roman"/>
          <w:sz w:val="22"/>
          <w:szCs w:val="22"/>
          <w:color w:val="auto"/>
        </w:rPr>
      </w:pPr>
    </w:p>
    <w:p>
      <w:pPr>
        <w:jc w:val="both"/>
        <w:ind w:firstLine="1305"/>
        <w:spacing w:after="0" w:line="249" w:lineRule="auto"/>
        <w:tabs>
          <w:tab w:leader="none" w:pos="182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Each Lender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25" w:right="2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22"/>
          <w:szCs w:val="22"/>
          <w:color w:val="auto"/>
        </w:rPr>
        <w:t>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80" w:lineRule="exact"/>
        <w:rPr>
          <w:sz w:val="20"/>
          <w:szCs w:val="20"/>
          <w:color w:val="auto"/>
        </w:rPr>
      </w:pPr>
    </w:p>
    <w:p>
      <w:pPr>
        <w:jc w:val="both"/>
        <w:ind w:firstLine="1305"/>
        <w:spacing w:after="0" w:line="257" w:lineRule="auto"/>
        <w:tabs>
          <w:tab w:leader="none" w:pos="182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the Issuing Bank shall make any LC Disbursement in respect of a Letter of Credit, the Borrower shall reimburse such LC Disbursement by paying to the Administrative Agent an amount equal to such LC Disbursement not later than 12:00 noon,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may, subject to the conditions to borrowing set forth herein, request in accordance with Sections 2.03 or 2.05 that such payment be financed with an ABR Revolving Borrowing or a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21"/>
          <w:szCs w:val="21"/>
          <w:u w:val="single" w:color="auto"/>
          <w:color w:val="auto"/>
        </w:rPr>
        <w:t>mutatis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mutandis</w:t>
      </w:r>
      <w:r>
        <w:rPr>
          <w:rFonts w:ascii="Times New Roman" w:cs="Times New Roman" w:eastAsia="Times New Roman" w:hAnsi="Times New Roman"/>
          <w:sz w:val="21"/>
          <w:szCs w:val="21"/>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w:t>
      </w:r>
    </w:p>
    <w:p>
      <w:pPr>
        <w:spacing w:after="0" w:line="189" w:lineRule="exact"/>
        <w:rPr>
          <w:rFonts w:ascii="Times New Roman" w:cs="Times New Roman" w:eastAsia="Times New Roman" w:hAnsi="Times New Roman"/>
          <w:sz w:val="21"/>
          <w:szCs w:val="21"/>
          <w:color w:val="auto"/>
        </w:rPr>
      </w:pPr>
    </w:p>
    <w:p>
      <w:pPr>
        <w:jc w:val="both"/>
        <w:ind w:firstLine="1305"/>
        <w:spacing w:after="0" w:line="249" w:lineRule="auto"/>
        <w:tabs>
          <w:tab w:leader="none" w:pos="171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625" w:right="239" w:bottom="1440" w:gutter="0" w:footer="0" w:header="0"/>
        </w:sectPr>
      </w:pPr>
    </w:p>
    <w:bookmarkStart w:id="61" w:name="page62"/>
    <w:bookmarkEnd w:id="61"/>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Section,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6" w:lineRule="exact"/>
        <w:rPr>
          <w:sz w:val="20"/>
          <w:szCs w:val="20"/>
          <w:color w:val="auto"/>
        </w:rPr>
      </w:pPr>
    </w:p>
    <w:p>
      <w:pPr>
        <w:jc w:val="both"/>
        <w:ind w:firstLine="1305"/>
        <w:spacing w:after="0" w:line="268" w:lineRule="auto"/>
        <w:tabs>
          <w:tab w:leader="none" w:pos="194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 Procedures</w:t>
      </w:r>
      <w:r>
        <w:rPr>
          <w:rFonts w:ascii="Times New Roman" w:cs="Times New Roman" w:eastAsia="Times New Roman" w:hAnsi="Times New Roman"/>
          <w:sz w:val="21"/>
          <w:szCs w:val="21"/>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telecopy) of such demand for payment and whether the Issuing Bank has made or will make an LC Disbursement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the Borrower of its obligation to reimburse the Issuing Bank and the Lenders with respect to any such LC Disbursement.</w:t>
      </w:r>
    </w:p>
    <w:p>
      <w:pPr>
        <w:spacing w:after="0" w:line="164" w:lineRule="exact"/>
        <w:rPr>
          <w:rFonts w:ascii="Times New Roman" w:cs="Times New Roman" w:eastAsia="Times New Roman" w:hAnsi="Times New Roman"/>
          <w:sz w:val="21"/>
          <w:szCs w:val="21"/>
          <w:color w:val="auto"/>
        </w:rPr>
      </w:pPr>
    </w:p>
    <w:p>
      <w:pPr>
        <w:jc w:val="both"/>
        <w:ind w:firstLine="1305"/>
        <w:spacing w:after="0" w:line="249" w:lineRule="auto"/>
        <w:tabs>
          <w:tab w:leader="none" w:pos="190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provided that, if the Borrower fails to reimburse such LC Disbursement when due pursuant to paragraph (e) of this Section, then Section 2.13(c)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182" w:lineRule="exact"/>
        <w:rPr>
          <w:rFonts w:ascii="Times New Roman" w:cs="Times New Roman" w:eastAsia="Times New Roman" w:hAnsi="Times New Roman"/>
          <w:sz w:val="22"/>
          <w:szCs w:val="22"/>
          <w:color w:val="auto"/>
        </w:rPr>
      </w:pPr>
    </w:p>
    <w:p>
      <w:pPr>
        <w:ind w:right="20" w:firstLine="1305"/>
        <w:spacing w:after="0" w:line="284" w:lineRule="auto"/>
        <w:tabs>
          <w:tab w:leader="none" w:pos="172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the Issuing Bank</w:t>
      </w:r>
      <w:r>
        <w:rPr>
          <w:rFonts w:ascii="Times New Roman" w:cs="Times New Roman" w:eastAsia="Times New Roman" w:hAnsi="Times New Roman"/>
          <w:sz w:val="22"/>
          <w:szCs w:val="22"/>
          <w:color w:val="auto"/>
        </w:rPr>
        <w:t>. The Issuing Bank may be replaced at any time by written agreement among the Borrower, the Administrative Agent, the replaced Issuing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625" w:right="239" w:bottom="1440" w:gutter="0" w:footer="0" w:header="0"/>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22"/>
          <w:szCs w:val="22"/>
          <w:color w:val="auto"/>
        </w:rPr>
        <w:t>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92" w:lineRule="exact"/>
        <w:rPr>
          <w:sz w:val="20"/>
          <w:szCs w:val="20"/>
          <w:color w:val="auto"/>
        </w:rPr>
      </w:pPr>
    </w:p>
    <w:p>
      <w:pPr>
        <w:jc w:val="both"/>
        <w:ind w:firstLine="1305"/>
        <w:spacing w:after="0" w:line="257" w:lineRule="auto"/>
        <w:tabs>
          <w:tab w:leader="none" w:pos="177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If any Event of Default shall occur and be continuing, on the Business Day that the Borrower receives notice from the Administrative Agent or the Required Lenders (or, if the maturity of the Loans has been accelerated, Lenders with LC Exposure representing a majority of the total LC Exposure) demanding the deposit of cash collateral pursuant to this paragraph, the Borrower shall deposit in an account with the Administrative Agent, in the name of the Administrative Agent and for the benefit of the Lenders, an amount in cash equal to the LC Exposure as of such date plus any accrued and unpaid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only be in Permitted Investments (or as otherwise agreed by the Borrower and the Administrative Agent) and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a majority of the total LC Exposure),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or upon the satisfaction of all obligations of the Borrower under this Agreement and the other Credit Documents.</w:t>
      </w:r>
    </w:p>
    <w:p>
      <w:pPr>
        <w:spacing w:after="0" w:line="182" w:lineRule="exact"/>
        <w:rPr>
          <w:sz w:val="20"/>
          <w:szCs w:val="20"/>
          <w:color w:val="auto"/>
        </w:rPr>
      </w:pPr>
    </w:p>
    <w:p>
      <w:pPr>
        <w:jc w:val="both"/>
        <w:ind w:right="20" w:firstLine="1297"/>
        <w:spacing w:after="0" w:line="266"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b w:val="1"/>
          <w:bCs w:val="1"/>
          <w:i w:val="1"/>
          <w:iCs w:val="1"/>
          <w:color w:val="auto"/>
        </w:rPr>
        <w:t>Funding of Borrowings</w:t>
      </w:r>
      <w:r>
        <w:rPr>
          <w:rFonts w:ascii="Times New Roman" w:cs="Times New Roman" w:eastAsia="Times New Roman" w:hAnsi="Times New Roman"/>
          <w:sz w:val="22"/>
          <w:szCs w:val="22"/>
          <w:color w:val="auto"/>
        </w:rPr>
        <w:t>. (a) Each Lender shall make each Loan to be made by it hereunder on the proposed date thereof by wire transfer of immediately available funds by 12:00 noon, New York City time, to the account of the Administrative Agent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625" w:right="239" w:bottom="1440" w:gutter="0" w:footer="0" w:header="0"/>
        </w:sectPr>
      </w:pPr>
    </w:p>
    <w:bookmarkStart w:id="63" w:name="page64"/>
    <w:bookmarkEnd w:id="63"/>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most recently designated by it for such purpose by notice to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Swingline Loans shall be made as provided in Section 2.05. The Administrative Agent will make such Loans available to the Borrower by promptly crediting the amounts so received, in like funds, to an account of the Borrower maintained with the Administrative Agent in Chicago, Illinois and designated by the Borrower in the applicable Borrowing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made to finance the reimbursement of an LC Disbursement as provided in Section 2.06(e) shall be remitted by the Administrative Agent to the Issuing Bank.</w:t>
      </w:r>
    </w:p>
    <w:p>
      <w:pPr>
        <w:spacing w:after="0" w:line="166" w:lineRule="exact"/>
        <w:rPr>
          <w:sz w:val="20"/>
          <w:szCs w:val="20"/>
          <w:color w:val="auto"/>
        </w:rPr>
      </w:pPr>
    </w:p>
    <w:p>
      <w:pPr>
        <w:jc w:val="both"/>
        <w:ind w:firstLine="1305"/>
        <w:spacing w:after="0" w:line="247" w:lineRule="auto"/>
        <w:tabs>
          <w:tab w:leader="none" w:pos="178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2"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b w:val="1"/>
          <w:bCs w:val="1"/>
          <w:i w:val="1"/>
          <w:iCs w:val="1"/>
          <w:color w:val="auto"/>
        </w:rPr>
        <w:t>Interest Elections</w:t>
      </w:r>
      <w:r>
        <w:rPr>
          <w:rFonts w:ascii="Times New Roman" w:cs="Times New Roman" w:eastAsia="Times New Roman" w:hAnsi="Times New Roman"/>
          <w:sz w:val="22"/>
          <w:szCs w:val="22"/>
          <w:color w:val="auto"/>
        </w:rPr>
        <w:t>. (a) Each Revolving Borrowing initially shall be of the Type specified in the applicable Borrowing Request and, in the case of a Eurodollar Revolving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0" w:lineRule="exact"/>
        <w:rPr>
          <w:sz w:val="20"/>
          <w:szCs w:val="20"/>
          <w:color w:val="auto"/>
        </w:rPr>
      </w:pPr>
    </w:p>
    <w:p>
      <w:pPr>
        <w:jc w:val="both"/>
        <w:ind w:firstLine="1305"/>
        <w:spacing w:after="0" w:line="251" w:lineRule="auto"/>
        <w:tabs>
          <w:tab w:leader="none" w:pos="185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the Borrower shall notify the Administrative Agent of such election by telephone by the time that a Borrowing Request would be required under Section 2.03 if the Borrower were requesting a Revolving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Borrower.</w:t>
      </w:r>
    </w:p>
    <w:p>
      <w:pPr>
        <w:spacing w:after="0" w:line="181"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telephonic and written Interest Election Request shall specify the following information in compliance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Section 2.02: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625" w:right="239" w:bottom="1440" w:gutter="0" w:footer="0" w:header="0"/>
        </w:sectPr>
      </w:pPr>
    </w:p>
    <w:bookmarkStart w:id="64" w:name="page65"/>
    <w:bookmarkEnd w:id="64"/>
    <w:p>
      <w:pPr>
        <w:jc w:val="both"/>
        <w:ind w:left="660" w:firstLine="645"/>
        <w:spacing w:after="0" w:line="263" w:lineRule="auto"/>
        <w:tabs>
          <w:tab w:leader="none" w:pos="174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7"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w:t>
      </w:r>
    </w:p>
    <w:p>
      <w:pPr>
        <w:spacing w:after="0" w:line="207"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resulting Borrowing is to be an ABR Borrowing or a Eurodollar Borrowing; and</w:t>
      </w:r>
    </w:p>
    <w:p>
      <w:pPr>
        <w:spacing w:after="0" w:line="233" w:lineRule="exact"/>
        <w:rPr>
          <w:rFonts w:ascii="Times New Roman" w:cs="Times New Roman" w:eastAsia="Times New Roman" w:hAnsi="Times New Roman"/>
          <w:sz w:val="22"/>
          <w:szCs w:val="22"/>
          <w:color w:val="auto"/>
        </w:rPr>
      </w:pPr>
    </w:p>
    <w:p>
      <w:pPr>
        <w:ind w:left="660" w:firstLine="645"/>
        <w:spacing w:after="0" w:line="284" w:lineRule="auto"/>
        <w:tabs>
          <w:tab w:leader="none" w:pos="18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158" w:lineRule="exact"/>
        <w:rPr>
          <w:sz w:val="20"/>
          <w:szCs w:val="20"/>
          <w:color w:val="auto"/>
        </w:rPr>
      </w:pPr>
    </w:p>
    <w:p>
      <w:pPr>
        <w:ind w:firstLine="1305"/>
        <w:spacing w:after="0" w:line="284" w:lineRule="auto"/>
        <w:tabs>
          <w:tab w:leader="none" w:pos="190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applicable Lender of the details thereof and of such Lender’s portion of each resulting Borrowing.</w:t>
      </w:r>
    </w:p>
    <w:p>
      <w:pPr>
        <w:spacing w:after="0" w:line="144"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3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deliver a timely Interest Election Request with respect to a Eurodollar Revolving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Revolving Borrowing may be converted to or continued as a Eurodollar Borrowing and (ii) unless repaid, each Eurodollar Revolving Borrowing shall be converted to an ABR Borrowing at the end of the Interest Period applicable thereto.</w:t>
      </w:r>
    </w:p>
    <w:p>
      <w:pPr>
        <w:spacing w:after="0" w:line="175" w:lineRule="exact"/>
        <w:rPr>
          <w:sz w:val="20"/>
          <w:szCs w:val="20"/>
          <w:color w:val="auto"/>
        </w:rPr>
      </w:pPr>
    </w:p>
    <w:p>
      <w:pPr>
        <w:ind w:right="20"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b w:val="1"/>
          <w:bCs w:val="1"/>
          <w:i w:val="1"/>
          <w:iCs w:val="1"/>
          <w:color w:val="auto"/>
        </w:rPr>
        <w:t>Termination, Reduction and Increase of Commitments</w:t>
      </w:r>
      <w:r>
        <w:rPr>
          <w:rFonts w:ascii="Times New Roman" w:cs="Times New Roman" w:eastAsia="Times New Roman" w:hAnsi="Times New Roman"/>
          <w:sz w:val="22"/>
          <w:szCs w:val="22"/>
          <w:color w:val="auto"/>
        </w:rPr>
        <w:t>. (a)Unless previously terminated, the Commitments shall terminate on the Revolving Maturity Date.</w:t>
      </w:r>
    </w:p>
    <w:p>
      <w:pPr>
        <w:spacing w:after="0" w:line="140" w:lineRule="exact"/>
        <w:rPr>
          <w:sz w:val="20"/>
          <w:szCs w:val="20"/>
          <w:color w:val="auto"/>
        </w:rPr>
      </w:pPr>
    </w:p>
    <w:p>
      <w:pPr>
        <w:jc w:val="both"/>
        <w:ind w:firstLine="1305"/>
        <w:spacing w:after="0" w:line="273" w:lineRule="auto"/>
        <w:tabs>
          <w:tab w:leader="none" w:pos="172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at any time terminate, or from time to time reduce,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each reduction of the Commitments shall be in an amount that is an integral multiple of $500,000 and not less than $2,500,000, and (ii) the Borrower shall not terminate or reduce the Commitments if, after giving effect to any concurrent prepayment of the Revolving Loans in accordance with Section 2.11, the sum of the Revolving Credit Exposures would exceed the total Commitments.</w:t>
      </w:r>
    </w:p>
    <w:p>
      <w:pPr>
        <w:spacing w:after="0" w:line="157" w:lineRule="exact"/>
        <w:rPr>
          <w:rFonts w:ascii="Times New Roman" w:cs="Times New Roman" w:eastAsia="Times New Roman" w:hAnsi="Times New Roman"/>
          <w:sz w:val="21"/>
          <w:szCs w:val="21"/>
          <w:color w:val="auto"/>
        </w:rPr>
      </w:pPr>
    </w:p>
    <w:p>
      <w:pPr>
        <w:ind w:firstLine="1305"/>
        <w:spacing w:after="0" w:line="284" w:lineRule="auto"/>
        <w:tabs>
          <w:tab w:leader="none" w:pos="177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notify the Administrative Agent of any election to terminate or reduce the Commitments under paragraph (b) of this Section at least three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625" w:right="239" w:bottom="1440" w:gutter="0" w:footer="0" w:header="0"/>
        </w:sectPr>
      </w:pPr>
    </w:p>
    <w:bookmarkStart w:id="65" w:name="page66"/>
    <w:bookmarkEnd w:id="6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2" w:lineRule="exact"/>
        <w:rPr>
          <w:sz w:val="20"/>
          <w:szCs w:val="20"/>
          <w:color w:val="auto"/>
        </w:rPr>
      </w:pPr>
    </w:p>
    <w:p>
      <w:pPr>
        <w:jc w:val="both"/>
        <w:ind w:firstLine="1305"/>
        <w:spacing w:after="0" w:line="245" w:lineRule="auto"/>
        <w:tabs>
          <w:tab w:leader="none" w:pos="181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at its option, on up to four occasions following the Effective Date, seek to increase the aggregate Commitments by up to an aggregate amount of $75,000,000 (resulting in a maximum aggregate Commitment of $200,000,000) upon at least three (3) Business Days’ prior written notice to the Administrative Agent, which notice shall be in the form of Exhibit C or any other form approved by the Administrative Agent and signed by the Borrower and shall be delivered at a time when no Default has occurred and is continuing. The Borrower may, after giving such notice, offer the increase (which may be declined by any Lender in its sole discretion) in the aggregate Commitment on either a ratable basis to the Lenders or on a non pro-rata basis to one or more Lenders and/or to other Lenders or entities reasonably acceptable to the Administrative Agent. No increase in the aggregate Commitment shall become effective until the existing or new Lenders extending such incremental Commitment amount and the Borrower shall have delivered to the Administrative Agent a document in form reasonably satisfactory to the Administrative Agent pursuant to which any such existing Lender states the amount of its Commitment increase, any such new Lender states its Commitment amount and agrees to assume and accept the obligations and rights of a Lender hereunder and the Borrower accepts such incremental Commitments. Upon the effectiveness of any increase in the total Commitments pursuant hereto, (i) each Lender (new or existing) shall be deemed to have accepted an assignment from the existing Lenders, and the existing Lenders shall be deemed to have made an assignment to each new or existing Lender accepting a new or increased Commitment, of an interest in each then outstanding Revolving Loan (in each case, on the terms and conditions set forth in the Assignment and Assumption) and (ii) the Swingline Exposure and LC Exposure of the existing and new Lenders shall be automatically adjusted such that, after giving effect to such assignments and adjustments, all Revolving Credit Exposure hereunder is held ratably by the Lenders in proportion to their respective Commitments. Assignments pursuant to the preceding sentence shall be made in exchange for, and substantially contemporaneously with the payment to the assigning Lenders of, the principal amount assigned plus accrued and unpaid interest and facility and Letter of Credit fees. Payments received by assigning Lenders pursuant to this Section in respect of the principal amount of any Eurodollar Loan shall, for purposes of Section 2.16, be deemed prepayments of such Loan. Any increase of the total Commitments pursuant to this Section shall be subject to receipt by the Administrative Agent from the Borrower of such supplemental opinions, resolutions, certificates and other documents as the Administrative Agent may reasonably request.</w:t>
      </w:r>
    </w:p>
    <w:p>
      <w:pPr>
        <w:spacing w:after="0" w:line="184"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b w:val="1"/>
          <w:bCs w:val="1"/>
          <w:i w:val="1"/>
          <w:iCs w:val="1"/>
          <w:color w:val="auto"/>
        </w:rPr>
        <w:t>Repayment of Loans; Evidence of Debt</w:t>
      </w:r>
      <w:r>
        <w:rPr>
          <w:rFonts w:ascii="Times New Roman" w:cs="Times New Roman" w:eastAsia="Times New Roman" w:hAnsi="Times New Roman"/>
          <w:sz w:val="22"/>
          <w:szCs w:val="22"/>
          <w:color w:val="auto"/>
        </w:rPr>
        <w:t>. (a) The Borrower hereby unconditionally promises to pay (i) to the Administrative Agent for the account of each applicable Lender the then unpaid principal amount of each Revolving Loan on the Revolving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625" w:right="2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Maturity Date and (ii) to the Swingline Lender the then unpaid principal amount of each Swingline Loan on the earlier of the Revolving Maturity Date and the first date after such Swingline Loan is made that is the 15th or last day of a calendar month and is at least two Business Days after such Swingline Loan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each date that a Revolving Borrowing is made, the Borrower shall repay all Swingline Loans then outstanding.</w:t>
      </w:r>
    </w:p>
    <w:p>
      <w:pPr>
        <w:spacing w:after="0" w:line="180" w:lineRule="exact"/>
        <w:rPr>
          <w:sz w:val="20"/>
          <w:szCs w:val="20"/>
          <w:color w:val="auto"/>
        </w:rPr>
      </w:pPr>
    </w:p>
    <w:p>
      <w:pPr>
        <w:jc w:val="both"/>
        <w:ind w:firstLine="1305"/>
        <w:spacing w:after="0" w:line="263" w:lineRule="auto"/>
        <w:tabs>
          <w:tab w:leader="none" w:pos="18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7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8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1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aggregate Revolving Credit Exposure of the Lenders exceeds the aggregate Commitments of the Lenders, the Borrower shall immediately prepay the Revolving Loans in the amount of such excess. To the extent that, after the prepayment of all Revolving Loans an excess of the Revolving Credit Exposure over the aggregate Commitments still exists, the Borrower shall promptly cash collateralize the Letters of Credit in the manner described in Section 2.06(j) in an amount sufficient to eliminate such excess.</w:t>
      </w:r>
    </w:p>
    <w:p>
      <w:pPr>
        <w:spacing w:after="0" w:line="173" w:lineRule="exact"/>
        <w:rPr>
          <w:sz w:val="20"/>
          <w:szCs w:val="20"/>
          <w:color w:val="auto"/>
        </w:rPr>
      </w:pPr>
    </w:p>
    <w:p>
      <w:pPr>
        <w:jc w:val="both"/>
        <w:ind w:firstLine="1297"/>
        <w:spacing w:after="0" w:line="315"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b w:val="1"/>
          <w:bCs w:val="1"/>
          <w:i w:val="1"/>
          <w:iCs w:val="1"/>
          <w:color w:val="auto"/>
        </w:rPr>
        <w:t>Prepayment of Loans</w:t>
      </w:r>
      <w:r>
        <w:rPr>
          <w:rFonts w:ascii="Times New Roman" w:cs="Times New Roman" w:eastAsia="Times New Roman" w:hAnsi="Times New Roman"/>
          <w:sz w:val="21"/>
          <w:szCs w:val="21"/>
          <w:color w:val="auto"/>
        </w:rPr>
        <w:t>. (a) The Borrower shall have the right at any time and from time to time to prepay any Borrowing in whole or in part, subject to Section 2.16 and prior notice in accordance with paragraph (b) of this Section.</w:t>
      </w:r>
    </w:p>
    <w:p>
      <w:pPr>
        <w:spacing w:after="0" w:line="115" w:lineRule="exact"/>
        <w:rPr>
          <w:sz w:val="20"/>
          <w:szCs w:val="20"/>
          <w:color w:val="auto"/>
        </w:rPr>
      </w:pPr>
    </w:p>
    <w:p>
      <w:pPr>
        <w:ind w:firstLine="1305"/>
        <w:spacing w:after="0" w:line="284" w:lineRule="auto"/>
        <w:tabs>
          <w:tab w:leader="none" w:pos="176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notify the Administrative Agent (and, in the case of prepayment of a Swingline Loan, the Swingline Lender) by telephone (confirmed by telecopy) 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625" w:right="239" w:bottom="1440" w:gutter="0" w:footer="0" w:header="0"/>
        </w:sectPr>
      </w:pPr>
    </w:p>
    <w:bookmarkStart w:id="67" w:name="page68"/>
    <w:bookmarkEnd w:id="67"/>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prepayment hereunder (i) in the case of prepayment of a Eurodollar Revolving Borrowing, not later than 11:00 a.m., New York City time, three Business Days before the date of prepayment, (ii) in the case of prepayment of an ABR Revolving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notice of prepayment is given in connection with a conditional notice of termination of the Commitments as contemplated by Section 2.09(c), then such notice of prepayment may be revoked if such notice of termination is revoked in accordance with Section 2.09(c). Promptly following receipt of any such notice relating to a Borrowing, the Administrative Agent shall advise the applicable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accrued interest to the extent required by Section 2.13.</w:t>
      </w:r>
    </w:p>
    <w:p>
      <w:pPr>
        <w:spacing w:after="0" w:line="19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b w:val="1"/>
          <w:bCs w:val="1"/>
          <w:i w:val="1"/>
          <w:iCs w:val="1"/>
          <w:color w:val="auto"/>
        </w:rPr>
        <w:t>Fees</w:t>
      </w:r>
      <w:r>
        <w:rPr>
          <w:rFonts w:ascii="Times New Roman" w:cs="Times New Roman" w:eastAsia="Times New Roman" w:hAnsi="Times New Roman"/>
          <w:sz w:val="22"/>
          <w:szCs w:val="22"/>
          <w:color w:val="auto"/>
        </w:rPr>
        <w:t xml:space="preserve">. (a) The Borrower agrees to pay to the Administrative Agent for the account of each Lender a facility fee, which shall accrue at the Applicable Rate on the daily amount of the Commitment of such Lender (whether used or unused) during the period from and including the date hereof to but excluding the date on which such Commitment terminates;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Lender continues to have any Revolving Credit Exposure after its Commitment terminates, then such facility fee shall continue to accrue on the daily amount of such Lender’s Revolving Credit Exposure from and including the date on which its Commitment terminates to but excluding the date on which such Lender ceases to have any Revolving Credit Exposure. Accrued facility fees shall be payable in arrears on the last day of March, June, September and December of each year and on the date on which the Commitments terminate, commencing on the first such date to occur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facility fees accruing after the date on which the Commitments terminate shall be payable on demand. All facility fees shall be computed on the basis of a year of 360 days and shall be payable for the actual number of days elapsed (including the first day but excluding the last day).</w:t>
      </w:r>
    </w:p>
    <w:p>
      <w:pPr>
        <w:spacing w:after="0" w:line="183" w:lineRule="exact"/>
        <w:rPr>
          <w:sz w:val="20"/>
          <w:szCs w:val="20"/>
          <w:color w:val="auto"/>
        </w:rPr>
      </w:pPr>
    </w:p>
    <w:p>
      <w:pPr>
        <w:jc w:val="both"/>
        <w:ind w:firstLine="1305"/>
        <w:spacing w:after="0" w:line="247" w:lineRule="auto"/>
        <w:tabs>
          <w:tab w:leader="none" w:pos="176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(i) to the Administrative Agent for the account of each Lender a participation fee with respect to its participations in Letters of Credit, which shall accrue at the same Applicable Rate used to determine the interest rate applicable to Eurodollar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Issuing Bank a fronting fee, which shall accrue at the rate or rates per annum separately agreed upon between the Borrower and the Issuing Bank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625" w:right="2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including the last day of March, June, September and December of each year shall be payable on the third Business Day following such last day,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1" w:lineRule="exact"/>
        <w:rPr>
          <w:sz w:val="20"/>
          <w:szCs w:val="20"/>
          <w:color w:val="auto"/>
        </w:rPr>
      </w:pPr>
    </w:p>
    <w:p>
      <w:pPr>
        <w:ind w:firstLine="1305"/>
        <w:spacing w:after="0" w:line="284" w:lineRule="auto"/>
        <w:tabs>
          <w:tab w:leader="none" w:pos="17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payable in the amounts and at the times separately agreed upon between the Borrower and the Administrative Agent.</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immediately available funds, to the Administrative Agent (or to the Issuing Bank, in the case of fees payable to it) for distribution, in the case of facility fees and participation fees, to the Lenders. Fees paid shall not be refundable under any circumstances.</w:t>
      </w:r>
    </w:p>
    <w:p>
      <w:pPr>
        <w:spacing w:after="0" w:line="162" w:lineRule="exact"/>
        <w:rPr>
          <w:sz w:val="20"/>
          <w:szCs w:val="20"/>
          <w:color w:val="auto"/>
        </w:rPr>
      </w:pPr>
    </w:p>
    <w:p>
      <w:pPr>
        <w:ind w:right="20"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b w:val="1"/>
          <w:bCs w:val="1"/>
          <w:i w:val="1"/>
          <w:iCs w:val="1"/>
          <w:color w:val="auto"/>
        </w:rPr>
        <w:t>Interest</w:t>
      </w:r>
      <w:r>
        <w:rPr>
          <w:rFonts w:ascii="Times New Roman" w:cs="Times New Roman" w:eastAsia="Times New Roman" w:hAnsi="Times New Roman"/>
          <w:sz w:val="22"/>
          <w:szCs w:val="22"/>
          <w:color w:val="auto"/>
        </w:rPr>
        <w:t>. (a) The Loans comprising each ABR Borrowing (including each Swingline Loan) shall bear interest at the Alternate Base Rate plus the Applicable Rate.</w:t>
      </w:r>
    </w:p>
    <w:p>
      <w:pPr>
        <w:spacing w:after="0" w:line="140" w:lineRule="exact"/>
        <w:rPr>
          <w:sz w:val="20"/>
          <w:szCs w:val="20"/>
          <w:color w:val="auto"/>
        </w:rPr>
      </w:pPr>
    </w:p>
    <w:p>
      <w:pPr>
        <w:ind w:firstLine="1305"/>
        <w:spacing w:after="0" w:line="284" w:lineRule="auto"/>
        <w:tabs>
          <w:tab w:leader="none" w:pos="172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Eurodollar Borrowing shall bear interest at the Adjusted LIBO Rate for the Interest Period in effect for such Borrowing plus the Applicable Rate.</w:t>
      </w:r>
    </w:p>
    <w:p>
      <w:pPr>
        <w:spacing w:after="0" w:line="144"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5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79" w:lineRule="exact"/>
        <w:rPr>
          <w:rFonts w:ascii="Times New Roman" w:cs="Times New Roman" w:eastAsia="Times New Roman" w:hAnsi="Times New Roman"/>
          <w:sz w:val="22"/>
          <w:szCs w:val="22"/>
          <w:color w:val="auto"/>
        </w:rPr>
      </w:pPr>
    </w:p>
    <w:p>
      <w:pPr>
        <w:jc w:val="both"/>
        <w:ind w:firstLine="1305"/>
        <w:spacing w:after="0" w:line="265" w:lineRule="auto"/>
        <w:tabs>
          <w:tab w:leader="none" w:pos="174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Accrued interest on each Loan shall be payable in arrears on each Interest Payment Date for such Loan and, in the case of Revolving Loans, upon termination of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69" w:lineRule="exact"/>
        <w:rPr>
          <w:rFonts w:ascii="Times New Roman" w:cs="Times New Roman" w:eastAsia="Times New Roman" w:hAnsi="Times New Roman"/>
          <w:sz w:val="21"/>
          <w:szCs w:val="21"/>
          <w:color w:val="auto"/>
        </w:rPr>
      </w:pPr>
    </w:p>
    <w:p>
      <w:pPr>
        <w:jc w:val="both"/>
        <w:ind w:firstLine="1305"/>
        <w:spacing w:after="0" w:line="263" w:lineRule="auto"/>
        <w:tabs>
          <w:tab w:leader="none" w:pos="177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625" w:right="2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2"/>
          <w:szCs w:val="22"/>
          <w:color w:val="auto"/>
        </w:rPr>
        <w:t>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2"/>
          <w:szCs w:val="22"/>
          <w:b w:val="1"/>
          <w:bCs w:val="1"/>
          <w:i w:val="1"/>
          <w:iCs w:val="1"/>
          <w:color w:val="auto"/>
        </w:rPr>
        <w:t>Alternate Rate of Interest</w:t>
      </w:r>
      <w:r>
        <w:rPr>
          <w:rFonts w:ascii="Times New Roman" w:cs="Times New Roman" w:eastAsia="Times New Roman" w:hAnsi="Times New Roman"/>
          <w:sz w:val="22"/>
          <w:szCs w:val="22"/>
          <w:color w:val="auto"/>
        </w:rPr>
        <w:t>. If prior to the commencement of any Interest Period for a Eurodollar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w:t>
      </w:r>
    </w:p>
    <w:p>
      <w:pPr>
        <w:spacing w:after="0" w:line="207" w:lineRule="exact"/>
        <w:rPr>
          <w:sz w:val="20"/>
          <w:szCs w:val="20"/>
          <w:color w:val="auto"/>
        </w:rPr>
      </w:pPr>
    </w:p>
    <w:p>
      <w:pPr>
        <w:ind w:left="660" w:firstLine="1293"/>
        <w:spacing w:after="0" w:line="284" w:lineRule="auto"/>
        <w:tabs>
          <w:tab w:leader="none" w:pos="24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Adjusted LIBO Rate for such Interest Period; or</w:t>
      </w:r>
    </w:p>
    <w:p>
      <w:pPr>
        <w:spacing w:after="0" w:line="144"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47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that the Adjusted LIBO Rate for such Interest Period will not adequately and fairly reflect the cost to such Lenders (or Lender) of making or maintaining their Loans (or its Loan) included in such Borrowing for such Interest Period;</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(i) any Interest Election Request that requests the conversion of any Revolving Borrowing to, or continuation of any Revolving Borrowing as, a Eurodollar Borrowing shall be ineffective and (ii) if any Borrowing Request requests a Eurodollar Revolving Borrowing, such Borrowing shall be made as an ABR Borrowing; provided that if the circumstances giving rise to such notice affect only one Type of Borrowings, then the other Type of Borrowings shall be permitted.</w:t>
      </w:r>
    </w:p>
    <w:p>
      <w:pPr>
        <w:spacing w:after="0" w:line="162"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2.15.</w:t>
      </w:r>
      <w:r>
        <w:rPr>
          <w:sz w:val="20"/>
          <w:szCs w:val="20"/>
          <w:color w:val="auto"/>
        </w:rPr>
        <w:tab/>
      </w:r>
      <w:r>
        <w:rPr>
          <w:rFonts w:ascii="Times New Roman" w:cs="Times New Roman" w:eastAsia="Times New Roman" w:hAnsi="Times New Roman"/>
          <w:sz w:val="21"/>
          <w:szCs w:val="21"/>
          <w:b w:val="1"/>
          <w:bCs w:val="1"/>
          <w:i w:val="1"/>
          <w:iCs w:val="1"/>
          <w:color w:val="auto"/>
        </w:rPr>
        <w:t>Increased Costs</w:t>
      </w:r>
      <w:r>
        <w:rPr>
          <w:rFonts w:ascii="Times New Roman" w:cs="Times New Roman" w:eastAsia="Times New Roman" w:hAnsi="Times New Roman"/>
          <w:sz w:val="21"/>
          <w:szCs w:val="21"/>
          <w:color w:val="auto"/>
        </w:rPr>
        <w:t>. (a) If any Change in Law shall:</w:t>
      </w:r>
    </w:p>
    <w:p>
      <w:pPr>
        <w:spacing w:after="0" w:line="239" w:lineRule="exact"/>
        <w:rPr>
          <w:sz w:val="20"/>
          <w:szCs w:val="20"/>
          <w:color w:val="auto"/>
        </w:rPr>
      </w:pPr>
    </w:p>
    <w:p>
      <w:pPr>
        <w:jc w:val="both"/>
        <w:ind w:left="660" w:firstLine="645"/>
        <w:spacing w:after="0" w:line="263" w:lineRule="auto"/>
        <w:tabs>
          <w:tab w:leader="none" w:pos="185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or similar requirement against assets of, deposits with or for the account of, or credit extended by, any Lender (except any such reserve requirement reflected in the Adjusted LIBO Rate) or the Issuing Bank; or</w:t>
      </w:r>
    </w:p>
    <w:p>
      <w:pPr>
        <w:spacing w:after="0" w:line="167" w:lineRule="exact"/>
        <w:rPr>
          <w:rFonts w:ascii="Times New Roman" w:cs="Times New Roman" w:eastAsia="Times New Roman" w:hAnsi="Times New Roman"/>
          <w:sz w:val="22"/>
          <w:szCs w:val="22"/>
          <w:color w:val="auto"/>
        </w:rPr>
      </w:pPr>
    </w:p>
    <w:p>
      <w:pPr>
        <w:ind w:left="660" w:firstLine="645"/>
        <w:spacing w:after="0" w:line="284" w:lineRule="auto"/>
        <w:tabs>
          <w:tab w:leader="none" w:pos="180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Issuing Bank or the London interbank market any other condition affecting this Agreement or Eurodollar Loans made by such Lender or any Letter of Credit or participation therein; or</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9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of making or maintaining any Loan (or of maintaining its obligation to make any such Loan) or to increase the cost to such Lender or the Issuing Bank of participating in, issuing or maintaining any Letter of Credit or to reduce the amount of any sum received or receivable by such Lender or the Issuing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625" w:right="239" w:bottom="1440" w:gutter="0" w:footer="0" w:header="0"/>
        </w:sectPr>
      </w:pPr>
    </w:p>
    <w:bookmarkStart w:id="70" w:name="page71"/>
    <w:bookmarkEnd w:id="70"/>
    <w:p>
      <w:pPr>
        <w:jc w:val="both"/>
        <w:spacing w:after="0" w:line="257" w:lineRule="auto"/>
        <w:rPr>
          <w:sz w:val="20"/>
          <w:szCs w:val="20"/>
          <w:color w:val="auto"/>
        </w:rPr>
      </w:pPr>
      <w:r>
        <w:rPr>
          <w:rFonts w:ascii="Times New Roman" w:cs="Times New Roman" w:eastAsia="Times New Roman" w:hAnsi="Times New Roman"/>
          <w:sz w:val="22"/>
          <w:szCs w:val="22"/>
          <w:color w:val="auto"/>
        </w:rPr>
        <w:t>Bank hereunder (whether of principal, interest or otherwise), then the Borrower will pay to such Lender or the Issuing Bank, as the case may be, such additional amount or amounts as will compensate such Lender or the Issuing Bank, as the case may be, for such additional costs incurred or reduction suffered.</w:t>
      </w:r>
    </w:p>
    <w:p>
      <w:pPr>
        <w:spacing w:after="0" w:line="173" w:lineRule="exact"/>
        <w:rPr>
          <w:sz w:val="20"/>
          <w:szCs w:val="20"/>
          <w:color w:val="auto"/>
        </w:rPr>
      </w:pPr>
    </w:p>
    <w:p>
      <w:pPr>
        <w:jc w:val="both"/>
        <w:ind w:firstLine="1305"/>
        <w:spacing w:after="0" w:line="248" w:lineRule="auto"/>
        <w:tabs>
          <w:tab w:leader="none" w:pos="17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the Issuing Bank determines that any Change in Law regarding capital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86"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1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showing such Lender’s calculation of such amount in reasonable detail, and shall be conclusive absent manifest error. The Borrower shall pay such Lender or the Issuing Bank, as the case may be, the amount shown as due on any such certificate within 10 days after receipt thereof.</w:t>
      </w:r>
    </w:p>
    <w:p>
      <w:pPr>
        <w:spacing w:after="0" w:line="179" w:lineRule="exact"/>
        <w:rPr>
          <w:rFonts w:ascii="Times New Roman" w:cs="Times New Roman" w:eastAsia="Times New Roman" w:hAnsi="Times New Roman"/>
          <w:sz w:val="22"/>
          <w:szCs w:val="22"/>
          <w:color w:val="auto"/>
        </w:rPr>
      </w:pPr>
    </w:p>
    <w:p>
      <w:pPr>
        <w:jc w:val="both"/>
        <w:ind w:firstLine="1305"/>
        <w:spacing w:after="0" w:line="264" w:lineRule="auto"/>
        <w:tabs>
          <w:tab w:leader="none" w:pos="17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be required to compensate a Lender or the Issuing Bank pursuant to this Section for any increased costs or reductions incurred more than 270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60"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b w:val="1"/>
          <w:bCs w:val="1"/>
          <w:i w:val="1"/>
          <w:iCs w:val="1"/>
          <w:color w:val="auto"/>
        </w:rPr>
        <w:t>Break Funding Payments</w:t>
      </w:r>
      <w:r>
        <w:rPr>
          <w:rFonts w:ascii="Times New Roman" w:cs="Times New Roman" w:eastAsia="Times New Roman" w:hAnsi="Times New Roman"/>
          <w:sz w:val="22"/>
          <w:szCs w:val="22"/>
          <w:color w:val="auto"/>
        </w:rPr>
        <w:t>.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2.11(b) and is revoked in accordance therewith) or (d) the assignment of any Eurodollar Loan other than on the last day of the Interest Period applicable thereto as a result of a request by the Borrower pursuant to Section 2.19, then, in any such event, the Borrower shall compensate each Lender for the loss, cost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625" w:right="239" w:bottom="1440" w:gutter="0" w:footer="0" w:header="0"/>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22"/>
          <w:szCs w:val="22"/>
          <w:color w:val="auto"/>
        </w:rPr>
        <w:t>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8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(a) Any and all payments by or on account of any obligation of any Credit Party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3" w:lineRule="exact"/>
        <w:rPr>
          <w:sz w:val="20"/>
          <w:szCs w:val="20"/>
          <w:color w:val="auto"/>
        </w:rPr>
      </w:pPr>
    </w:p>
    <w:p>
      <w:pPr>
        <w:ind w:firstLine="1305"/>
        <w:spacing w:after="0" w:line="284" w:lineRule="auto"/>
        <w:tabs>
          <w:tab w:leader="none" w:pos="17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shall timely pay to the relevant Governmental Authority in accordance with applicable law, or at the option of the Administrative Agent timely reimburse it for the payment of, any Other Taxes.</w:t>
      </w:r>
    </w:p>
    <w:p>
      <w:pPr>
        <w:spacing w:after="0" w:line="144"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5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any Credit Party to a Governmental Authority pursuant to this Section 2.17, such Credit Party shall deliver to the Administrative Agent the original or a certified copy of a receipt issued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625" w:right="239" w:bottom="1440" w:gutter="0" w:footer="0" w:header="0"/>
        </w:sectPr>
      </w:pPr>
    </w:p>
    <w:bookmarkStart w:id="72" w:name="page73"/>
    <w:bookmarkEnd w:id="72"/>
    <w:p>
      <w:pPr>
        <w:spacing w:after="0" w:line="271" w:lineRule="auto"/>
        <w:rPr>
          <w:sz w:val="20"/>
          <w:szCs w:val="20"/>
          <w:color w:val="auto"/>
        </w:rPr>
      </w:pPr>
      <w:r>
        <w:rPr>
          <w:rFonts w:ascii="Times New Roman" w:cs="Times New Roman" w:eastAsia="Times New Roman" w:hAnsi="Times New Roman"/>
          <w:sz w:val="22"/>
          <w:szCs w:val="22"/>
          <w:color w:val="auto"/>
        </w:rPr>
        <w:t>by such Governmental Authority evidencing such payment, a copy of the return reporting such payment or other evidence of such payment reasonably satisfactory to the Administrative Agent.</w:t>
      </w:r>
    </w:p>
    <w:p>
      <w:pPr>
        <w:spacing w:after="0" w:line="158" w:lineRule="exact"/>
        <w:rPr>
          <w:sz w:val="20"/>
          <w:szCs w:val="20"/>
          <w:color w:val="auto"/>
        </w:rPr>
      </w:pPr>
    </w:p>
    <w:p>
      <w:pPr>
        <w:jc w:val="both"/>
        <w:ind w:firstLine="1305"/>
        <w:spacing w:after="0" w:line="259" w:lineRule="auto"/>
        <w:tabs>
          <w:tab w:leader="none" w:pos="1743"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that is entitled to an exemption from or reduction of withholding Tax with respect to payments 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2.17(e)(ii)(A),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Borrower,</w:t>
      </w:r>
    </w:p>
    <w:p>
      <w:pPr>
        <w:spacing w:after="0" w:line="181" w:lineRule="exact"/>
        <w:rPr>
          <w:rFonts w:ascii="Times New Roman" w:cs="Times New Roman" w:eastAsia="Times New Roman" w:hAnsi="Times New Roman"/>
          <w:sz w:val="21"/>
          <w:szCs w:val="21"/>
          <w:color w:val="auto"/>
        </w:rPr>
      </w:pPr>
    </w:p>
    <w:p>
      <w:pPr>
        <w:jc w:val="both"/>
        <w:ind w:left="660" w:firstLine="1293"/>
        <w:spacing w:after="0" w:line="257" w:lineRule="auto"/>
        <w:tabs>
          <w:tab w:leader="none" w:pos="243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2" w:lineRule="exact"/>
        <w:rPr>
          <w:rFonts w:ascii="Times New Roman" w:cs="Times New Roman" w:eastAsia="Times New Roman" w:hAnsi="Times New Roman"/>
          <w:sz w:val="22"/>
          <w:szCs w:val="22"/>
          <w:color w:val="auto"/>
        </w:rPr>
      </w:pPr>
    </w:p>
    <w:p>
      <w:pPr>
        <w:jc w:val="both"/>
        <w:ind w:left="660" w:firstLine="1293"/>
        <w:spacing w:after="0" w:line="257" w:lineRule="auto"/>
        <w:tabs>
          <w:tab w:leader="none" w:pos="247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2" w:lineRule="exact"/>
        <w:rPr>
          <w:sz w:val="20"/>
          <w:szCs w:val="20"/>
          <w:color w:val="auto"/>
        </w:rPr>
      </w:pPr>
    </w:p>
    <w:p>
      <w:pPr>
        <w:jc w:val="both"/>
        <w:ind w:left="660" w:firstLine="645"/>
        <w:spacing w:after="0" w:line="251" w:lineRule="auto"/>
        <w:tabs>
          <w:tab w:leader="none" w:pos="18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Credit Document, executed originals of IRS Form W-8BEN-E establishing an exemption from, or reduction of, U.S. federal withholding Tax pursuant to the “interest” article of such tax treaty and (y) with respect to any other applicable payments under any Credit Document, IRS Form W-8BEN-E establishing an exemption from, or reduction of, U.S. federal withholding Tax pursuant to the “business profits” or “other income” article of such tax treaty;</w:t>
      </w:r>
    </w:p>
    <w:p>
      <w:pPr>
        <w:spacing w:after="0" w:line="181"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IRS Form W-8ECI;</w:t>
      </w:r>
    </w:p>
    <w:p>
      <w:pPr>
        <w:spacing w:after="0" w:line="233"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89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625" w:right="239" w:bottom="1440" w:gutter="0" w:footer="0" w:header="0"/>
        </w:sectPr>
      </w:pPr>
    </w:p>
    <w:bookmarkStart w:id="73" w:name="page74"/>
    <w:bookmarkEnd w:id="73"/>
    <w:p>
      <w:pPr>
        <w:spacing w:after="0" w:line="271" w:lineRule="auto"/>
        <w:rPr>
          <w:sz w:val="20"/>
          <w:szCs w:val="20"/>
          <w:color w:val="auto"/>
        </w:rPr>
      </w:pPr>
      <w:r>
        <w:rPr>
          <w:rFonts w:ascii="Times New Roman" w:cs="Times New Roman" w:eastAsia="Times New Roman" w:hAnsi="Times New Roman"/>
          <w:sz w:val="22"/>
          <w:szCs w:val="22"/>
          <w:color w:val="auto"/>
        </w:rPr>
        <w:t>meaning of Section 881(c)(3)(B) of the Code, or a “controlled foreign corporation” described in Section 881(c)(3)(C) of the Code (a “U.S. Tax Compliance Certificate”) and (y) executed originals of IRS Form W-8BEN-E; or</w:t>
      </w:r>
    </w:p>
    <w:p>
      <w:pPr>
        <w:spacing w:after="0" w:line="158" w:lineRule="exact"/>
        <w:rPr>
          <w:sz w:val="20"/>
          <w:szCs w:val="20"/>
          <w:color w:val="auto"/>
        </w:rPr>
      </w:pPr>
    </w:p>
    <w:p>
      <w:pPr>
        <w:jc w:val="both"/>
        <w:ind w:firstLine="645"/>
        <w:spacing w:after="0" w:line="251" w:lineRule="auto"/>
        <w:tabs>
          <w:tab w:leader="none" w:pos="128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originals of IRS Form W-8IMY, accompanied by IRS Form W-8ECI, IRS Form W-8BEN, IRS Form W-8BEN-E, a U.S. Tax Compliance Certificate substantially in the form of Exhibit E-2 or Exhibit E-3,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1" w:lineRule="exact"/>
        <w:rPr>
          <w:rFonts w:ascii="Times New Roman" w:cs="Times New Roman" w:eastAsia="Times New Roman" w:hAnsi="Times New Roman"/>
          <w:sz w:val="22"/>
          <w:szCs w:val="22"/>
          <w:color w:val="auto"/>
        </w:rPr>
      </w:pPr>
    </w:p>
    <w:p>
      <w:pPr>
        <w:jc w:val="both"/>
        <w:ind w:firstLine="1293"/>
        <w:spacing w:after="0" w:line="250" w:lineRule="auto"/>
        <w:tabs>
          <w:tab w:leader="none" w:pos="183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1" w:lineRule="exact"/>
        <w:rPr>
          <w:rFonts w:ascii="Times New Roman" w:cs="Times New Roman" w:eastAsia="Times New Roman" w:hAnsi="Times New Roman"/>
          <w:sz w:val="22"/>
          <w:szCs w:val="22"/>
          <w:color w:val="auto"/>
        </w:rPr>
      </w:pPr>
    </w:p>
    <w:p>
      <w:pPr>
        <w:jc w:val="both"/>
        <w:ind w:firstLine="1293"/>
        <w:spacing w:after="0" w:line="247" w:lineRule="auto"/>
        <w:tabs>
          <w:tab w:leader="none" w:pos="196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2" w:lineRule="exact"/>
        <w:rPr>
          <w:rFonts w:ascii="Times New Roman" w:cs="Times New Roman" w:eastAsia="Times New Roman" w:hAnsi="Times New Roman"/>
          <w:sz w:val="22"/>
          <w:szCs w:val="22"/>
          <w:color w:val="auto"/>
        </w:rPr>
      </w:pPr>
    </w:p>
    <w:p>
      <w:pPr>
        <w:jc w:val="both"/>
        <w:ind w:firstLine="1293"/>
        <w:spacing w:after="0" w:line="263" w:lineRule="auto"/>
        <w:tabs>
          <w:tab w:leader="none" w:pos="177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7" w:lineRule="exact"/>
        <w:rPr>
          <w:rFonts w:ascii="Times New Roman" w:cs="Times New Roman" w:eastAsia="Times New Roman" w:hAnsi="Times New Roman"/>
          <w:sz w:val="22"/>
          <w:szCs w:val="22"/>
          <w:color w:val="auto"/>
        </w:rPr>
      </w:pPr>
    </w:p>
    <w:p>
      <w:pPr>
        <w:ind w:left="1780" w:hanging="487"/>
        <w:spacing w:after="0"/>
        <w:tabs>
          <w:tab w:leader="none" w:pos="17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33" w:lineRule="exact"/>
        <w:rPr>
          <w:rFonts w:ascii="Times New Roman" w:cs="Times New Roman" w:eastAsia="Times New Roman" w:hAnsi="Times New Roman"/>
          <w:sz w:val="22"/>
          <w:szCs w:val="22"/>
          <w:color w:val="auto"/>
        </w:rPr>
      </w:pPr>
    </w:p>
    <w:p>
      <w:pPr>
        <w:ind w:firstLine="1293"/>
        <w:spacing w:after="0" w:line="284" w:lineRule="auto"/>
        <w:tabs>
          <w:tab w:leader="none" w:pos="175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determines, in its sole discretion exercised in good faith, that it has received a refund of any Taxes as to which it has been indemnified pursuant to</w:t>
      </w:r>
    </w:p>
    <w:p>
      <w:pPr>
        <w:spacing w:after="0" w:line="3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760"/>
          </w:cols>
          <w:pgMar w:left="900" w:top="625" w:right="239" w:bottom="1440" w:gutter="0" w:footer="0" w:header="0"/>
        </w:sectPr>
      </w:pPr>
    </w:p>
    <w:bookmarkStart w:id="74" w:name="page75"/>
    <w:bookmarkEnd w:id="74"/>
    <w:p>
      <w:pPr>
        <w:jc w:val="both"/>
        <w:spacing w:after="0" w:line="245" w:lineRule="auto"/>
        <w:rPr>
          <w:sz w:val="20"/>
          <w:szCs w:val="20"/>
          <w:color w:val="auto"/>
        </w:rPr>
      </w:pPr>
      <w:r>
        <w:rPr>
          <w:rFonts w:ascii="Times New Roman" w:cs="Times New Roman" w:eastAsia="Times New Roman" w:hAnsi="Times New Roman"/>
          <w:sz w:val="22"/>
          <w:szCs w:val="22"/>
          <w:color w:val="auto"/>
        </w:rPr>
        <w:t>this Section 2.17 (including by the payment of additional amounts pursuant to this Section 2.17),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3" w:lineRule="exact"/>
        <w:rPr>
          <w:sz w:val="20"/>
          <w:szCs w:val="20"/>
          <w:color w:val="auto"/>
        </w:rPr>
      </w:pPr>
    </w:p>
    <w:p>
      <w:pPr>
        <w:jc w:val="both"/>
        <w:ind w:firstLine="1293"/>
        <w:spacing w:after="0" w:line="247" w:lineRule="auto"/>
        <w:tabs>
          <w:tab w:leader="none" w:pos="175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(h).</w:t>
      </w:r>
    </w:p>
    <w:p>
      <w:pPr>
        <w:spacing w:after="0" w:line="184" w:lineRule="exact"/>
        <w:rPr>
          <w:rFonts w:ascii="Times New Roman" w:cs="Times New Roman" w:eastAsia="Times New Roman" w:hAnsi="Times New Roman"/>
          <w:sz w:val="22"/>
          <w:szCs w:val="22"/>
          <w:color w:val="auto"/>
        </w:rPr>
      </w:pPr>
    </w:p>
    <w:p>
      <w:pPr>
        <w:jc w:val="both"/>
        <w:ind w:firstLine="1293"/>
        <w:spacing w:after="0" w:line="257" w:lineRule="auto"/>
        <w:tabs>
          <w:tab w:leader="none" w:pos="177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also indemnify the Administrative Agent, within 10 days after demand therefor, for any amount which a Lender for any reason fails to pay indefeasibly to the Administrative Agent as required by clause (h)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Lender shall indemnify the Borrower to the extent of any payment the Borrower makes to the Administrative Agent pursuant to this sentence.</w:t>
      </w:r>
    </w:p>
    <w:p>
      <w:pPr>
        <w:spacing w:after="0" w:line="172" w:lineRule="exact"/>
        <w:rPr>
          <w:rFonts w:ascii="Times New Roman" w:cs="Times New Roman" w:eastAsia="Times New Roman" w:hAnsi="Times New Roman"/>
          <w:sz w:val="22"/>
          <w:szCs w:val="22"/>
          <w:color w:val="auto"/>
        </w:rPr>
      </w:pPr>
    </w:p>
    <w:p>
      <w:pPr>
        <w:jc w:val="both"/>
        <w:ind w:firstLine="1293"/>
        <w:spacing w:after="0" w:line="263" w:lineRule="auto"/>
        <w:tabs>
          <w:tab w:leader="none" w:pos="179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the date hereof, the Borrower and the Administrative Agent shall treat (and the Lenders hereby authorize the Administrative Agent to treat) the Credit</w:t>
      </w:r>
    </w:p>
    <w:p>
      <w:pPr>
        <w:spacing w:after="0" w:line="200" w:lineRule="exact"/>
        <w:rPr>
          <w:sz w:val="20"/>
          <w:szCs w:val="20"/>
          <w:color w:val="auto"/>
        </w:rPr>
      </w:pPr>
    </w:p>
    <w:p>
      <w:pPr>
        <w:spacing w:after="0" w:line="2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760"/>
          </w:cols>
          <w:pgMar w:left="900" w:top="625" w:right="239" w:bottom="1440" w:gutter="0" w:footer="0" w:header="0"/>
        </w:sectPr>
      </w:pPr>
    </w:p>
    <w:bookmarkStart w:id="75" w:name="page76"/>
    <w:bookmarkEnd w:id="75"/>
    <w:p>
      <w:pPr>
        <w:ind w:left="660"/>
        <w:spacing w:after="0" w:line="271" w:lineRule="auto"/>
        <w:rPr>
          <w:sz w:val="20"/>
          <w:szCs w:val="20"/>
          <w:color w:val="auto"/>
        </w:rPr>
      </w:pPr>
      <w:r>
        <w:rPr>
          <w:rFonts w:ascii="Times New Roman" w:cs="Times New Roman" w:eastAsia="Times New Roman" w:hAnsi="Times New Roman"/>
          <w:sz w:val="22"/>
          <w:szCs w:val="22"/>
          <w:color w:val="auto"/>
        </w:rPr>
        <w:t>Agreement as not qualifying as a “grandfathered obligation” within the meaning of Treasury Regulation Section 1.1471-2(b)(2)(i).</w:t>
      </w:r>
    </w:p>
    <w:p>
      <w:pPr>
        <w:spacing w:after="0" w:line="158" w:lineRule="exact"/>
        <w:rPr>
          <w:sz w:val="20"/>
          <w:szCs w:val="20"/>
          <w:color w:val="auto"/>
        </w:rPr>
      </w:pPr>
    </w:p>
    <w:p>
      <w:pPr>
        <w:jc w:val="both"/>
        <w:ind w:left="660" w:firstLine="1293"/>
        <w:spacing w:after="0" w:line="263" w:lineRule="auto"/>
        <w:tabs>
          <w:tab w:leader="none" w:pos="247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Credit Document.</w:t>
      </w:r>
    </w:p>
    <w:p>
      <w:pPr>
        <w:spacing w:after="0" w:line="167" w:lineRule="exact"/>
        <w:rPr>
          <w:rFonts w:ascii="Times New Roman" w:cs="Times New Roman" w:eastAsia="Times New Roman" w:hAnsi="Times New Roman"/>
          <w:sz w:val="22"/>
          <w:szCs w:val="22"/>
          <w:color w:val="auto"/>
        </w:rPr>
      </w:pPr>
    </w:p>
    <w:p>
      <w:pPr>
        <w:ind w:left="660" w:firstLine="1293"/>
        <w:spacing w:after="0" w:line="284" w:lineRule="auto"/>
        <w:tabs>
          <w:tab w:leader="none" w:pos="23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2.17, the term “Lender” includes any Issuing Bank and the term “applicable law” includes FATCA.</w:t>
      </w:r>
    </w:p>
    <w:p>
      <w:pPr>
        <w:spacing w:after="0" w:line="138" w:lineRule="exact"/>
        <w:rPr>
          <w:sz w:val="20"/>
          <w:szCs w:val="20"/>
          <w:color w:val="auto"/>
        </w:rPr>
      </w:pPr>
    </w:p>
    <w:p>
      <w:pPr>
        <w:jc w:val="both"/>
        <w:ind w:firstLine="1297"/>
        <w:spacing w:after="0" w:line="260"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b w:val="1"/>
          <w:bCs w:val="1"/>
          <w:i w:val="1"/>
          <w:iCs w:val="1"/>
          <w:color w:val="auto"/>
        </w:rPr>
        <w:t>Payments Generally; Pro Rata Treatment; Sharing of Set-offs</w:t>
      </w:r>
      <w:r>
        <w:rPr>
          <w:rFonts w:ascii="Times New Roman" w:cs="Times New Roman" w:eastAsia="Times New Roman" w:hAnsi="Times New Roman"/>
          <w:sz w:val="21"/>
          <w:szCs w:val="21"/>
          <w:color w:val="auto"/>
        </w:rPr>
        <w:t>. (a) The Borrower shall make each payment required to be made by it hereunder (whether of principal, interest, fees or reimbursement of LC Disbursements, or of amounts payable under Section 2.15, 2.16 or 2.17, or otherwise) prior to 12:00 noon,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 Dearborn Street, Floor 07, Chicago, Illinois 60603,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76" w:lineRule="exact"/>
        <w:rPr>
          <w:sz w:val="20"/>
          <w:szCs w:val="20"/>
          <w:color w:val="auto"/>
        </w:rPr>
      </w:pPr>
    </w:p>
    <w:p>
      <w:pPr>
        <w:jc w:val="both"/>
        <w:ind w:firstLine="1305"/>
        <w:spacing w:after="0" w:line="251" w:lineRule="auto"/>
        <w:tabs>
          <w:tab w:leader="none" w:pos="182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insufficient funds are received by and available to the Administrative Agent to pay fully all amounts of principal, unreimbursed LC Disbursements, interest and fees then due hereunder, such funds shall be applied (i)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1"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1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by exercising any right of set off or counterclaim or otherwise, obtain payment in respect of any principal of or interest on any of its Revolving Loans or participations in LC Disbursements or its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625"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xml:space="preserve">accrued interest on their respective Revolving Loans and participations in LC Disbursements and Swingline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8" w:lineRule="exact"/>
        <w:rPr>
          <w:sz w:val="20"/>
          <w:szCs w:val="20"/>
          <w:color w:val="auto"/>
        </w:rPr>
      </w:pPr>
    </w:p>
    <w:p>
      <w:pPr>
        <w:jc w:val="both"/>
        <w:ind w:firstLine="8"/>
        <w:spacing w:after="0" w:line="244" w:lineRule="auto"/>
        <w:tabs>
          <w:tab w:leader="none" w:pos="31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6"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6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6"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4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required to be made by it pursuant to Section 2.05(c), 2.06(d) or (e), 2.07(b), 2.18(d) or 9.03(c), then the Administrative Agent may, in its discretion and notwithstanding any contrary provision hereof, (i) apply any amounts thereafter received by the Administrative Agent for the account of such Lender and for the benefit of the Administrative Agent, the Swingline Lender or the Issuing Bank to satisfy such Lender’s obligations under such Sections until all such unsatisfied obligations are fully paid, and/or (ii) hold any such amounts in a segregated account as cash collateral for, and application to, any future funding obligations of such Lender under such Sections, in the case of each of clause (i) and (ii) above, in any order as determined by the Administrative Agent in its discretion.</w:t>
      </w:r>
    </w:p>
    <w:p>
      <w:pPr>
        <w:spacing w:after="0" w:line="175"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b w:val="1"/>
          <w:bCs w:val="1"/>
          <w:i w:val="1"/>
          <w:iCs w:val="1"/>
          <w:color w:val="auto"/>
        </w:rPr>
        <w:t>Mitigation Obligations; Replacement of Lenders</w:t>
      </w:r>
      <w:r>
        <w:rPr>
          <w:rFonts w:ascii="Times New Roman" w:cs="Times New Roman" w:eastAsia="Times New Roman" w:hAnsi="Times New Roman"/>
          <w:sz w:val="22"/>
          <w:szCs w:val="22"/>
          <w:color w:val="auto"/>
        </w:rPr>
        <w:t>. (a) If any Lender requests compensation under Section 2.15, or if the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625" w:right="239" w:bottom="1440" w:gutter="0" w:footer="0" w:header="0"/>
        </w:sectPr>
      </w:pPr>
    </w:p>
    <w:bookmarkStart w:id="77" w:name="page78"/>
    <w:bookmarkEnd w:id="77"/>
    <w:p>
      <w:pPr>
        <w:spacing w:after="0" w:line="271" w:lineRule="auto"/>
        <w:rPr>
          <w:sz w:val="20"/>
          <w:szCs w:val="20"/>
          <w:color w:val="auto"/>
        </w:rPr>
      </w:pPr>
      <w:r>
        <w:rPr>
          <w:rFonts w:ascii="Times New Roman" w:cs="Times New Roman" w:eastAsia="Times New Roman" w:hAnsi="Times New Roman"/>
          <w:sz w:val="22"/>
          <w:szCs w:val="22"/>
          <w:color w:val="auto"/>
        </w:rPr>
        <w:t>expense and would not otherwise be disadvantageous to such Lender. The Borrower hereby agrees to pay all reasonable costs and expenses incurred by any Lender in connection with any such designation or assignment.</w:t>
      </w:r>
    </w:p>
    <w:p>
      <w:pPr>
        <w:spacing w:after="0" w:line="158" w:lineRule="exact"/>
        <w:rPr>
          <w:sz w:val="20"/>
          <w:szCs w:val="20"/>
          <w:color w:val="auto"/>
        </w:rPr>
      </w:pPr>
    </w:p>
    <w:p>
      <w:pPr>
        <w:jc w:val="both"/>
        <w:ind w:firstLine="1305"/>
        <w:spacing w:after="0" w:line="246" w:lineRule="auto"/>
        <w:tabs>
          <w:tab w:leader="none" w:pos="178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requests compensation under Section 2.15, or if the Borrower is required to pay any additional amount to any Lender or any Governmental Authority for the account of any Lender pursuant to Section 2.17,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(and if a Commitment is being assigned, the Issuing Bank),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3"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2.20.</w:t>
      </w:r>
      <w:r>
        <w:rPr>
          <w:sz w:val="20"/>
          <w:szCs w:val="20"/>
          <w:color w:val="auto"/>
        </w:rPr>
        <w:tab/>
      </w:r>
      <w:r>
        <w:rPr>
          <w:rFonts w:ascii="Times New Roman" w:cs="Times New Roman" w:eastAsia="Times New Roman" w:hAnsi="Times New Roman"/>
          <w:sz w:val="22"/>
          <w:szCs w:val="22"/>
          <w:b w:val="1"/>
          <w:bCs w:val="1"/>
          <w:i w:val="1"/>
          <w:iCs w:val="1"/>
          <w:color w:val="auto"/>
        </w:rPr>
        <w:t>Defaulting Lenders</w:t>
      </w:r>
      <w:r>
        <w:rPr>
          <w:rFonts w:ascii="Times New Roman" w:cs="Times New Roman" w:eastAsia="Times New Roman" w:hAnsi="Times New Roman"/>
          <w:sz w:val="22"/>
          <w:szCs w:val="22"/>
          <w:color w:val="auto"/>
        </w:rPr>
        <w:t>. Notwithstanding any provision of this Agreement to the contrary, if 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 becomes a Defaulting Lender, then the following provisions shall apply for so long as such Lender is a Defaulting Lender:</w:t>
      </w:r>
    </w:p>
    <w:p>
      <w:pPr>
        <w:spacing w:after="0" w:line="219" w:lineRule="exact"/>
        <w:rPr>
          <w:sz w:val="20"/>
          <w:szCs w:val="20"/>
          <w:color w:val="auto"/>
        </w:rPr>
      </w:pPr>
    </w:p>
    <w:p>
      <w:pPr>
        <w:ind w:left="1720" w:hanging="415"/>
        <w:spacing w:after="0"/>
        <w:tabs>
          <w:tab w:leader="none" w:pos="17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shall cease to accrue on the Commitment of such Defaulting Lender pursuant to Section 2.12(a);</w:t>
      </w:r>
    </w:p>
    <w:p>
      <w:pPr>
        <w:spacing w:after="0" w:line="233"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7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Commitments, LC Exposure and Revolving Credit Exposure of such Defaulting Lender shall not be included in determining whether the Required Lenders have taken or may take any action hereunder (including any consent to any amendment or waiver pursuant to Section 9.02),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(b) shall not apply to the vote of a Defaulting Lender in the case of an amendment, waiver or other modification requiring the consent of such Lender or each Lender affected thereby (except (i) such Defaulting Lender’s Commitment may not be increased or extended without its consent and (ii) the principal amount of, or interest or fees payable on, Loans or LC Disbursements may not be reduced or excused or the scheduled date of payment may not be postponed as to such Defaulting Lender without such Defaulting Lender’s consent);</w:t>
      </w:r>
    </w:p>
    <w:p>
      <w:pPr>
        <w:spacing w:after="0" w:line="181"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Swingline Exposure or LC Exposure exists at the time a Lender becomes a Defaulting Lender then:</w:t>
      </w:r>
    </w:p>
    <w:p>
      <w:pPr>
        <w:spacing w:after="0" w:line="233" w:lineRule="exact"/>
        <w:rPr>
          <w:sz w:val="20"/>
          <w:szCs w:val="20"/>
          <w:color w:val="auto"/>
        </w:rPr>
      </w:pPr>
    </w:p>
    <w:p>
      <w:pPr>
        <w:ind w:left="660" w:firstLine="645"/>
        <w:spacing w:after="0" w:line="284" w:lineRule="auto"/>
        <w:tabs>
          <w:tab w:leader="none" w:pos="177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such Swingline Exposure and LC Exposure shall be reallocated among the non-Defaulting Lenders in accordance with their respective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625" w:right="239" w:bottom="1440" w:gutter="0" w:footer="0" w:header="0"/>
        </w:sectPr>
      </w:pPr>
    </w:p>
    <w:bookmarkStart w:id="78" w:name="page79"/>
    <w:bookmarkEnd w:id="78"/>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Applicable Percentages but only to the extent the sum of all non-Defaulting Lenders’ Revolving Credit Exposures plus such Defaulting Lender’s Swingline Exposure and LC Exposure does not exceed the total of all non-Defaulting Lenders’ Commitments;</w:t>
      </w:r>
    </w:p>
    <w:p>
      <w:pPr>
        <w:spacing w:after="0" w:line="173" w:lineRule="exact"/>
        <w:rPr>
          <w:sz w:val="20"/>
          <w:szCs w:val="20"/>
          <w:color w:val="auto"/>
        </w:rPr>
      </w:pPr>
    </w:p>
    <w:p>
      <w:pPr>
        <w:jc w:val="both"/>
        <w:ind w:left="660" w:firstLine="645"/>
        <w:spacing w:after="0" w:line="253" w:lineRule="auto"/>
        <w:tabs>
          <w:tab w:leader="none" w:pos="182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(i) above cannot, or can only partially, be effected, the Borrower shall within one Business Day following notice by the Administrative Agent (x) first, prepay such Swingline Exposure and (y) second, cash collateralize for the benefit of the Issuing Bank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79" w:lineRule="exact"/>
        <w:rPr>
          <w:rFonts w:ascii="Times New Roman" w:cs="Times New Roman" w:eastAsia="Times New Roman" w:hAnsi="Times New Roman"/>
          <w:sz w:val="22"/>
          <w:szCs w:val="22"/>
          <w:color w:val="auto"/>
        </w:rPr>
      </w:pPr>
    </w:p>
    <w:p>
      <w:pPr>
        <w:ind w:left="1860" w:hanging="555"/>
        <w:spacing w:after="0"/>
        <w:tabs>
          <w:tab w:leader="none" w:pos="18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cash collateralizes any portion of such Defaulting Lender’s LC Exposure pursuant to clause</w:t>
      </w:r>
    </w:p>
    <w:p>
      <w:pPr>
        <w:spacing w:after="0" w:line="29"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99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the Borrower shall not be required to pay any fees to such Defaulting Lender pursuant to Section 2.12(b) with respect to such Defaulting Lender’s LC Exposure during the period such Defaulting Lender’s LC Exposure is cash collateralized;</w:t>
      </w:r>
    </w:p>
    <w:p>
      <w:pPr>
        <w:spacing w:after="0" w:line="179"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88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LC Exposure of the non-Defaulting Lenders is reallocated pursuant to clause (i) above, then the fees payable to the Lenders pursuant to Section 2.12(b) shall be adjusted in accordance with such non-Defaulting Lenders’ Applicable Percentages; or</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51" w:lineRule="auto"/>
        <w:tabs>
          <w:tab w:leader="none" w:pos="182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Lender’s LC Exposure is neither cash collateralized nor reallocated pursuant to clause (i) or (ii) above, then, without prejudice to any rights or remedies of the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 until such LC Exposure is cash collateralized and/or reallocated; and</w:t>
      </w:r>
    </w:p>
    <w:p>
      <w:pPr>
        <w:spacing w:after="0" w:line="182" w:lineRule="exact"/>
        <w:rPr>
          <w:sz w:val="20"/>
          <w:szCs w:val="20"/>
          <w:color w:val="auto"/>
        </w:rPr>
      </w:pPr>
    </w:p>
    <w:p>
      <w:pPr>
        <w:jc w:val="both"/>
        <w:ind w:firstLine="1305"/>
        <w:spacing w:after="0" w:line="250" w:lineRule="auto"/>
        <w:tabs>
          <w:tab w:leader="none" w:pos="187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such Lender is a Defaulting Lender, the Swingline Lender shall not be required to fund any Swingline Loan and the Issuing Bank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 in accordance with Section 2.20(c), and participating interests in any such newly issued or increased Letter of Credit or newly made Swingline Loan shall be allocated among non-Defaulting Lenders in a manner consistent with Section 2.20(c)(i) (and such Defaulting Lender shall not participate therein).</w:t>
      </w:r>
    </w:p>
    <w:p>
      <w:pPr>
        <w:spacing w:after="0" w:line="18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If (i) a Bankruptcy Event with respect to a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625" w:right="239" w:bottom="1440" w:gutter="0" w:footer="0" w:header="0"/>
        </w:sectPr>
      </w:pPr>
    </w:p>
    <w:bookmarkStart w:id="79" w:name="page80"/>
    <w:bookmarkEnd w:id="7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case may be, shall have entered into arrangements with the Borrower or such Lender, satisfactory to the Swingline Lender or the Issuing Bank, as the case may be, to defease any risk to it in respect of such Lender hereunder.</w:t>
      </w:r>
    </w:p>
    <w:p>
      <w:pPr>
        <w:spacing w:after="0" w:line="158"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1"/>
          <w:szCs w:val="21"/>
          <w:color w:val="auto"/>
        </w:rPr>
        <w:t>In the event that the Administrative Agent, the Borrower, the Swingline Lender and the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6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III</w:t>
      </w:r>
    </w:p>
    <w:p>
      <w:pPr>
        <w:spacing w:after="0" w:line="27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Borrower represents and warrants to the Administrative Agent and the Lenders that:</w:t>
      </w:r>
    </w:p>
    <w:p>
      <w:pPr>
        <w:spacing w:after="0" w:line="214"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b w:val="1"/>
          <w:bCs w:val="1"/>
          <w:i w:val="1"/>
          <w:iCs w:val="1"/>
          <w:color w:val="auto"/>
        </w:rPr>
        <w:t>Organization; Powers</w:t>
      </w:r>
      <w:r>
        <w:rPr>
          <w:rFonts w:ascii="Times New Roman" w:cs="Times New Roman" w:eastAsia="Times New Roman" w:hAnsi="Times New Roman"/>
          <w:sz w:val="22"/>
          <w:szCs w:val="22"/>
          <w:color w:val="auto"/>
        </w:rPr>
        <w:t>. Each of the Credit Parties and their Subsidiaries is duly organized, validly existing and in good standing (if applicable)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(if applicable) in, every jurisdiction where such qualification is required.</w:t>
      </w:r>
    </w:p>
    <w:p>
      <w:pPr>
        <w:spacing w:after="0" w:line="169"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b w:val="1"/>
          <w:bCs w:val="1"/>
          <w:i w:val="1"/>
          <w:iCs w:val="1"/>
          <w:color w:val="auto"/>
        </w:rPr>
        <w:t>Authorization; Enforceability</w:t>
      </w:r>
      <w:r>
        <w:rPr>
          <w:rFonts w:ascii="Times New Roman" w:cs="Times New Roman" w:eastAsia="Times New Roman" w:hAnsi="Times New Roman"/>
          <w:sz w:val="22"/>
          <w:szCs w:val="22"/>
          <w:color w:val="auto"/>
        </w:rPr>
        <w:t>. Each of the Credit Parties and their Subsidiaries has full right, power and authority to enter into the Credit Documents to which it is a party, to make the borrowings hereunder (if applicable to it), to execute and deliver the Credit Documents to which it is a party as provided herein and to perform all of its duties and obligations under this Agreement and the other Credit Documents. All necessary and appropriate action has been taken on the part of each of the Credit Parties and their Subsidiaries to authorize the execution and delivery of this Agreement and the Credit Documents to which it is a party. This Agreement and the other Credit Documents have been duly executed and delivered by the each of the Credit Parties and their Subsidiaries party thereto and constitute the legal, valid and binding obligation of each of the Credit Parties and their Subsidiaries,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1"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b w:val="1"/>
          <w:bCs w:val="1"/>
          <w:i w:val="1"/>
          <w:iCs w:val="1"/>
          <w:color w:val="auto"/>
        </w:rPr>
        <w:t>Governmental Approvals; No Conflicts</w:t>
      </w:r>
      <w:r>
        <w:rPr>
          <w:rFonts w:ascii="Times New Roman" w:cs="Times New Roman" w:eastAsia="Times New Roman" w:hAnsi="Times New Roman"/>
          <w:sz w:val="22"/>
          <w:szCs w:val="22"/>
          <w:color w:val="auto"/>
        </w:rPr>
        <w:t>. The execution, delivery and performance of the Credit Documents and any other documents or instruments to be executed and delivered by each of the Credit Parties and their Subsidiaries in connection with the Transactions, and the borrowings by the Borrower hereunder, do not and will not (a) require any consent or approval of, registration or filing with, or any other action by, any Governmental Authority, except such as have been obtained or made and are in full force and effect, (b) violate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625" w:right="239" w:bottom="1440" w:gutter="0" w:footer="0" w:header="0"/>
        </w:sectPr>
      </w:pPr>
    </w:p>
    <w:bookmarkStart w:id="80" w:name="page81"/>
    <w:bookmarkEnd w:id="80"/>
    <w:p>
      <w:pPr>
        <w:jc w:val="both"/>
        <w:spacing w:after="0" w:line="250" w:lineRule="auto"/>
        <w:rPr>
          <w:sz w:val="20"/>
          <w:szCs w:val="20"/>
          <w:color w:val="auto"/>
        </w:rPr>
      </w:pPr>
      <w:r>
        <w:rPr>
          <w:rFonts w:ascii="Times New Roman" w:cs="Times New Roman" w:eastAsia="Times New Roman" w:hAnsi="Times New Roman"/>
          <w:sz w:val="22"/>
          <w:szCs w:val="22"/>
          <w:color w:val="auto"/>
        </w:rPr>
        <w:t>any applicable law or regulation or the charter, by-laws or other organizational documents of the Credit Parties or any of their Subsidiaries or any order of any Governmental Authority, (c) violate or result in a default under any indenture, agreement or other instrument binding upon any Credit Party or their assets, or give rise to a right thereunder to require any payment to be made by any Credit Party or any of their Subsidiaries, and (d) result in the creation or imposition of any Lien on any asset of any Credit Party or any of their Subsidiaries except Liens created under the Credit Documents.</w:t>
      </w:r>
    </w:p>
    <w:p>
      <w:pPr>
        <w:spacing w:after="0" w:line="175" w:lineRule="exact"/>
        <w:rPr>
          <w:sz w:val="20"/>
          <w:szCs w:val="20"/>
          <w:color w:val="auto"/>
        </w:rPr>
      </w:pPr>
    </w:p>
    <w:p>
      <w:pPr>
        <w:jc w:val="both"/>
        <w:ind w:firstLine="1297"/>
        <w:spacing w:after="0" w:line="276"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b w:val="1"/>
          <w:bCs w:val="1"/>
          <w:i w:val="1"/>
          <w:iCs w:val="1"/>
          <w:color w:val="auto"/>
        </w:rPr>
        <w:t>Financial Condition; No Material Adverse Change</w:t>
      </w:r>
      <w:r>
        <w:rPr>
          <w:rFonts w:ascii="Times New Roman" w:cs="Times New Roman" w:eastAsia="Times New Roman" w:hAnsi="Times New Roman"/>
          <w:sz w:val="21"/>
          <w:szCs w:val="21"/>
          <w:color w:val="auto"/>
        </w:rPr>
        <w:t>. (a) The Borrower has heretofore furnished to the Lenders the consolidated balance sheet of Holdings and associated statements of income, stockholders equity and cash flows</w:t>
      </w:r>
    </w:p>
    <w:p>
      <w:pPr>
        <w:spacing w:after="0" w:line="1" w:lineRule="exact"/>
        <w:rPr>
          <w:sz w:val="20"/>
          <w:szCs w:val="20"/>
          <w:color w:val="auto"/>
        </w:rPr>
      </w:pPr>
    </w:p>
    <w:p>
      <w:pPr>
        <w:jc w:val="both"/>
        <w:ind w:firstLine="8"/>
        <w:spacing w:after="0" w:line="244" w:lineRule="auto"/>
        <w:tabs>
          <w:tab w:leader="none" w:pos="27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and for the fiscal year ended February 1, 2014 and January 31, 2015, reported on by Ernst &amp; Young LLP, independent public accountants, and (ii) as of and for the fiscal quarter and the portion of the fiscal year ended May 2, 2015, certified by its Chief Financial Officer. Such financial statements present fairly, in all material respects, the financial position and results of operations and cash flows of Holdings and its consolidated Subsidiaries as of such dates and for such periods in accordance with GAAP, subject to year-end audit adjustments and the absence of footnotes in the case of the statements referred to in clause (ii) above.</w:t>
      </w:r>
    </w:p>
    <w:p>
      <w:pPr>
        <w:spacing w:after="0" w:line="188"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6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31, 2015, there has been no material adverse change in the business, assets, operations or condition, financial or otherwise, of Holdings and its subsidiaries, taken as a whole. For the avoidance of doubt, the parties hereto acknowledge and agree that any adverse effects arising out of the Borrower’s restructuring activities in the first quarter of Holding’s 2016 fiscal year do not constitute such a material adverse change.</w:t>
      </w:r>
    </w:p>
    <w:p>
      <w:pPr>
        <w:spacing w:after="0" w:line="166"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b w:val="1"/>
          <w:bCs w:val="1"/>
          <w:i w:val="1"/>
          <w:iCs w:val="1"/>
          <w:color w:val="auto"/>
        </w:rPr>
        <w:t>Properties</w:t>
      </w:r>
      <w:r>
        <w:rPr>
          <w:rFonts w:ascii="Times New Roman" w:cs="Times New Roman" w:eastAsia="Times New Roman" w:hAnsi="Times New Roman"/>
          <w:sz w:val="22"/>
          <w:szCs w:val="22"/>
          <w:color w:val="auto"/>
        </w:rPr>
        <w:t>. (a) Each of the Credit Parties and their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64" w:lineRule="exact"/>
        <w:rPr>
          <w:sz w:val="20"/>
          <w:szCs w:val="20"/>
          <w:color w:val="auto"/>
        </w:rPr>
      </w:pPr>
    </w:p>
    <w:p>
      <w:pPr>
        <w:jc w:val="both"/>
        <w:ind w:firstLine="1305"/>
        <w:spacing w:after="0" w:line="257" w:lineRule="auto"/>
        <w:tabs>
          <w:tab w:leader="none" w:pos="186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Credit Parties and their Subsidiaries owns, or is licensed to use, all trademarks, tradenames, copyrights, patents and other intellectual property material to its business, and the use thereof by the Credit Parties and their Subsidiaries does not infringe upon the rights of any other Person, except for any such infringements that, individually or in the aggregate, could not reasonably be expected to result in a Material Adverse Effect.</w:t>
      </w:r>
    </w:p>
    <w:p>
      <w:pPr>
        <w:spacing w:after="0" w:line="16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b w:val="1"/>
          <w:bCs w:val="1"/>
          <w:i w:val="1"/>
          <w:iCs w:val="1"/>
          <w:color w:val="auto"/>
        </w:rPr>
        <w:t>Litigation and Environmental Matters</w:t>
      </w:r>
      <w:r>
        <w:rPr>
          <w:rFonts w:ascii="Times New Roman" w:cs="Times New Roman" w:eastAsia="Times New Roman" w:hAnsi="Times New Roman"/>
          <w:sz w:val="22"/>
          <w:szCs w:val="22"/>
          <w:color w:val="auto"/>
        </w:rPr>
        <w:t>. (a) There are no actions, suits or proceedings by or before any arbitrator or Governmental Authority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5" w:lineRule="exact"/>
        <w:rPr>
          <w:sz w:val="20"/>
          <w:szCs w:val="20"/>
          <w:color w:val="auto"/>
        </w:rPr>
      </w:pPr>
    </w:p>
    <w:p>
      <w:pPr>
        <w:jc w:val="both"/>
        <w:ind w:firstLine="1305"/>
        <w:spacing w:after="0" w:line="263" w:lineRule="auto"/>
        <w:tabs>
          <w:tab w:leader="none" w:pos="177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could not reasonably be expected to result in a Material Adverse Effect, neither the Borrower nor any of its Subsidiaries (i) has failed to comply with any Environmental Law or to obtain, maintain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257" w:lineRule="auto"/>
        <w:rPr>
          <w:sz w:val="20"/>
          <w:szCs w:val="20"/>
          <w:color w:val="auto"/>
        </w:rPr>
      </w:pPr>
      <w:r>
        <w:rPr>
          <w:rFonts w:ascii="Times New Roman" w:cs="Times New Roman" w:eastAsia="Times New Roman" w:hAnsi="Times New Roman"/>
          <w:sz w:val="22"/>
          <w:szCs w:val="22"/>
          <w:color w:val="auto"/>
        </w:rPr>
        <w:t>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67"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b w:val="1"/>
          <w:bCs w:val="1"/>
          <w:i w:val="1"/>
          <w:iCs w:val="1"/>
          <w:color w:val="auto"/>
        </w:rPr>
        <w:t>Compliance with Laws and Agreements</w:t>
      </w:r>
      <w:r>
        <w:rPr>
          <w:rFonts w:ascii="Times New Roman" w:cs="Times New Roman" w:eastAsia="Times New Roman" w:hAnsi="Times New Roman"/>
          <w:sz w:val="21"/>
          <w:szCs w:val="21"/>
          <w:color w:val="auto"/>
        </w:rPr>
        <w:t>. Each of the Credit Parties and their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49" w:lineRule="exact"/>
        <w:rPr>
          <w:sz w:val="20"/>
          <w:szCs w:val="20"/>
          <w:color w:val="auto"/>
        </w:rPr>
      </w:pPr>
    </w:p>
    <w:p>
      <w:pPr>
        <w:jc w:val="both"/>
        <w:ind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b w:val="1"/>
          <w:bCs w:val="1"/>
          <w:i w:val="1"/>
          <w:iCs w:val="1"/>
          <w:color w:val="auto"/>
        </w:rPr>
        <w:t>Investment Company Status</w:t>
      </w:r>
      <w:r>
        <w:rPr>
          <w:rFonts w:ascii="Times New Roman" w:cs="Times New Roman" w:eastAsia="Times New Roman" w:hAnsi="Times New Roman"/>
          <w:sz w:val="22"/>
          <w:szCs w:val="22"/>
          <w:color w:val="auto"/>
        </w:rPr>
        <w:t>. No Credit Party nor any of their Subsidiaries is an “investment company” as defined in, or subject to regulation under, the Investment Company Act of 1940.</w:t>
      </w:r>
    </w:p>
    <w:p>
      <w:pPr>
        <w:spacing w:after="0" w:line="134"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Each of the Credit Parties and their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Credit Party or such Subsidiary, as applicable, has set aside on its books adequate reserves or (b) to the extent that the failure to do so could not reasonably be expected to result in a Material Adverse Effect.</w:t>
      </w:r>
    </w:p>
    <w:p>
      <w:pPr>
        <w:spacing w:after="0" w:line="169"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by more than $5,000,000 the fair market value of the assets of such Plan, and the present value of all accumulated benefit obligations of all underfunded Plans (based on the assumptions used for purposes of Statement of Financial Accounting Standards No. 87) did not, as of the date of the most recent financial statements reflecting such amounts, exceed by more than $5,000,000 the fair market value of the assets of all such underfunded Plans.</w:t>
      </w:r>
    </w:p>
    <w:p>
      <w:pPr>
        <w:spacing w:after="0" w:line="17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b w:val="1"/>
          <w:bCs w:val="1"/>
          <w:i w:val="1"/>
          <w:iCs w:val="1"/>
          <w:color w:val="auto"/>
        </w:rPr>
        <w:t>Disclosure</w:t>
      </w:r>
      <w:r>
        <w:rPr>
          <w:rFonts w:ascii="Times New Roman" w:cs="Times New Roman" w:eastAsia="Times New Roman" w:hAnsi="Times New Roman"/>
          <w:sz w:val="22"/>
          <w:szCs w:val="22"/>
          <w:color w:val="auto"/>
        </w:rPr>
        <w:t>.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Borrower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Borrower represents only that such information was prepared in good faith based upon assumptions believed to be reasonable at the time.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625" w:right="239" w:bottom="1440" w:gutter="0" w:footer="0" w:header="0"/>
        </w:sectPr>
      </w:pPr>
    </w:p>
    <w:bookmarkStart w:id="82" w:name="page83"/>
    <w:bookmarkEnd w:id="82"/>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As of the Effective Date, the Borrower has no Subsidiaries other than those Subsidiaries listed on Schedule 3.12. Schedule 3.12 correctly sets forth, as of the Effective Date, (i) the percentage ownership (direct or indirect) of the Borrower in the Equity Interests of its Subsidiaries and also identifies the direct owner thereof, and (ii) the jurisdiction of organization of each such Subsidiary. Schedule 3.12 correctly identifies those Foreign Subsidiaries which are limited recourse Guarantors as of the Effective Date.</w:t>
      </w:r>
    </w:p>
    <w:p>
      <w:pPr>
        <w:spacing w:after="0" w:line="169"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b w:val="1"/>
          <w:bCs w:val="1"/>
          <w:i w:val="1"/>
          <w:iCs w:val="1"/>
          <w:color w:val="auto"/>
        </w:rPr>
        <w:t>Security Documents</w:t>
      </w:r>
      <w:r>
        <w:rPr>
          <w:rFonts w:ascii="Times New Roman" w:cs="Times New Roman" w:eastAsia="Times New Roman" w:hAnsi="Times New Roman"/>
          <w:sz w:val="22"/>
          <w:szCs w:val="22"/>
          <w:color w:val="auto"/>
        </w:rPr>
        <w:t>. The Security Documents create a valid security interest in favor of the Administrative Agent, for the ratable benefit of the Secured Creditors in the Collateral. Such security interest shall constitute a valid, perfected, first-priority (subject only to Liens permitted by Section 6.02) security interest in the Collateral upon perfection by filing a UCC-1 financing statement in the appropriate jurisdictions or by possession or control of such Collateral by the Administrative Agent or delivery of such Collateral to the Administrative Agent.</w:t>
      </w:r>
    </w:p>
    <w:p>
      <w:pPr>
        <w:spacing w:after="0" w:line="169"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b w:val="1"/>
          <w:bCs w:val="1"/>
          <w:i w:val="1"/>
          <w:iCs w:val="1"/>
          <w:color w:val="auto"/>
        </w:rPr>
        <w:t>Regulation U</w:t>
      </w:r>
      <w:r>
        <w:rPr>
          <w:rFonts w:ascii="Times New Roman" w:cs="Times New Roman" w:eastAsia="Times New Roman" w:hAnsi="Times New Roman"/>
          <w:sz w:val="22"/>
          <w:szCs w:val="22"/>
          <w:color w:val="auto"/>
        </w:rPr>
        <w:t>. Margin stock (as defined in Regulation U of the Board) constitutes less than 25% of the value of those assets of the Borrower and its Subsidiaries which are subject to any limitation on sale, pledge, or other restriction hereunder. The making of any Loan or issuance of any Letters of Credit hereunder, or the use of the proceeds thereof, will not violate or be inconsistent with the provisions of Regulation T, Regulation U or Regulation X of the Board.</w:t>
      </w:r>
    </w:p>
    <w:p>
      <w:pPr>
        <w:spacing w:after="0" w:line="168"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b w:val="1"/>
          <w:bCs w:val="1"/>
          <w:i w:val="1"/>
          <w:iCs w:val="1"/>
          <w:color w:val="auto"/>
        </w:rPr>
        <w:t>Labor Relations</w:t>
      </w:r>
      <w:r>
        <w:rPr>
          <w:rFonts w:ascii="Times New Roman" w:cs="Times New Roman" w:eastAsia="Times New Roman" w:hAnsi="Times New Roman"/>
          <w:sz w:val="22"/>
          <w:szCs w:val="22"/>
          <w:color w:val="auto"/>
        </w:rPr>
        <w:t>. No Credit Party nor any of their Subsidiaries is engaged in any unfair labor practice that could reasonable be expected to have a Material Adverse Effect. There is (a) no significant unfair labor practice complaint pending against the Borrower or any of its Subsidiaries or, to the best knowledge of the Borrower, threatened against any of them before the National Labor Relations Board or any similar Governmental Authority in any jurisdiction, and no significant grievance or significant arbitration proceeding arising out of or under any collective bargaining agreement is so pending against the Borrower or any of its Subsidiaries or, to the best knowledge of the Borrower, threatened against any of them, (b) no significant strike, labor dispute, slowdown or stoppage is pending against the Borrower or any of its Subsidiaries or, to the best knowledge of the Borrower, threatened against the Borrower or any of its Subsidiaries and (c) to the best knowledge of the Borrower, no question concerning union representation exists with respect to the employees of the Borrower or any of its subsidiaries, except (with respect to any matter specified in clause (a), (b) or (c) above, either individually or in the aggregate) such as could not reasonably be expected to have a Material Adverse Effect.</w:t>
      </w:r>
    </w:p>
    <w:p>
      <w:pPr>
        <w:spacing w:after="0" w:line="177"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b w:val="1"/>
          <w:bCs w:val="1"/>
          <w:i w:val="1"/>
          <w:iCs w:val="1"/>
          <w:color w:val="auto"/>
        </w:rPr>
        <w:t>Anti-Corruption Laws and Sanctions</w:t>
      </w:r>
      <w:r>
        <w:rPr>
          <w:rFonts w:ascii="Times New Roman" w:cs="Times New Roman" w:eastAsia="Times New Roman" w:hAnsi="Times New Roman"/>
          <w:sz w:val="22"/>
          <w:szCs w:val="22"/>
          <w:color w:val="auto"/>
        </w:rPr>
        <w:t>. Holdings and the Borrower have implemented and maintain in effect policies and procedures designed to ensure compliance by Holdings, the Borrower, its Subsidiaries and their respective directors, officers, employees and agents with Anti-Corruption Laws and applicable Sanctions, and the Borrower, its Subsidiaries and their respective officers and employees and to the knowledge of the Borrower its directors and agents, are in compliance with Anti-Corruption Laws and applicable Sanctions in all material respects. None of (a) the Borrower, Holdings, any Subsidiary or any of their respective directors, officers or employees, or (b) to the knowledge of the Borrower, any agent of the Borrower, Holdings or any Subsidiary that will act in any capacity in connection with or benefit from the credit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619" w:right="239" w:bottom="1440" w:gutter="0" w:footer="0" w:header="0"/>
        </w:sectPr>
      </w:pPr>
    </w:p>
    <w:bookmarkStart w:id="83" w:name="page84"/>
    <w:bookmarkEnd w:id="8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facility established hereby, is a Sanctioned Person pursuant to applicable Sanctions. No Borrowing or Letter of Credit, use of proceeds or other Transaction will violate any Anti-Corruption Law or applicable Sanctions.</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14"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b w:val="1"/>
          <w:bCs w:val="1"/>
          <w:i w:val="1"/>
          <w:iCs w:val="1"/>
          <w:color w:val="auto"/>
        </w:rPr>
        <w:t>Effectiveness and Initial Advance</w:t>
      </w:r>
      <w:r>
        <w:rPr>
          <w:rFonts w:ascii="Times New Roman" w:cs="Times New Roman" w:eastAsia="Times New Roman" w:hAnsi="Times New Roman"/>
          <w:sz w:val="21"/>
          <w:szCs w:val="21"/>
          <w:color w:val="auto"/>
        </w:rPr>
        <w:t>. This Agreement shall not become effective and the Lenders shall not be required to make the initial extensions of credit hereunder unless (i) the Borrower has satisfied the conditions precedent set forth in Section 4.02, (ii) the Borrower has furnished to the Administrative Agent (or its counsel) each of the following documents and (iii) each of the following events shall have occurred, as applicable (such date being the “Effective Date”):</w:t>
      </w:r>
    </w:p>
    <w:p>
      <w:pPr>
        <w:spacing w:after="0" w:line="155" w:lineRule="exact"/>
        <w:rPr>
          <w:sz w:val="20"/>
          <w:szCs w:val="20"/>
          <w:color w:val="auto"/>
        </w:rPr>
      </w:pPr>
    </w:p>
    <w:p>
      <w:pPr>
        <w:jc w:val="both"/>
        <w:ind w:left="660" w:firstLine="1293"/>
        <w:spacing w:after="0" w:line="257" w:lineRule="auto"/>
        <w:tabs>
          <w:tab w:leader="none" w:pos="24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each Credit Party either (i) a counterpart of each Credit Document to which it is a party signed on behalf of such Credit Party or (ii) written evidence satisfactory to the Administrative Agent (which may include telecopy transmission of a signed signature page of this Agreement) that such party has signed a counterpart of each Credit Document to which it is a party.</w:t>
      </w:r>
    </w:p>
    <w:p>
      <w:pPr>
        <w:spacing w:after="0" w:line="172" w:lineRule="exact"/>
        <w:rPr>
          <w:rFonts w:ascii="Times New Roman" w:cs="Times New Roman" w:eastAsia="Times New Roman" w:hAnsi="Times New Roman"/>
          <w:sz w:val="22"/>
          <w:szCs w:val="22"/>
          <w:color w:val="auto"/>
        </w:rPr>
      </w:pPr>
    </w:p>
    <w:p>
      <w:pPr>
        <w:jc w:val="both"/>
        <w:ind w:left="660" w:firstLine="1293"/>
        <w:spacing w:after="0" w:line="253" w:lineRule="auto"/>
        <w:tabs>
          <w:tab w:leader="none" w:pos="269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favorable written opinions (addressed to the Administrative Agent and the Lenders and dated the Effective Date) of Ice Miller LLP, counsel for the Credit Parties and certain of their Subsidiaries, in form and substance satisfactory to the Administrative Agent, and covering such other matters relating to such Credit Parties, this Agreement, the other Credit Documents or the Transactions as the Administrative Agent shall reasonably request. The Credit Parties hereby request such counsel to deliver such opinions.</w:t>
      </w:r>
    </w:p>
    <w:p>
      <w:pPr>
        <w:spacing w:after="0" w:line="179" w:lineRule="exact"/>
        <w:rPr>
          <w:rFonts w:ascii="Times New Roman" w:cs="Times New Roman" w:eastAsia="Times New Roman" w:hAnsi="Times New Roman"/>
          <w:sz w:val="22"/>
          <w:szCs w:val="22"/>
          <w:color w:val="auto"/>
        </w:rPr>
      </w:pPr>
    </w:p>
    <w:p>
      <w:pPr>
        <w:jc w:val="both"/>
        <w:ind w:left="660" w:firstLine="1293"/>
        <w:spacing w:after="0" w:line="253" w:lineRule="auto"/>
        <w:tabs>
          <w:tab w:leader="none" w:pos="245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(if applicable) of the Credit Parties, the authorization of the Transactions and any other legal matters relating to the Credit Parties, this Agreement, the other Credit Documents or the Transactions, all in form and substance satisfactory to the Administrative Agent and its counsel.</w:t>
      </w:r>
    </w:p>
    <w:p>
      <w:pPr>
        <w:spacing w:after="0" w:line="179"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4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Effective Date and signed by the President, a Vice President or a Financial Officer of the Borrower, confirming compliance with the conditions set forth in paragraphs (a) and (b) of Section 4.02.</w:t>
      </w:r>
    </w:p>
    <w:p>
      <w:pPr>
        <w:spacing w:after="0" w:line="167"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39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on or prior to the Effective Date, including, to the extent invoiced, reimbursement or payment of all reasonable out-of-pocket expenses required to be reimbursed or paid by the Borrower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625" w:right="239" w:bottom="1440" w:gutter="0" w:footer="0" w:header="0"/>
        </w:sectPr>
      </w:pPr>
    </w:p>
    <w:bookmarkStart w:id="84" w:name="page85"/>
    <w:bookmarkEnd w:id="84"/>
    <w:p>
      <w:pPr>
        <w:jc w:val="both"/>
        <w:ind w:left="-540" w:firstLine="1293"/>
        <w:spacing w:after="0" w:line="263" w:lineRule="auto"/>
        <w:tabs>
          <w:tab w:leader="none" w:pos="116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searches of financing statements filed under the UCC, together with tax lien and judgment searches with respect to the assets of Holdings and its subsidiaries in such jurisdictions as the Administrative Agent may request.</w:t>
      </w:r>
    </w:p>
    <w:p>
      <w:pPr>
        <w:spacing w:after="0" w:line="167" w:lineRule="exact"/>
        <w:rPr>
          <w:rFonts w:ascii="Times New Roman" w:cs="Times New Roman" w:eastAsia="Times New Roman" w:hAnsi="Times New Roman"/>
          <w:sz w:val="22"/>
          <w:szCs w:val="22"/>
          <w:color w:val="auto"/>
        </w:rPr>
      </w:pPr>
    </w:p>
    <w:p>
      <w:pPr>
        <w:jc w:val="both"/>
        <w:ind w:left="-540" w:firstLine="1293"/>
        <w:spacing w:after="0" w:line="253" w:lineRule="auto"/>
        <w:tabs>
          <w:tab w:leader="none" w:pos="12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duly completed UCC-1 financing statements as the Administrative Agent shall have requested to perfect its security interest in the Collateral and such other evidence of the completion (or the making of arrangements satisfactory to the Administrative Agent) of all other actions, recordings and filings of or with respect to the Security Documents and the Collateral that the Administrative Agent may deem necessary or desirable in order to perfect the Liens created thereby.</w:t>
      </w:r>
    </w:p>
    <w:p>
      <w:pPr>
        <w:spacing w:after="0" w:line="179" w:lineRule="exact"/>
        <w:rPr>
          <w:rFonts w:ascii="Times New Roman" w:cs="Times New Roman" w:eastAsia="Times New Roman" w:hAnsi="Times New Roman"/>
          <w:sz w:val="22"/>
          <w:szCs w:val="22"/>
          <w:color w:val="auto"/>
        </w:rPr>
      </w:pPr>
    </w:p>
    <w:p>
      <w:pPr>
        <w:jc w:val="both"/>
        <w:ind w:left="-540" w:firstLine="1293"/>
        <w:spacing w:after="0" w:line="257" w:lineRule="auto"/>
        <w:tabs>
          <w:tab w:leader="none" w:pos="12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stock (or unit) certificates evidencing all certificated Equity Interests to be pledged pursuant to the Security Documents, accompanied by stock (or unit) powers executed in blank, and all notes to be pledged pursuant to the Pledge Agreement (including notes evidencing indebtedness required to be so evidenced pursuant to Section 6.01), accompanied by note powers executed in blank.</w:t>
      </w:r>
    </w:p>
    <w:p>
      <w:pPr>
        <w:spacing w:after="0" w:line="172" w:lineRule="exact"/>
        <w:rPr>
          <w:rFonts w:ascii="Times New Roman" w:cs="Times New Roman" w:eastAsia="Times New Roman" w:hAnsi="Times New Roman"/>
          <w:sz w:val="22"/>
          <w:szCs w:val="22"/>
          <w:color w:val="auto"/>
        </w:rPr>
      </w:pPr>
    </w:p>
    <w:p>
      <w:pPr>
        <w:ind w:left="1140" w:hanging="387"/>
        <w:spacing w:after="0"/>
        <w:tabs>
          <w:tab w:leader="none" w:pos="11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33" w:lineRule="exact"/>
        <w:rPr>
          <w:rFonts w:ascii="Times New Roman" w:cs="Times New Roman" w:eastAsia="Times New Roman" w:hAnsi="Times New Roman"/>
          <w:sz w:val="22"/>
          <w:szCs w:val="22"/>
          <w:color w:val="auto"/>
        </w:rPr>
      </w:pPr>
    </w:p>
    <w:p>
      <w:pPr>
        <w:jc w:val="both"/>
        <w:ind w:left="-540" w:firstLine="1293"/>
        <w:spacing w:after="0" w:line="257" w:lineRule="auto"/>
        <w:tabs>
          <w:tab w:leader="none" w:pos="115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the audited consolidated balance sheet and statements of income, stockholders’ equity and cash flows of Holdings and its subsidiaries as of and for the fiscal years ended February 2, 2014 and January 31, 2015 and (b) satisfactory unaudited interim consolidated financial statements of Holdings and its subsidiaries for the quarterly period ended May 2, 2015.</w:t>
      </w:r>
    </w:p>
    <w:p>
      <w:pPr>
        <w:spacing w:after="0" w:line="172" w:lineRule="exact"/>
        <w:rPr>
          <w:rFonts w:ascii="Times New Roman" w:cs="Times New Roman" w:eastAsia="Times New Roman" w:hAnsi="Times New Roman"/>
          <w:sz w:val="22"/>
          <w:szCs w:val="22"/>
          <w:color w:val="auto"/>
        </w:rPr>
      </w:pPr>
    </w:p>
    <w:p>
      <w:pPr>
        <w:jc w:val="both"/>
        <w:ind w:left="-540" w:firstLine="1293"/>
        <w:spacing w:after="0" w:line="257" w:lineRule="auto"/>
        <w:tabs>
          <w:tab w:leader="none" w:pos="124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financial projections (including, the balance sheets and statements of income and cash flows) of Holdings and its subsidiaries for the five fiscal years following the Effective Date, together with such information as the Administrative Agent may reasonably request to confirm the tax, legal, and business assumptions made therein, all in form and substance reasonably satisfactory to the Administrative Agent.</w:t>
      </w:r>
    </w:p>
    <w:p>
      <w:pPr>
        <w:spacing w:after="0" w:line="172" w:lineRule="exact"/>
        <w:rPr>
          <w:rFonts w:ascii="Times New Roman" w:cs="Times New Roman" w:eastAsia="Times New Roman" w:hAnsi="Times New Roman"/>
          <w:sz w:val="22"/>
          <w:szCs w:val="22"/>
          <w:color w:val="auto"/>
        </w:rPr>
      </w:pPr>
    </w:p>
    <w:p>
      <w:pPr>
        <w:jc w:val="both"/>
        <w:ind w:left="-540" w:firstLine="1293"/>
        <w:spacing w:after="0" w:line="263" w:lineRule="auto"/>
        <w:tabs>
          <w:tab w:leader="none" w:pos="124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copies of all Governmental Authority and third party approvals necessary or, in the discretion of the Administrative Agent, advisable in connection with the Transactions and all other documents reasonably requested by the Administrative Agent.</w:t>
      </w:r>
    </w:p>
    <w:p>
      <w:pPr>
        <w:spacing w:after="0" w:line="167" w:lineRule="exact"/>
        <w:rPr>
          <w:rFonts w:ascii="Times New Roman" w:cs="Times New Roman" w:eastAsia="Times New Roman" w:hAnsi="Times New Roman"/>
          <w:sz w:val="22"/>
          <w:szCs w:val="22"/>
          <w:color w:val="auto"/>
        </w:rPr>
      </w:pPr>
    </w:p>
    <w:p>
      <w:pPr>
        <w:jc w:val="both"/>
        <w:ind w:left="-540" w:firstLine="1293"/>
        <w:spacing w:after="0" w:line="263" w:lineRule="auto"/>
        <w:tabs>
          <w:tab w:leader="none" w:pos="139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that all principal, interest, fees and other amounts owing under the Existing Credit Agreement shall have been (or shall substantially contemporaneously be) repaid in full (it being understood that such amounts may be repaid out of the proceeds of Loans hereunder).</w:t>
      </w: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220"/>
          </w:cols>
          <w:pgMar w:left="1440" w:top="625" w:right="239" w:bottom="1440" w:gutter="0" w:footer="0" w:header="0"/>
        </w:sectPr>
      </w:pPr>
    </w:p>
    <w:bookmarkStart w:id="85" w:name="page86"/>
    <w:bookmarkEnd w:id="85"/>
    <w:p>
      <w:pPr>
        <w:jc w:val="both"/>
        <w:ind w:left="660" w:firstLine="1293"/>
        <w:spacing w:after="0" w:line="257" w:lineRule="auto"/>
        <w:tabs>
          <w:tab w:leader="none" w:pos="24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insurance certificates or binders for all insurance as the Administrative Agent shall request naming the Administrative Agent, on behalf of the Lenders, as loss payee for any casualty policies and additional insured for any liability policies, in form and substance satisfactory to the Administrative Agent.</w:t>
      </w:r>
    </w:p>
    <w:p>
      <w:pPr>
        <w:spacing w:after="0" w:line="172" w:lineRule="exact"/>
        <w:rPr>
          <w:rFonts w:ascii="Times New Roman" w:cs="Times New Roman" w:eastAsia="Times New Roman" w:hAnsi="Times New Roman"/>
          <w:sz w:val="22"/>
          <w:szCs w:val="22"/>
          <w:color w:val="auto"/>
        </w:rPr>
      </w:pPr>
    </w:p>
    <w:p>
      <w:pPr>
        <w:jc w:val="both"/>
        <w:ind w:left="660" w:firstLine="1293"/>
        <w:spacing w:after="0" w:line="251" w:lineRule="auto"/>
        <w:tabs>
          <w:tab w:leader="none" w:pos="251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Collateral Access Agreement with respect to each material parcel of real property located in the United States and leased by Holdings, the Borrower or any of the Subsidiary Guarantors as the Administrative Agent shall request (or the Borrower shall have undertaken such efforts to obtain same as shall be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deliver Collateral Access Agreements with respect to the Borrower’s inventory located at retail locations or any locations outside the United States.</w:t>
      </w:r>
    </w:p>
    <w:p>
      <w:pPr>
        <w:spacing w:after="0" w:line="181" w:lineRule="exact"/>
        <w:rPr>
          <w:rFonts w:ascii="Times New Roman" w:cs="Times New Roman" w:eastAsia="Times New Roman" w:hAnsi="Times New Roman"/>
          <w:sz w:val="22"/>
          <w:szCs w:val="22"/>
          <w:color w:val="auto"/>
        </w:rPr>
      </w:pPr>
    </w:p>
    <w:p>
      <w:pPr>
        <w:jc w:val="both"/>
        <w:ind w:left="660" w:firstLine="1293"/>
        <w:spacing w:after="0" w:line="253" w:lineRule="auto"/>
        <w:tabs>
          <w:tab w:leader="none" w:pos="240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Collateral Access Agreement with respect to Collateral held by third parties as the Administrative Agent shall request (or the Borrower shall have undertaken such efforts to obtain same as shall be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deliver Collateral Access Agreements with respect to the Borrower’s inventory located at retail locations or any locations outside the United States.</w:t>
      </w:r>
    </w:p>
    <w:p>
      <w:pPr>
        <w:spacing w:after="0" w:line="179" w:lineRule="exact"/>
        <w:rPr>
          <w:rFonts w:ascii="Times New Roman" w:cs="Times New Roman" w:eastAsia="Times New Roman" w:hAnsi="Times New Roman"/>
          <w:sz w:val="22"/>
          <w:szCs w:val="22"/>
          <w:color w:val="auto"/>
        </w:rPr>
      </w:pPr>
    </w:p>
    <w:p>
      <w:pPr>
        <w:ind w:left="660" w:firstLine="1293"/>
        <w:spacing w:after="0" w:line="284" w:lineRule="auto"/>
        <w:tabs>
          <w:tab w:leader="none" w:pos="244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consent hereto from each Exiting Lender in form and substance satisfactory to the Administrative Agent.</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3:00 p.m., New York City time, on July 15, 2015 (and, in the event such conditions are not so satisfied or waived, the Commitments shall terminate at such time).</w:t>
      </w:r>
    </w:p>
    <w:p>
      <w:pPr>
        <w:spacing w:after="0" w:line="175"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b w:val="1"/>
          <w:bCs w:val="1"/>
          <w:i w:val="1"/>
          <w:iCs w:val="1"/>
          <w:color w:val="auto"/>
        </w:rPr>
        <w:t>Each Credit Event</w:t>
      </w:r>
      <w:r>
        <w:rPr>
          <w:rFonts w:ascii="Times New Roman" w:cs="Times New Roman" w:eastAsia="Times New Roman" w:hAnsi="Times New Roman"/>
          <w:sz w:val="22"/>
          <w:szCs w:val="22"/>
          <w:color w:val="auto"/>
        </w:rPr>
        <w:t>. The obligation of each Lender to make a Loan on the occasion of any Borrowing, and of the Issuing Bank to issue, amend, renew or extend any Letter of Credit, is subject to the satisfaction of the following conditions:</w:t>
      </w:r>
    </w:p>
    <w:p>
      <w:pPr>
        <w:spacing w:after="0" w:line="164" w:lineRule="exact"/>
        <w:rPr>
          <w:sz w:val="20"/>
          <w:szCs w:val="20"/>
          <w:color w:val="auto"/>
        </w:rPr>
      </w:pPr>
    </w:p>
    <w:p>
      <w:pPr>
        <w:jc w:val="both"/>
        <w:ind w:left="660" w:firstLine="1293"/>
        <w:spacing w:after="0" w:line="257" w:lineRule="auto"/>
        <w:tabs>
          <w:tab w:leader="none" w:pos="23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Credit Parties set forth in this Agreement and the other Credit Documents shall be true and correct on and as of the date of such Borrowing or the date of issuance, amendment, renewal or extension of such Letter of Credit, as applicable (except to the extent that such representation or warranty expressly refers to an earlier date, in which case it shall be true and correct as of such earlier date).</w:t>
      </w:r>
    </w:p>
    <w:p>
      <w:pPr>
        <w:spacing w:after="0" w:line="172" w:lineRule="exact"/>
        <w:rPr>
          <w:rFonts w:ascii="Times New Roman" w:cs="Times New Roman" w:eastAsia="Times New Roman" w:hAnsi="Times New Roman"/>
          <w:sz w:val="22"/>
          <w:szCs w:val="22"/>
          <w:color w:val="auto"/>
        </w:rPr>
      </w:pPr>
    </w:p>
    <w:p>
      <w:pPr>
        <w:ind w:left="660" w:firstLine="1293"/>
        <w:spacing w:after="0" w:line="284" w:lineRule="auto"/>
        <w:tabs>
          <w:tab w:leader="none" w:pos="249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renewal or extension of such Letter of Credit, as applicable, no Default shall have occurred and be continuing.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625" w:right="239" w:bottom="1440" w:gutter="0" w:footer="0" w:header="0"/>
        </w:sectPr>
      </w:pPr>
    </w:p>
    <w:bookmarkStart w:id="86" w:name="page87"/>
    <w:bookmarkEnd w:id="86"/>
    <w:p>
      <w:pPr>
        <w:jc w:val="both"/>
        <w:spacing w:after="0" w:line="295" w:lineRule="auto"/>
        <w:rPr>
          <w:sz w:val="20"/>
          <w:szCs w:val="20"/>
          <w:color w:val="auto"/>
        </w:rPr>
      </w:pPr>
      <w:r>
        <w:rPr>
          <w:rFonts w:ascii="Times New Roman" w:cs="Times New Roman" w:eastAsia="Times New Roman" w:hAnsi="Times New Roman"/>
          <w:sz w:val="21"/>
          <w:szCs w:val="21"/>
          <w:color w:val="auto"/>
        </w:rPr>
        <w:t>Each Borrowing and each issuance, amendment, renewal or extension of a Letter of Credit shall be deemed to constitute a representation and warranty by the Borrower on the date thereof as to the matters specified in paragraphs (a) and (b) of this Section.</w:t>
      </w:r>
    </w:p>
    <w:p>
      <w:pPr>
        <w:spacing w:after="0" w:line="1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Borrower covenants and agrees with the Lenders that:</w:t>
      </w:r>
    </w:p>
    <w:p>
      <w:pPr>
        <w:spacing w:after="0" w:line="167"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b w:val="1"/>
          <w:bCs w:val="1"/>
          <w:i w:val="1"/>
          <w:iCs w:val="1"/>
          <w:color w:val="auto"/>
        </w:rPr>
        <w:t>Financial Statements; Ratings Change and Other Information</w:t>
      </w:r>
      <w:r>
        <w:rPr>
          <w:rFonts w:ascii="Times New Roman" w:cs="Times New Roman" w:eastAsia="Times New Roman" w:hAnsi="Times New Roman"/>
          <w:sz w:val="21"/>
          <w:szCs w:val="21"/>
          <w:color w:val="auto"/>
        </w:rPr>
        <w:t>. The Borrower will furnish to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each Lender:</w:t>
      </w:r>
    </w:p>
    <w:p>
      <w:pPr>
        <w:spacing w:after="0" w:line="207" w:lineRule="exact"/>
        <w:rPr>
          <w:sz w:val="20"/>
          <w:szCs w:val="20"/>
          <w:color w:val="auto"/>
        </w:rPr>
      </w:pPr>
    </w:p>
    <w:p>
      <w:pPr>
        <w:jc w:val="both"/>
        <w:ind w:left="660" w:firstLine="1293"/>
        <w:spacing w:after="0" w:line="250" w:lineRule="auto"/>
        <w:tabs>
          <w:tab w:leader="none" w:pos="239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each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w:t>
      </w:r>
    </w:p>
    <w:p>
      <w:pPr>
        <w:spacing w:after="0" w:line="181" w:lineRule="exact"/>
        <w:rPr>
          <w:rFonts w:ascii="Times New Roman" w:cs="Times New Roman" w:eastAsia="Times New Roman" w:hAnsi="Times New Roman"/>
          <w:sz w:val="22"/>
          <w:szCs w:val="22"/>
          <w:color w:val="auto"/>
        </w:rPr>
      </w:pPr>
    </w:p>
    <w:p>
      <w:pPr>
        <w:jc w:val="both"/>
        <w:ind w:left="660" w:firstLine="1293"/>
        <w:spacing w:after="0" w:line="250" w:lineRule="auto"/>
        <w:tabs>
          <w:tab w:leader="none" w:pos="241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81" w:lineRule="exact"/>
        <w:rPr>
          <w:rFonts w:ascii="Times New Roman" w:cs="Times New Roman" w:eastAsia="Times New Roman" w:hAnsi="Times New Roman"/>
          <w:sz w:val="22"/>
          <w:szCs w:val="22"/>
          <w:color w:val="auto"/>
        </w:rPr>
      </w:pPr>
    </w:p>
    <w:p>
      <w:pPr>
        <w:jc w:val="both"/>
        <w:ind w:left="660" w:firstLine="1293"/>
        <w:spacing w:after="0" w:line="251" w:lineRule="auto"/>
        <w:tabs>
          <w:tab w:leader="none" w:pos="249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or (b) above, a compliance certificate in the form of Exhibit D and signed by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Sections 6.09, 6.10 and 6.13 and (iii) stating whether any change in GAAP or in the application thereof has occurred since the date of the audited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625" w:right="239" w:bottom="1440" w:gutter="0" w:footer="0" w:header="0"/>
        </w:sectPr>
      </w:pPr>
    </w:p>
    <w:bookmarkStart w:id="87" w:name="page88"/>
    <w:bookmarkEnd w:id="87"/>
    <w:p>
      <w:pPr>
        <w:ind w:left="660" w:right="20"/>
        <w:spacing w:after="0" w:line="271" w:lineRule="auto"/>
        <w:rPr>
          <w:sz w:val="20"/>
          <w:szCs w:val="20"/>
          <w:color w:val="auto"/>
        </w:rPr>
      </w:pPr>
      <w:r>
        <w:rPr>
          <w:rFonts w:ascii="Times New Roman" w:cs="Times New Roman" w:eastAsia="Times New Roman" w:hAnsi="Times New Roman"/>
          <w:sz w:val="22"/>
          <w:szCs w:val="22"/>
          <w:color w:val="auto"/>
        </w:rPr>
        <w:t>referred to in Section 3.04 and, if any such change has occurred, specifying the effect of such change on the financial statements accompanying such certificate;</w:t>
      </w:r>
    </w:p>
    <w:p>
      <w:pPr>
        <w:spacing w:after="0" w:line="158" w:lineRule="exact"/>
        <w:rPr>
          <w:sz w:val="20"/>
          <w:szCs w:val="20"/>
          <w:color w:val="auto"/>
        </w:rPr>
      </w:pPr>
    </w:p>
    <w:p>
      <w:pPr>
        <w:jc w:val="both"/>
        <w:ind w:left="660" w:firstLine="1293"/>
        <w:spacing w:after="0" w:line="263" w:lineRule="auto"/>
        <w:tabs>
          <w:tab w:leader="none" w:pos="23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above, a budget (including, the balance sheet and statement of income and cash flow) of Holdings and its subsidiaries for the then-current fiscal year in which such budget is delivered;</w:t>
      </w:r>
    </w:p>
    <w:p>
      <w:pPr>
        <w:spacing w:after="0" w:line="167" w:lineRule="exact"/>
        <w:rPr>
          <w:rFonts w:ascii="Times New Roman" w:cs="Times New Roman" w:eastAsia="Times New Roman" w:hAnsi="Times New Roman"/>
          <w:sz w:val="22"/>
          <w:szCs w:val="22"/>
          <w:color w:val="auto"/>
        </w:rPr>
      </w:pPr>
    </w:p>
    <w:p>
      <w:pPr>
        <w:jc w:val="both"/>
        <w:ind w:left="660" w:firstLine="1293"/>
        <w:spacing w:after="0" w:line="257" w:lineRule="auto"/>
        <w:tabs>
          <w:tab w:leader="none" w:pos="251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Holdings, the Borrower or any Subsidiary with the Securities and Exchange Commission, or any Governmental Authority succeeding to any or all of the functions of said Commission, or with any national securities exchange; and</w:t>
      </w:r>
    </w:p>
    <w:p>
      <w:pPr>
        <w:spacing w:after="0" w:line="172"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51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Holdings, the Borrower or any Subsidiary, or compliance with the terms of this Agreement, as the Administrative Agent or any Lender may reasonably request.</w:t>
      </w:r>
    </w:p>
    <w:p>
      <w:pPr>
        <w:spacing w:after="0" w:line="162"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2"/>
          <w:szCs w:val="22"/>
          <w:b w:val="1"/>
          <w:bCs w:val="1"/>
          <w:i w:val="1"/>
          <w:iCs w:val="1"/>
          <w:color w:val="auto"/>
        </w:rPr>
        <w:t>Notices of Material Events</w:t>
      </w:r>
      <w:r>
        <w:rPr>
          <w:rFonts w:ascii="Times New Roman" w:cs="Times New Roman" w:eastAsia="Times New Roman" w:hAnsi="Times New Roman"/>
          <w:sz w:val="22"/>
          <w:szCs w:val="22"/>
          <w:color w:val="auto"/>
        </w:rPr>
        <w:t>. The Borrower will furnish to the Administrative Agent and each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prompt written notice of the following:</w:t>
      </w:r>
    </w:p>
    <w:p>
      <w:pPr>
        <w:spacing w:after="0" w:line="207" w:lineRule="exact"/>
        <w:rPr>
          <w:sz w:val="20"/>
          <w:szCs w:val="20"/>
          <w:color w:val="auto"/>
        </w:rPr>
      </w:pPr>
    </w:p>
    <w:p>
      <w:pPr>
        <w:ind w:left="2380" w:hanging="427"/>
        <w:spacing w:after="0"/>
        <w:tabs>
          <w:tab w:leader="none" w:pos="23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33"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63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Borrower or any Affiliate thereof that, if adversely determined, could reasonably be expected to result in a Material Adverse Effect;</w:t>
      </w:r>
    </w:p>
    <w:p>
      <w:pPr>
        <w:spacing w:after="0" w:line="167"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47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Borrower and its Subsidiaries in an aggregate amount exceeding $5,000,000; and</w:t>
      </w:r>
    </w:p>
    <w:p>
      <w:pPr>
        <w:spacing w:after="0" w:line="167"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could reasonably be expected to result in, a Material Adverse</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7"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b w:val="1"/>
          <w:bCs w:val="1"/>
          <w:i w:val="1"/>
          <w:iCs w:val="1"/>
          <w:color w:val="auto"/>
        </w:rPr>
        <w:t>Existence; Conduct of Business</w:t>
      </w:r>
      <w:r>
        <w:rPr>
          <w:rFonts w:ascii="Times New Roman" w:cs="Times New Roman" w:eastAsia="Times New Roman" w:hAnsi="Times New Roman"/>
          <w:sz w:val="22"/>
          <w:szCs w:val="22"/>
          <w:color w:val="auto"/>
        </w:rPr>
        <w:t xml:space="preserve">. The Borrower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Section 6.03.</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625" w:right="239" w:bottom="1440" w:gutter="0" w:footer="0" w:header="0"/>
        </w:sectPr>
      </w:pPr>
    </w:p>
    <w:bookmarkStart w:id="88" w:name="page89"/>
    <w:bookmarkEnd w:id="88"/>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b w:val="1"/>
          <w:bCs w:val="1"/>
          <w:i w:val="1"/>
          <w:iCs w:val="1"/>
          <w:color w:val="auto"/>
        </w:rPr>
        <w:t>Payment of Obligations</w:t>
      </w:r>
      <w:r>
        <w:rPr>
          <w:rFonts w:ascii="Times New Roman" w:cs="Times New Roman" w:eastAsia="Times New Roman" w:hAnsi="Times New Roman"/>
          <w:sz w:val="22"/>
          <w:szCs w:val="22"/>
          <w:color w:val="auto"/>
        </w:rPr>
        <w:t>. The Borrower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b w:val="1"/>
          <w:bCs w:val="1"/>
          <w:i w:val="1"/>
          <w:iCs w:val="1"/>
          <w:color w:val="auto"/>
        </w:rPr>
        <w:t>Maintenance of Properties; Insurance</w:t>
      </w:r>
      <w:r>
        <w:rPr>
          <w:rFonts w:ascii="Times New Roman" w:cs="Times New Roman" w:eastAsia="Times New Roman" w:hAnsi="Times New Roman"/>
          <w:sz w:val="22"/>
          <w:szCs w:val="22"/>
          <w:color w:val="auto"/>
        </w:rPr>
        <w:t>. The Borrower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69"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b w:val="1"/>
          <w:bCs w:val="1"/>
          <w:i w:val="1"/>
          <w:iCs w:val="1"/>
          <w:color w:val="auto"/>
        </w:rPr>
        <w:t>Books and Records; Inspection Rights</w:t>
      </w:r>
      <w:r>
        <w:rPr>
          <w:rFonts w:ascii="Times New Roman" w:cs="Times New Roman" w:eastAsia="Times New Roman" w:hAnsi="Times New Roman"/>
          <w:sz w:val="22"/>
          <w:szCs w:val="22"/>
          <w:color w:val="auto"/>
        </w:rPr>
        <w:t>. The Borrower will, and will cause each of its Subsidiaries to, keep proper books of record and account in which entries are made of all dealings and transactions in relation to its business and activities in accordance with GAAP. The Borrower will, and will cause each of its Subsidiaries to, permit any representatives designated by the Administrative Agent or any Lender, upon reasonable prior notice, to visit and inspect its properties, to examine and make extracts from its books and records (and, at the request of the Required Lenders, to perform audits of such books and records and other data relating to any Collateral which shall not be more than once per calendar year; to discuss its affairs, finances and condition with its officers and independent accountants and, if an Event of Default has occurred and is continuing, to perform appraisals on the Collateral and other tangible assets of the Borrower and each of its Subsidiaries, in each case, at such reasonable times and as often as reasonably requested. All such visits, inspections or audits by the Administrative Agent or any Lender shall be at the Borrower’s expense.</w:t>
      </w:r>
    </w:p>
    <w:p>
      <w:pPr>
        <w:spacing w:after="0" w:line="181"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b w:val="1"/>
          <w:bCs w:val="1"/>
          <w:i w:val="1"/>
          <w:iCs w:val="1"/>
          <w:color w:val="auto"/>
        </w:rPr>
        <w:t>Compliance with Laws</w:t>
      </w:r>
      <w:r>
        <w:rPr>
          <w:rFonts w:ascii="Times New Roman" w:cs="Times New Roman" w:eastAsia="Times New Roman" w:hAnsi="Times New Roman"/>
          <w:sz w:val="22"/>
          <w:szCs w:val="22"/>
          <w:color w:val="auto"/>
        </w:rPr>
        <w:t>. The Borrower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69"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b w:val="1"/>
          <w:bCs w:val="1"/>
          <w:i w:val="1"/>
          <w:iCs w:val="1"/>
          <w:color w:val="auto"/>
        </w:rPr>
        <w:t>Use of Proceeds</w:t>
      </w:r>
      <w:r>
        <w:rPr>
          <w:rFonts w:ascii="Times New Roman" w:cs="Times New Roman" w:eastAsia="Times New Roman" w:hAnsi="Times New Roman"/>
          <w:sz w:val="22"/>
          <w:szCs w:val="22"/>
          <w:color w:val="auto"/>
        </w:rPr>
        <w:t>. The proceeds of the Loans will be used only for general corporate purposes of the Borrower and its Subsidiaries in the ordinary course of business, including Permitted Acquisitions and Restricted Payments permitted hereunder. No part of the proceeds of any Loan will be used, whether directly or indirectly, for any purpose that entails a violation of any of the Regulations of the Board, including Regulations T, U and X. The Borrower will not request any Borrowing or Letter of Credit, and the Borrower shall not use, and shall ensure that its Subsidiaries and its or their respective directors, officers, employees and agents shall not use, the proceeds of any Borrowing or Letter of Credit (a) in furtherance of an offer, payment,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619" w:right="239" w:bottom="1440" w:gutter="0" w:footer="0" w:header="0"/>
        </w:sectPr>
      </w:pPr>
    </w:p>
    <w:bookmarkStart w:id="89" w:name="page90"/>
    <w:bookmarkEnd w:id="89"/>
    <w:p>
      <w:pPr>
        <w:jc w:val="both"/>
        <w:spacing w:after="0" w:line="263" w:lineRule="auto"/>
        <w:rPr>
          <w:sz w:val="20"/>
          <w:szCs w:val="20"/>
          <w:color w:val="auto"/>
        </w:rPr>
      </w:pPr>
      <w:r>
        <w:rPr>
          <w:rFonts w:ascii="Times New Roman" w:cs="Times New Roman" w:eastAsia="Times New Roman" w:hAnsi="Times New Roman"/>
          <w:sz w:val="21"/>
          <w:szCs w:val="21"/>
          <w:color w:val="auto"/>
        </w:rPr>
        <w:t>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 in the United States or (ii) in a European Union member state; provided, however, that subclause (ii) shall apply only to the extent that Borrower or any Affiliate is subject to the jurisdiction of a European Union member state, or (c) in any manner that would result in the violation of any Sanctions applicable to any party hereto.</w:t>
      </w:r>
    </w:p>
    <w:p>
      <w:pPr>
        <w:spacing w:after="0" w:line="162"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b w:val="1"/>
          <w:bCs w:val="1"/>
          <w:i w:val="1"/>
          <w:iCs w:val="1"/>
          <w:color w:val="auto"/>
        </w:rPr>
        <w:t>Further Assurances; etc</w:t>
      </w:r>
      <w:r>
        <w:rPr>
          <w:rFonts w:ascii="Times New Roman" w:cs="Times New Roman" w:eastAsia="Times New Roman" w:hAnsi="Times New Roman"/>
          <w:sz w:val="22"/>
          <w:szCs w:val="22"/>
          <w:color w:val="auto"/>
        </w:rPr>
        <w:t>. (a) The Borrower will, and will cause each of its Subsidiaries to, at the expense of the Borrower, make, execute, endorse, acknowledge, file and/or deliver to the Administrative Agent or the Collateral Agent, as applicable, from time to time such schedules, confirmatory assignments, conveyances, financing statements, transfer endorsements, powers of attorney, certificates, reports, and other assurances or instruments (including, without limitation, Collateral Access Agreements) and take such further steps relating to the Collateral covered by any of the Security Documents as the Administrative Agent or the Collateral Agent, as applicable, may reasonably require to assure the creation, continuation and priority of perfected security interests in the Collateral and as are generally consistent with the terms of this Agreement and the Security Documents. Furthermore, the Borrower will, and will cause its Subsidiaries to, deliver to the Administrative Agent or the Collateral Agent, as applicable, such opinions of counsel and other related documents as may be reasonably requested by the Administrative Agent or the Collateral Agent, as applicable, to assure compliance with this Section 5.09.</w:t>
      </w:r>
    </w:p>
    <w:p>
      <w:pPr>
        <w:spacing w:after="0" w:line="187" w:lineRule="exact"/>
        <w:rPr>
          <w:sz w:val="20"/>
          <w:szCs w:val="20"/>
          <w:color w:val="auto"/>
        </w:rPr>
      </w:pPr>
    </w:p>
    <w:p>
      <w:pPr>
        <w:jc w:val="both"/>
        <w:ind w:firstLine="1305"/>
        <w:spacing w:after="0" w:line="263" w:lineRule="auto"/>
        <w:tabs>
          <w:tab w:leader="none" w:pos="17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each action required by clause (a) of this Section 5.09 shall be completed as soon as reasonably practical, but in no event later than thirty (30) days (or such greater number of days as the Administrative Agent may agree) after such action is requested to be taken by the Administrative Agent or the Required Lenders.</w:t>
      </w:r>
    </w:p>
    <w:p>
      <w:pPr>
        <w:spacing w:after="0" w:line="162"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b w:val="1"/>
          <w:bCs w:val="1"/>
          <w:i w:val="1"/>
          <w:iCs w:val="1"/>
          <w:color w:val="auto"/>
        </w:rPr>
        <w:t>Additional Subsidiary Guarantors and Collateral</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305"/>
        <w:spacing w:after="0" w:line="247" w:lineRule="auto"/>
        <w:tabs>
          <w:tab w:leader="none" w:pos="18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(i) any Domestic Subsidiary which is not a Material Subsidiary on the date hereof (either because it is not a Subsidiary on the date hereof or because it does not on the date hereof meet the other criteria of a Material Subsidiary) becoming a Material Subsidiary (including, pursuant to a Permitted Acquisition), the Borrower shall within ten (10) Business Days (or such longer period as the Administrative Agent may agree) (A) cause such Domestic Subsidiary to (x) execute and deliver to the Administrative Agent for the benefit of the Secured Creditors a joinder to the Subsidiary Guaranty and (y) grant to the Collateral Agent for the benefit of the Secured Creditors a first priority security interest in all personal property owned by such Domestic Subsidiary pursuant to a joinder to the Security Agreement and (B) pledge to the Collateral Agent for the benefit of the Secured Creditors 100% of the total Equity Interests of such Domestic Subsidiary pursuant to an addendum to the Pledge Agreement, or (ii) any Foreign Subsidiary (A) the Equity Interests of which are held directly by the Borrower or a Domestic Subsidiary and (B) which is not, as of the date hereof, a Material Subsidiary (either because it is not a Subsidiary on the date hereof or because it does not on the date hereof meet the criteria for 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625" w:right="239" w:bottom="1440" w:gutter="0" w:footer="0" w:header="0"/>
        </w:sectPr>
      </w:pPr>
    </w:p>
    <w:bookmarkStart w:id="90" w:name="page91"/>
    <w:bookmarkEnd w:id="90"/>
    <w:p>
      <w:pPr>
        <w:jc w:val="both"/>
        <w:spacing w:after="0" w:line="260" w:lineRule="auto"/>
        <w:rPr>
          <w:sz w:val="20"/>
          <w:szCs w:val="20"/>
          <w:color w:val="auto"/>
        </w:rPr>
      </w:pPr>
      <w:r>
        <w:rPr>
          <w:rFonts w:ascii="Times New Roman" w:cs="Times New Roman" w:eastAsia="Times New Roman" w:hAnsi="Times New Roman"/>
          <w:sz w:val="21"/>
          <w:szCs w:val="21"/>
          <w:color w:val="auto"/>
        </w:rPr>
        <w:t>Material Subsidiary) becoming a Material Subsidiary (a “</w:t>
      </w:r>
      <w:r>
        <w:rPr>
          <w:rFonts w:ascii="Times New Roman" w:cs="Times New Roman" w:eastAsia="Times New Roman" w:hAnsi="Times New Roman"/>
          <w:sz w:val="21"/>
          <w:szCs w:val="21"/>
          <w:u w:val="single" w:color="auto"/>
          <w:color w:val="auto"/>
        </w:rPr>
        <w:t>First Tier Material Foreign Subsidiary</w:t>
      </w:r>
      <w:r>
        <w:rPr>
          <w:rFonts w:ascii="Times New Roman" w:cs="Times New Roman" w:eastAsia="Times New Roman" w:hAnsi="Times New Roman"/>
          <w:sz w:val="21"/>
          <w:szCs w:val="21"/>
          <w:color w:val="auto"/>
        </w:rPr>
        <w:t>”), the Borrower shall pledge or cause to be pledged to the Collateral Agent for the benefit of the Secured Creditors a first priority security interest in the Equity Interests of such Foreign Subsidiary of 65% of the total voting Equity Interests of such First Tier Material Foreign Subsidiary and 100% of the non-voting Equity Interests in such First Tier Material Foreign Subsidiary pursuant to the Pledge Agreement (or a joinder to the Pledge Agreement or, if the Administrative Agent shall request, pursuant to a foreign law pledge agreement) and other documentation (including related certificates, opinions and financing statements) reasonably acceptable to the Administrative Agent (such pledge to occur and related documentation to be delivered within ten (10) Business Days (or such longer period as the Administrative Agent may agree) after such Foreign Subsidiary becoming a Material Subsidiary). The Borrower shall promptly notify the Administrative Agent at any time any such Foreign Subsidiary becomes a First Tier Material Foreign Subsidiary.</w:t>
      </w:r>
    </w:p>
    <w:p>
      <w:pPr>
        <w:spacing w:after="0" w:line="171" w:lineRule="exact"/>
        <w:rPr>
          <w:sz w:val="20"/>
          <w:szCs w:val="20"/>
          <w:color w:val="auto"/>
        </w:rPr>
      </w:pPr>
    </w:p>
    <w:p>
      <w:pPr>
        <w:jc w:val="both"/>
        <w:ind w:firstLine="1305"/>
        <w:spacing w:after="0" w:line="245" w:lineRule="auto"/>
        <w:tabs>
          <w:tab w:leader="none" w:pos="17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following a change in the relevant sections of the Code or the regulations, rules, rulings, notices or other official pronouncements issued or promulgated thereunder, the Borrower does not within 30 days after a request from the Administrative Agent or the Required Lenders deliver evidence, in form and substance reasonably satisfactory to the Administrative Agent (which evidence may be in the form of an opinion of counsel), with respect to any Foreign Subsidiary of the Borrower which has not already had all of its stock pledged pursuant to the Pledge Agreement that (i) a pledge of 65% or more of the total Equity Interests of such Foreign Subsidiary entitled to vote and (ii) the entering into by such Foreign Subsidiary of a guaranty in substantially the form of the Subsidiary Guaranty, in any such case could reasonably be expected to cause (A) any undistributed earnings of such Foreign Subsidiary or its parent as determined for Federal income tax purposes to be treated as a deemed dividend to such Foreign Subsidiary’s direct or indirect United States parent for Federal income tax purposes or (B) other Federal income tax consequences to the Credit Parties having an adverse financial consequence to any Credit Party in any material respect, then in the case of a failure to deliver the evidence described in clause (i) above, that portion of such Foreign Subsidiary’s outstanding capital stock not theretofore pledged pursuant to the Pledge Agreement shall be promptly pledged to the Collateral Agent, for the ratable benefit of the Secured Creditors pursuant to the Pledge Agreement (or another pledge or security agreement in substantially similar form, if needed), and in the case of a failure to deliver the evidence described in clause (ii) above such Foreign Subsidiary shall promptly execute and deliver a joinder to the Subsidiary Guaranty (or another guaranty in substantially similar form, if needed), guaranteeing the obligations of the Borrower under the Credit Documents and under any Swap Agreement entered into with a Lender, in each case to the extent that the entering into the Pledge Agreement or Subsidiary Guaranty is permitted by the laws of the respective foreign jurisdiction and with all documents delivered pursuant to this Section 5.10 to be in form and substance reasonably satisfactory to the Administrative Agent.</w:t>
      </w:r>
    </w:p>
    <w:p>
      <w:pPr>
        <w:spacing w:after="0" w:line="1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VI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20" w:lineRule="exact"/>
        <w:rPr>
          <w:sz w:val="20"/>
          <w:szCs w:val="20"/>
          <w:color w:val="auto"/>
        </w:rPr>
      </w:pPr>
    </w:p>
    <w:p>
      <w:pPr>
        <w:ind w:right="20" w:firstLine="1297"/>
        <w:spacing w:after="0" w:line="271"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and all Letters of Credit have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625"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expired or terminated and all LC Disbursements have been reimbursed, the Borrower covenants and agrees with the Lenders that:</w:t>
      </w:r>
    </w:p>
    <w:p>
      <w:pPr>
        <w:spacing w:after="0" w:line="214" w:lineRule="exact"/>
        <w:rPr>
          <w:sz w:val="20"/>
          <w:szCs w:val="20"/>
          <w:color w:val="auto"/>
        </w:rPr>
      </w:pPr>
    </w:p>
    <w:p>
      <w:pPr>
        <w:ind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The Borrower will not, and will not permit any Subsidiary to, create, incur, assume or permit to exist any Indebtedness, except:</w:t>
      </w:r>
    </w:p>
    <w:p>
      <w:pPr>
        <w:spacing w:after="0" w:line="140" w:lineRule="exact"/>
        <w:rPr>
          <w:sz w:val="20"/>
          <w:szCs w:val="20"/>
          <w:color w:val="auto"/>
        </w:rPr>
      </w:pPr>
    </w:p>
    <w:p>
      <w:pPr>
        <w:ind w:left="2380" w:hanging="427"/>
        <w:spacing w:after="0"/>
        <w:tabs>
          <w:tab w:leader="none" w:pos="23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any Credit Document;</w:t>
      </w:r>
    </w:p>
    <w:p>
      <w:pPr>
        <w:spacing w:after="0" w:line="233" w:lineRule="exact"/>
        <w:rPr>
          <w:rFonts w:ascii="Times New Roman" w:cs="Times New Roman" w:eastAsia="Times New Roman" w:hAnsi="Times New Roman"/>
          <w:sz w:val="22"/>
          <w:szCs w:val="22"/>
          <w:color w:val="auto"/>
        </w:rPr>
      </w:pPr>
    </w:p>
    <w:p>
      <w:pPr>
        <w:ind w:left="660" w:right="20" w:firstLine="1293"/>
        <w:spacing w:after="0" w:line="284" w:lineRule="auto"/>
        <w:tabs>
          <w:tab w:leader="none" w:pos="243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6.01 and extensions, renewals and replacements of any such Indebtedness that do not increase the outstanding principal amount thereof;</w:t>
      </w:r>
    </w:p>
    <w:p>
      <w:pPr>
        <w:spacing w:after="0" w:line="144" w:lineRule="exact"/>
        <w:rPr>
          <w:rFonts w:ascii="Times New Roman" w:cs="Times New Roman" w:eastAsia="Times New Roman" w:hAnsi="Times New Roman"/>
          <w:sz w:val="22"/>
          <w:szCs w:val="22"/>
          <w:color w:val="auto"/>
        </w:rPr>
      </w:pPr>
    </w:p>
    <w:p>
      <w:pPr>
        <w:ind w:left="660" w:firstLine="1293"/>
        <w:spacing w:after="0" w:line="284" w:lineRule="auto"/>
        <w:tabs>
          <w:tab w:leader="none" w:pos="238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to any Subsidiary and of any Subsidiary Guarantor to the Borrower or any other Subsidiary Guarantor;</w:t>
      </w:r>
    </w:p>
    <w:p>
      <w:pPr>
        <w:spacing w:after="0" w:line="144" w:lineRule="exact"/>
        <w:rPr>
          <w:rFonts w:ascii="Times New Roman" w:cs="Times New Roman" w:eastAsia="Times New Roman" w:hAnsi="Times New Roman"/>
          <w:sz w:val="22"/>
          <w:szCs w:val="22"/>
          <w:color w:val="auto"/>
        </w:rPr>
      </w:pPr>
    </w:p>
    <w:p>
      <w:pPr>
        <w:ind w:left="660" w:firstLine="1293"/>
        <w:spacing w:after="0" w:line="284" w:lineRule="auto"/>
        <w:tabs>
          <w:tab w:leader="none" w:pos="248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the Borrower of Indebtedness of any Subsidiary Guarantor and by any Subsidiary of Indebtedness of the Borrower or any other Subsidiary Guarantor;</w:t>
      </w:r>
    </w:p>
    <w:p>
      <w:pPr>
        <w:spacing w:after="0" w:line="144"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between or among Subsidiaries which are not Subsidiary Guarantors;</w:t>
      </w:r>
    </w:p>
    <w:p>
      <w:pPr>
        <w:spacing w:after="0" w:line="233" w:lineRule="exact"/>
        <w:rPr>
          <w:rFonts w:ascii="Times New Roman" w:cs="Times New Roman" w:eastAsia="Times New Roman" w:hAnsi="Times New Roman"/>
          <w:sz w:val="22"/>
          <w:szCs w:val="22"/>
          <w:color w:val="auto"/>
        </w:rPr>
      </w:pPr>
    </w:p>
    <w:p>
      <w:pPr>
        <w:jc w:val="both"/>
        <w:ind w:left="660" w:firstLine="1293"/>
        <w:spacing w:after="0" w:line="249" w:lineRule="auto"/>
        <w:tabs>
          <w:tab w:leader="none" w:pos="246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provided that (i) such Indebtedness is incurred prior to or within 90 days after such acquisition or the completion of such construction or improvement and (ii) the aggregate principal amount of Indebtedness permitted by this clause (f) shall not exceed $25,000,000 less the amount of Indebtedness outstanding pursuant to Section 6.01(b) to the extent relating to Indebtedness of the type described in this clause (f) at any time outstanding;</w:t>
      </w:r>
    </w:p>
    <w:p>
      <w:pPr>
        <w:spacing w:after="0" w:line="182"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the Borrower or any Subsidiary as an account party in respect of trade letters of credit;</w:t>
      </w:r>
    </w:p>
    <w:p>
      <w:pPr>
        <w:spacing w:after="0" w:line="244" w:lineRule="exact"/>
        <w:rPr>
          <w:rFonts w:ascii="Times New Roman" w:cs="Times New Roman" w:eastAsia="Times New Roman" w:hAnsi="Times New Roman"/>
          <w:sz w:val="21"/>
          <w:szCs w:val="21"/>
          <w:color w:val="auto"/>
        </w:rPr>
      </w:pPr>
    </w:p>
    <w:p>
      <w:pPr>
        <w:jc w:val="both"/>
        <w:ind w:left="660" w:firstLine="1293"/>
        <w:spacing w:after="0" w:line="257" w:lineRule="auto"/>
        <w:tabs>
          <w:tab w:leader="none" w:pos="236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of the Borrower or any Subsidiary Guarantor; provided, however, that (i) such Indebtedness shall have a final maturity after the Revolving Maturity Date and no scheduled amortization prior to the Revolving Maturity Date and (ii) immediately after giving effect to the incurrence of such Indebtedness and any substantially contemporaneous repayment of other Indebtedness, the Leverage Ratio shall be less than 2.00 to 1.00; and</w:t>
      </w:r>
    </w:p>
    <w:p>
      <w:pPr>
        <w:spacing w:after="0" w:line="172" w:lineRule="exact"/>
        <w:rPr>
          <w:rFonts w:ascii="Times New Roman" w:cs="Times New Roman" w:eastAsia="Times New Roman" w:hAnsi="Times New Roman"/>
          <w:sz w:val="22"/>
          <w:szCs w:val="22"/>
          <w:color w:val="auto"/>
        </w:rPr>
      </w:pPr>
    </w:p>
    <w:p>
      <w:pPr>
        <w:ind w:left="660" w:firstLine="1293"/>
        <w:spacing w:after="0" w:line="284" w:lineRule="auto"/>
        <w:tabs>
          <w:tab w:leader="none" w:pos="247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the Borrower or any Subsidiary in an aggregate principal amount not exceeding $20,000,000 at any time outstanding.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625" w:right="239" w:bottom="1440" w:gutter="0" w:footer="0" w:header="0"/>
        </w:sectPr>
      </w:pPr>
    </w:p>
    <w:bookmarkStart w:id="92" w:name="page93"/>
    <w:bookmarkEnd w:id="92"/>
    <w:p>
      <w:pPr>
        <w:jc w:val="both"/>
        <w:ind w:firstLine="1297"/>
        <w:spacing w:after="0" w:line="266"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b w:val="1"/>
          <w:bCs w:val="1"/>
          <w:i w:val="1"/>
          <w:iCs w:val="1"/>
          <w:color w:val="auto"/>
        </w:rPr>
        <w:t>Liens</w:t>
      </w:r>
      <w:r>
        <w:rPr>
          <w:rFonts w:ascii="Times New Roman" w:cs="Times New Roman" w:eastAsia="Times New Roman" w:hAnsi="Times New Roman"/>
          <w:sz w:val="22"/>
          <w:szCs w:val="22"/>
          <w:color w:val="auto"/>
        </w:rPr>
        <w:t>. The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64" w:lineRule="exact"/>
        <w:rPr>
          <w:sz w:val="20"/>
          <w:szCs w:val="20"/>
          <w:color w:val="auto"/>
        </w:rPr>
      </w:pPr>
    </w:p>
    <w:p>
      <w:pPr>
        <w:ind w:left="2380" w:hanging="427"/>
        <w:spacing w:after="0"/>
        <w:tabs>
          <w:tab w:leader="none" w:pos="23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233" w:lineRule="exact"/>
        <w:rPr>
          <w:rFonts w:ascii="Times New Roman" w:cs="Times New Roman" w:eastAsia="Times New Roman" w:hAnsi="Times New Roman"/>
          <w:sz w:val="22"/>
          <w:szCs w:val="22"/>
          <w:color w:val="auto"/>
        </w:rPr>
      </w:pPr>
    </w:p>
    <w:p>
      <w:pPr>
        <w:jc w:val="both"/>
        <w:ind w:left="660" w:firstLine="1293"/>
        <w:spacing w:after="0" w:line="257" w:lineRule="auto"/>
        <w:tabs>
          <w:tab w:leader="none" w:pos="240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Borrower or any Subsidiary existing on the date hereof and set forth in Schedule 6.02;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72" w:lineRule="exact"/>
        <w:rPr>
          <w:rFonts w:ascii="Times New Roman" w:cs="Times New Roman" w:eastAsia="Times New Roman" w:hAnsi="Times New Roman"/>
          <w:sz w:val="22"/>
          <w:szCs w:val="22"/>
          <w:color w:val="auto"/>
        </w:rPr>
      </w:pPr>
    </w:p>
    <w:p>
      <w:pPr>
        <w:jc w:val="both"/>
        <w:ind w:left="660" w:firstLine="1293"/>
        <w:spacing w:after="0" w:line="250" w:lineRule="auto"/>
        <w:tabs>
          <w:tab w:leader="none" w:pos="249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81" w:lineRule="exact"/>
        <w:rPr>
          <w:rFonts w:ascii="Times New Roman" w:cs="Times New Roman" w:eastAsia="Times New Roman" w:hAnsi="Times New Roman"/>
          <w:sz w:val="22"/>
          <w:szCs w:val="22"/>
          <w:color w:val="auto"/>
        </w:rPr>
      </w:pPr>
    </w:p>
    <w:p>
      <w:pPr>
        <w:jc w:val="both"/>
        <w:ind w:left="660" w:firstLine="1293"/>
        <w:spacing w:after="0" w:line="251" w:lineRule="auto"/>
        <w:tabs>
          <w:tab w:leader="none" w:pos="242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constructed or improved by the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security interests secure Indebtedness permitted by clause (f) of Section 6.01, (ii) such security interests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the Borrower or any Subsidiary;</w:t>
      </w:r>
    </w:p>
    <w:p>
      <w:pPr>
        <w:spacing w:after="0" w:line="181" w:lineRule="exact"/>
        <w:rPr>
          <w:rFonts w:ascii="Times New Roman" w:cs="Times New Roman" w:eastAsia="Times New Roman" w:hAnsi="Times New Roman"/>
          <w:sz w:val="22"/>
          <w:szCs w:val="22"/>
          <w:color w:val="auto"/>
        </w:rPr>
      </w:pPr>
    </w:p>
    <w:p>
      <w:pPr>
        <w:ind w:left="660" w:right="20" w:firstLine="1293"/>
        <w:spacing w:after="0" w:line="284" w:lineRule="auto"/>
        <w:tabs>
          <w:tab w:leader="none" w:pos="243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in respect of Capital Lease Obligations in an aggregate principal amount not to exceed $25,000,000 at any time outstanding;</w:t>
      </w:r>
    </w:p>
    <w:p>
      <w:pPr>
        <w:spacing w:after="0" w:line="144"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pursuant to the Security Documents;</w:t>
      </w:r>
    </w:p>
    <w:p>
      <w:pPr>
        <w:spacing w:after="0" w:line="233" w:lineRule="exact"/>
        <w:rPr>
          <w:rFonts w:ascii="Times New Roman" w:cs="Times New Roman" w:eastAsia="Times New Roman" w:hAnsi="Times New Roman"/>
          <w:sz w:val="22"/>
          <w:szCs w:val="22"/>
          <w:color w:val="auto"/>
        </w:rPr>
      </w:pPr>
    </w:p>
    <w:p>
      <w:pPr>
        <w:jc w:val="both"/>
        <w:ind w:left="660" w:firstLine="1293"/>
        <w:spacing w:after="0" w:line="273" w:lineRule="auto"/>
        <w:tabs>
          <w:tab w:leader="none" w:pos="256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consensual Liens of landlords on property of the Borrower or its Subsidiaries present on leased locations of the Borrower or its Subsidiaries, which Liens are subordinated to the Liens arising pursuant to the Security Documents on terms and pursuant to documentation reasonably satisfactory to the Administrative Agent (which documentation the Administrative Agent and the Collateral Agent are hereby authorized to enter into by the Lenders);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619" w:right="239" w:bottom="1440" w:gutter="0" w:footer="0" w:header="0"/>
        </w:sectPr>
      </w:pPr>
    </w:p>
    <w:bookmarkStart w:id="93" w:name="page94"/>
    <w:bookmarkEnd w:id="93"/>
    <w:p>
      <w:pPr>
        <w:ind w:left="660" w:firstLine="1293"/>
        <w:spacing w:after="0" w:line="284" w:lineRule="auto"/>
        <w:tabs>
          <w:tab w:leader="none" w:pos="24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upon property not constituting Collateral securing Indebtedness or other obligations in an aggregate principal amount not to exceed $10,000,000 at any time outstanding.</w:t>
      </w:r>
    </w:p>
    <w:p>
      <w:pPr>
        <w:spacing w:after="0" w:line="13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b w:val="1"/>
          <w:bCs w:val="1"/>
          <w:i w:val="1"/>
          <w:iCs w:val="1"/>
          <w:color w:val="auto"/>
        </w:rPr>
        <w:t>Fundamental Changes; Asset Sales</w:t>
      </w:r>
      <w:r>
        <w:rPr>
          <w:rFonts w:ascii="Times New Roman" w:cs="Times New Roman" w:eastAsia="Times New Roman" w:hAnsi="Times New Roman"/>
          <w:sz w:val="22"/>
          <w:szCs w:val="22"/>
          <w:color w:val="auto"/>
        </w:rPr>
        <w:t xml:space="preserve">. (b) The Borrower will not, and will not permit any Subsidiary to, merge into or consolidate with any other Person, or permit any other Person to merge into or consolidate with it, or liquidate or dissolve, except that, if at the time thereof and immediately after giving effect thereto no Default shall have occurred and be continuing (i) any Subsidiary may merge into the Borrower in a transaction in which the Borrower is the surviving corporation, (ii) any Person may merge into any Subsidiary in a transaction in which the surviving entity is a Subsidiary (and, if either such Subsidiary is a Guarantor, then the surviving entity shall also be a Guarantor) and (iii) any Subsidiary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merger involving a Person that is not a Wholly-Owned Subsidiary immediately prior to such merger shall not be permitted unless also permitted by Section 6.04.</w:t>
      </w:r>
    </w:p>
    <w:p>
      <w:pPr>
        <w:spacing w:after="0" w:line="183" w:lineRule="exact"/>
        <w:rPr>
          <w:sz w:val="20"/>
          <w:szCs w:val="20"/>
          <w:color w:val="auto"/>
        </w:rPr>
      </w:pPr>
    </w:p>
    <w:p>
      <w:pPr>
        <w:jc w:val="both"/>
        <w:ind w:firstLine="1305"/>
        <w:spacing w:after="0" w:line="249" w:lineRule="auto"/>
        <w:tabs>
          <w:tab w:leader="none" w:pos="174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will not, and will not permit any Subsidiary to, make any Asset Disposition except for (i) Asset Dispositions among the Credit Parties, (ii) Asset Dispositions by Foreign Subsidiaries that are not Subsidiary Guarantors to the Borrower or any Subsidiary Guarantor, (iii) Asset Dispositions expressly permitted by Sections 6.04, 6.06 or 6.07 and (iv) other Asset Dispositions of property that, together with all other property of the Borrower and its Subsidiaries previously leased, sold or disposed of in Asset Dispositions made pursuant to Section 6.03(b)(iv) during the twelve-month period ending with the month in which any such lease, sale or other disposition occurs, do not constitute a Substantial Portion of the property of the Borrower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Collateral that is subject to an Asset Disposition permitted by this Section 6.03(b) shall be released from the Liens of the Security Documents as set forth in the penultimate paragraph in Article VIII.</w:t>
      </w:r>
    </w:p>
    <w:p>
      <w:pPr>
        <w:spacing w:after="0" w:line="18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2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not, and will not permit any of its Subsidiaries to, engage to any material extent in any business other than businesses of the type conducted by the Borrower and its Subsidiaries on the date of execution of this Agreement and businesses reasonably related thereto.</w:t>
      </w:r>
    </w:p>
    <w:p>
      <w:pPr>
        <w:spacing w:after="0" w:line="162"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b w:val="1"/>
          <w:bCs w:val="1"/>
          <w:i w:val="1"/>
          <w:iCs w:val="1"/>
          <w:color w:val="auto"/>
        </w:rPr>
        <w:t>Investments, Loans, Advances, Guarantees and Acquisitions</w:t>
      </w:r>
      <w:r>
        <w:rPr>
          <w:rFonts w:ascii="Times New Roman" w:cs="Times New Roman" w:eastAsia="Times New Roman" w:hAnsi="Times New Roman"/>
          <w:sz w:val="22"/>
          <w:szCs w:val="22"/>
          <w:color w:val="auto"/>
        </w:rPr>
        <w:t>. The Borrower will not, and will not permit any of its Subsidiaries to, purchase, hold or acquire (including pursuant to any merger with any Person that was not a Wholly-Owned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81"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Permitted Investments;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625" w:right="239" w:bottom="1440" w:gutter="0" w:footer="0" w:header="0"/>
        </w:sectPr>
      </w:pPr>
    </w:p>
    <w:bookmarkStart w:id="94" w:name="page95"/>
    <w:bookmarkEnd w:id="94"/>
    <w:p>
      <w:pPr>
        <w:ind w:left="1740" w:hanging="435"/>
        <w:spacing w:after="0"/>
        <w:tabs>
          <w:tab w:leader="none" w:pos="17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existing on the date hereof in the capital stock of its Subsidiaries;</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advances or investments made among the Domestic Credit Parties;</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constituting Indebtedness permitted by Section 6.01;</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73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made to employees and shareholders of the Borrower in an aggregate principal amount not to exceed $500,000 at any time outstanding;</w:t>
      </w:r>
    </w:p>
    <w:p>
      <w:pPr>
        <w:spacing w:after="0" w:line="144" w:lineRule="exact"/>
        <w:rPr>
          <w:rFonts w:ascii="Times New Roman" w:cs="Times New Roman" w:eastAsia="Times New Roman" w:hAnsi="Times New Roman"/>
          <w:sz w:val="22"/>
          <w:szCs w:val="22"/>
          <w:color w:val="auto"/>
        </w:rPr>
      </w:pPr>
    </w:p>
    <w:p>
      <w:pPr>
        <w:jc w:val="both"/>
        <w:ind w:firstLine="1305"/>
        <w:spacing w:after="0" w:line="258" w:lineRule="auto"/>
        <w:tabs>
          <w:tab w:leader="none" w:pos="17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this Section 6.04(f) and the requirements contained in the definition of Permitted Acquisition, the Borrower and its Wholly-Owned Subsidiaries may from time to time effect Permitted Acquisitions, so long as: (i) no Default shall have occurred and be continuing at the time of the consummation of the proposed Permitted Acquisition or immediately after giving effect thereto; (ii) with respect to any Permitted Acquisition not permitted by Section 6.04(h), the consideration to be paid by the Borrower and its Wholly-Owned Subsidiaries for such Permitted Acquisition, when aggregated with the consideration paid for all other Permitted Acquisitions not permitted by Section 6.04(h) and consummated since the Effective Date, is less than $20,000,000; (iii) the Borrower shall have given to the Administrative Agent written notice of such proposed Permitted Acquisition on the earlier of (x) the date on which the Permitted Acquisition is publicly announced and (y) ten (10) Business Days prior to consummation of such Permitted Acquisition (or such shorter period of time as may be reasonably acceptable to the Administrative Agent), which notice shall be executed by its chief financial officer or treasurer and (A) shall describe in reasonable detail the principal terms and conditions of such Permitted Acquisition and (B) include computations in reasonable detail reflecting that after giving effect to such proposed Permitted Acquisition and any Indebtedness to be incurred in connection therewith, the Borrower is in compliance with Sections 6.09 and 6.10 hereof; and (iv) at the time of any such Permitted Acquisition involving the creation or acquisition of a Subsidiary, or the acquisition of capital stock or other Equity Interest of any Person, the Borrower and its Subsidiaries shall have complied with Section 5.10 and the Security Documents;</w:t>
      </w:r>
    </w:p>
    <w:p>
      <w:pPr>
        <w:spacing w:after="0" w:line="184" w:lineRule="exact"/>
        <w:rPr>
          <w:rFonts w:ascii="Times New Roman" w:cs="Times New Roman" w:eastAsia="Times New Roman" w:hAnsi="Times New Roman"/>
          <w:sz w:val="21"/>
          <w:szCs w:val="21"/>
          <w:color w:val="auto"/>
        </w:rPr>
      </w:pPr>
    </w:p>
    <w:p>
      <w:pPr>
        <w:jc w:val="both"/>
        <w:ind w:firstLine="1305"/>
        <w:spacing w:after="0" w:line="263" w:lineRule="auto"/>
        <w:tabs>
          <w:tab w:leader="none" w:pos="197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or any of its Subsidiaries in Foreign Subsidiaries in an aggregate amount (calculated by reference to the initial amounts thereof without giving effect to subsequent appreciation or depreciation of the value of the investment or dividends or distributions in respect thereof) not to exceed $50,000,000 at any time outstanding;</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6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or any of its Subsidiaries so long as, immediately after giving effect to any such investment and the incurrence of any related Indebtedness, the Leverage Ratio shall be less than 2.00 to 1.00 and, in the case of investments for aggregate consideration in excess of $10,000,000, the Borrower shall have given at least ten (10) Business Days’ notice thereof to the Administrative Agent (or such shorter period of time as may be reasonably acceptable to the Administrative Agent) accompanied by computations in reasonable details reflecting compliance with such Leverage Ratio requirement; and</w:t>
      </w:r>
    </w:p>
    <w:p>
      <w:pPr>
        <w:spacing w:after="0" w:line="179" w:lineRule="exact"/>
        <w:rPr>
          <w:rFonts w:ascii="Times New Roman" w:cs="Times New Roman" w:eastAsia="Times New Roman" w:hAnsi="Times New Roman"/>
          <w:sz w:val="22"/>
          <w:szCs w:val="22"/>
          <w:color w:val="auto"/>
        </w:rPr>
      </w:pPr>
    </w:p>
    <w:p>
      <w:pPr>
        <w:ind w:firstLine="1305"/>
        <w:spacing w:after="0" w:line="284" w:lineRule="auto"/>
        <w:tabs>
          <w:tab w:leader="none" w:pos="169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(calculated by reference to the initial amounts thereof without giving effect to subsequent appreciation or depreciation of the value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625"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of the investment or dividends or distributions in respect thereof) not to exceed $20,000,000 at any time outstanding.</w:t>
      </w:r>
    </w:p>
    <w:p>
      <w:pPr>
        <w:spacing w:after="0" w:line="214"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b w:val="1"/>
          <w:bCs w:val="1"/>
          <w:i w:val="1"/>
          <w:iCs w:val="1"/>
          <w:color w:val="auto"/>
        </w:rPr>
        <w:t>Swap Agreements</w:t>
      </w:r>
      <w:r>
        <w:rPr>
          <w:rFonts w:ascii="Times New Roman" w:cs="Times New Roman" w:eastAsia="Times New Roman" w:hAnsi="Times New Roman"/>
          <w:sz w:val="22"/>
          <w:szCs w:val="22"/>
          <w:color w:val="auto"/>
        </w:rPr>
        <w:t>. The Borrower will not, and will not permit any of its Subsidiaries to, enter into any Swap Agreement, except (a) Swap Agreements entered into to hedge or mitigate risks to which the Borrower or any Subsidiary has actual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75"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b w:val="1"/>
          <w:bCs w:val="1"/>
          <w:i w:val="1"/>
          <w:iCs w:val="1"/>
          <w:color w:val="auto"/>
        </w:rPr>
        <w:t>Restricted Payments</w:t>
      </w:r>
      <w:r>
        <w:rPr>
          <w:rFonts w:ascii="Times New Roman" w:cs="Times New Roman" w:eastAsia="Times New Roman" w:hAnsi="Times New Roman"/>
          <w:sz w:val="21"/>
          <w:szCs w:val="21"/>
          <w:color w:val="auto"/>
        </w:rPr>
        <w:t>. The Borrower will not, and will not permit any of its Subsidiaries to, declare, pay or make, or agree to declare, pay or make, directly or indirectly, any Restricted Payment, except that (a) the Borrower may declare and pay dividends with respect to its Equity Interests payable solely in additional shares of its common stock,</w:t>
      </w:r>
    </w:p>
    <w:p>
      <w:pPr>
        <w:spacing w:after="0" w:line="1" w:lineRule="exact"/>
        <w:rPr>
          <w:sz w:val="20"/>
          <w:szCs w:val="20"/>
          <w:color w:val="auto"/>
        </w:rPr>
      </w:pPr>
    </w:p>
    <w:p>
      <w:pPr>
        <w:jc w:val="both"/>
        <w:ind w:firstLine="8"/>
        <w:spacing w:after="0" w:line="257" w:lineRule="auto"/>
        <w:tabs>
          <w:tab w:leader="none" w:pos="31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Subsidiaries may declare and pay dividends ratably with respect to their Equity Interests, (c) so long as no Default exists either immediately before or immediately after giving effect thereto and to any related incurrence of Indebtedness, at any time prior to February 8, 2017, the Borrower may pay dividends to Holdings which are used by Holdings to repurchase its Equity Interests for an aggregate amount not to exceed $40,000,000 pursuant to repurchase plans approved by Holdings board of directors on or about September 8, 2014, which amount shall be reduced by the amount of any repurchases made pursuant to such plans which have occurred on or prior to the Effective Date and (d) ) so long as no Default exists either immediately before or immediately after giving effect thereto and to any related incurrence of Indebtedness, the Borrower may make other Restricted Payments aggregating not more than $60,000,000 subsequent to the Effective Date and on or prior to the Revolving Maturity Date.</w:t>
      </w:r>
    </w:p>
    <w:p>
      <w:pPr>
        <w:spacing w:after="0" w:line="170"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b w:val="1"/>
          <w:bCs w:val="1"/>
          <w:i w:val="1"/>
          <w:iCs w:val="1"/>
          <w:color w:val="auto"/>
        </w:rPr>
        <w:t>Transactions with Affiliates</w:t>
      </w:r>
      <w:r>
        <w:rPr>
          <w:rFonts w:ascii="Times New Roman" w:cs="Times New Roman" w:eastAsia="Times New Roman" w:hAnsi="Times New Roman"/>
          <w:sz w:val="22"/>
          <w:szCs w:val="22"/>
          <w:color w:val="auto"/>
        </w:rPr>
        <w:t>. The Borrower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Subsidiary than could be obtained on an arm’s-length basis from unrelated third parties, (b) transactions between or among the Credit Parties not involving any other Affiliate and (c) any Restricted Payment permitted by Section 6.06.</w:t>
      </w:r>
    </w:p>
    <w:p>
      <w:pPr>
        <w:spacing w:after="0" w:line="175" w:lineRule="exact"/>
        <w:rPr>
          <w:sz w:val="20"/>
          <w:szCs w:val="20"/>
          <w:color w:val="auto"/>
        </w:rPr>
      </w:pPr>
    </w:p>
    <w:p>
      <w:pPr>
        <w:jc w:val="both"/>
        <w:ind w:firstLine="1297"/>
        <w:spacing w:after="0" w:line="262"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b w:val="1"/>
          <w:bCs w:val="1"/>
          <w:i w:val="1"/>
          <w:iCs w:val="1"/>
          <w:color w:val="auto"/>
        </w:rPr>
        <w:t>Restrictive Agreements</w:t>
      </w:r>
      <w:r>
        <w:rPr>
          <w:rFonts w:ascii="Times New Roman" w:cs="Times New Roman" w:eastAsia="Times New Roman" w:hAnsi="Times New Roman"/>
          <w:sz w:val="21"/>
          <w:szCs w:val="21"/>
          <w:color w:val="auto"/>
        </w:rPr>
        <w:t>. The Borrower will not, and will not permit any of its Subsidiaries to, directly or indirectly, enter into, incur or permit to exist any agreement or other arrangement that prohibits, restricts or imposes any condition upon (a) the ability of the Borrower or any Subsidiary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Indebtedness of the Borrower or any other Subsidiary; provided that (i) the foregoing shall not apply to restrictions and conditions imposed by law or by this Agreement,</w:t>
      </w:r>
    </w:p>
    <w:p>
      <w:pPr>
        <w:spacing w:after="0" w:line="1" w:lineRule="exact"/>
        <w:rPr>
          <w:sz w:val="20"/>
          <w:szCs w:val="20"/>
          <w:color w:val="auto"/>
        </w:rPr>
      </w:pPr>
    </w:p>
    <w:p>
      <w:pPr>
        <w:ind w:firstLine="8"/>
        <w:spacing w:after="0" w:line="248" w:lineRule="auto"/>
        <w:tabs>
          <w:tab w:leader="none" w:pos="33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shall not apply to restrictions and conditions existing on the date hereof identified on Schedule 6.08 (but shall apply to any extension or renewal of, or any amendment or modification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625" w:right="2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2"/>
          <w:szCs w:val="22"/>
          <w:color w:val="auto"/>
        </w:rPr>
        <w:t>expanding the scope of, any such restriction or condition), (iii) the foregoing shall not apply to customary restrictions and conditions contained in agreements relating to the sale of a Subsidiary pending such sale, provided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restricting the assignment thereof.</w:t>
      </w:r>
    </w:p>
    <w:p>
      <w:pPr>
        <w:spacing w:after="0" w:line="175" w:lineRule="exact"/>
        <w:rPr>
          <w:sz w:val="20"/>
          <w:szCs w:val="20"/>
          <w:color w:val="auto"/>
        </w:rPr>
      </w:pPr>
    </w:p>
    <w:p>
      <w:pPr>
        <w:jc w:val="both"/>
        <w:ind w:right="20"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b w:val="1"/>
          <w:bCs w:val="1"/>
          <w:i w:val="1"/>
          <w:iCs w:val="1"/>
          <w:color w:val="auto"/>
        </w:rPr>
        <w:t>Minimum EBITDAR</w:t>
      </w:r>
      <w:r>
        <w:rPr>
          <w:rFonts w:ascii="Times New Roman" w:cs="Times New Roman" w:eastAsia="Times New Roman" w:hAnsi="Times New Roman"/>
          <w:sz w:val="22"/>
          <w:szCs w:val="22"/>
          <w:color w:val="auto"/>
        </w:rPr>
        <w:t>. The Borrower will not permit the ratio of (a) EBITDAR to (b) the sum of Total Interest Expense plus Rentals to be less than 2.50 to 1.00 at all times.</w:t>
      </w:r>
    </w:p>
    <w:p>
      <w:pPr>
        <w:spacing w:after="0" w:line="134" w:lineRule="exact"/>
        <w:rPr>
          <w:sz w:val="20"/>
          <w:szCs w:val="20"/>
          <w:color w:val="auto"/>
        </w:rPr>
      </w:pPr>
    </w:p>
    <w:p>
      <w:pPr>
        <w:jc w:val="both"/>
        <w:ind w:right="20"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b w:val="1"/>
          <w:bCs w:val="1"/>
          <w:i w:val="1"/>
          <w:iCs w:val="1"/>
          <w:color w:val="auto"/>
        </w:rPr>
        <w:t>Maximum Leverage Ratio</w:t>
      </w:r>
      <w:r>
        <w:rPr>
          <w:rFonts w:ascii="Times New Roman" w:cs="Times New Roman" w:eastAsia="Times New Roman" w:hAnsi="Times New Roman"/>
          <w:sz w:val="22"/>
          <w:szCs w:val="22"/>
          <w:color w:val="auto"/>
        </w:rPr>
        <w:t>. The Borrower will cause the Leverage Ratio to be less than 3.50 to 1.00 at all times.</w:t>
      </w:r>
    </w:p>
    <w:p>
      <w:pPr>
        <w:spacing w:after="0" w:line="134"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b w:val="1"/>
          <w:bCs w:val="1"/>
          <w:i w:val="1"/>
          <w:iCs w:val="1"/>
          <w:color w:val="auto"/>
        </w:rPr>
        <w:t>Subordinated Indebtedness; Other Indebtedness and Payments</w:t>
      </w:r>
      <w:r>
        <w:rPr>
          <w:rFonts w:ascii="Times New Roman" w:cs="Times New Roman" w:eastAsia="Times New Roman" w:hAnsi="Times New Roman"/>
          <w:sz w:val="22"/>
          <w:szCs w:val="22"/>
          <w:color w:val="auto"/>
        </w:rPr>
        <w:t>. The Borrower will not, and will not permit any Subsidiary to, make any amendment or modification to the indenture, note or other agreement evidencing or governing any subordinated Indebtedness or directly or indirectly voluntarily prepay, defease or in substance defease, purchase, redeem, retire or otherwise acquire, any subordinated Indebtedness except as expressly permitted by the terms of the applicable subordination agreement. The Borrower will not, and will not permit any Subsidiary to, directly or indirectly voluntarily prepay, defease or in substance defease, purchase, redeem, retire or otherwise acquire, any single Indebtedness that constitutes a Material Indebtedness or collective Indebtedness that constitutes Material Indebtedness or any subordinated Indebtedness prior to the date when due (other than its obligations hereunder) while a Default has occurred and is continuing or in violation of any relevant term of subordination.</w:t>
      </w:r>
    </w:p>
    <w:p>
      <w:pPr>
        <w:spacing w:after="0" w:line="177"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b w:val="1"/>
          <w:bCs w:val="1"/>
          <w:i w:val="1"/>
          <w:iCs w:val="1"/>
          <w:color w:val="auto"/>
        </w:rPr>
        <w:t>Use of Proceeds</w:t>
      </w:r>
      <w:r>
        <w:rPr>
          <w:rFonts w:ascii="Times New Roman" w:cs="Times New Roman" w:eastAsia="Times New Roman" w:hAnsi="Times New Roman"/>
          <w:sz w:val="22"/>
          <w:szCs w:val="22"/>
          <w:color w:val="auto"/>
        </w:rPr>
        <w:t>. The Borrower will not request any Borrowing or Letter of Credit, and the Borrower shall not use, and shall ensure that its Subsidiaries and its or their respective directors, officers, employees and agents shall not use, the proceeds of any Borrowing or Letter of Credit directly or, to the knowledge of the Borrower, indirectly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74"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b w:val="1"/>
          <w:bCs w:val="1"/>
          <w:i w:val="1"/>
          <w:iCs w:val="1"/>
          <w:color w:val="auto"/>
        </w:rPr>
        <w:t>Capital Expenditures</w:t>
      </w:r>
      <w:r>
        <w:rPr>
          <w:rFonts w:ascii="Times New Roman" w:cs="Times New Roman" w:eastAsia="Times New Roman" w:hAnsi="Times New Roman"/>
          <w:sz w:val="22"/>
          <w:szCs w:val="22"/>
          <w:color w:val="auto"/>
        </w:rPr>
        <w:t>. The Borrower will not, and will not permit any Subsidiary to, make any Capital Expenditure if, giving effect thereto, the aggregate amount of Capital Expenditures of the Borrower and its Subsidiaries would exceed (i) in the case of the fiscal year ending January 30, 2016, $40,000,000 or (ii) in the case of any subsequent fiscal year, the sum of (a) $15,000,000 plus (b) an amount equal to 50% of EBITDA (which shall be calculated for purposes of this Section 6.13 by excluding the add-backs set forth in clauses (e) and (f) of the definition thereof) for the preceding fiscal year.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625" w:right="239" w:bottom="1440" w:gutter="0" w:footer="0" w:header="0"/>
        </w:sectPr>
      </w:pPr>
    </w:p>
    <w:bookmarkStart w:id="97" w:name="page98"/>
    <w:bookmarkEnd w:id="97"/>
    <w:p>
      <w:pPr>
        <w:ind w:left="3780"/>
        <w:spacing w:after="0"/>
        <w:rPr>
          <w:sz w:val="20"/>
          <w:szCs w:val="20"/>
          <w:color w:val="auto"/>
        </w:rPr>
      </w:pPr>
      <w:r>
        <w:rPr>
          <w:rFonts w:ascii="Times New Roman" w:cs="Times New Roman" w:eastAsia="Times New Roman" w:hAnsi="Times New Roman"/>
          <w:sz w:val="22"/>
          <w:szCs w:val="22"/>
          <w:color w:val="auto"/>
        </w:rPr>
        <w:t>ARTICLE VII</w:t>
      </w:r>
    </w:p>
    <w:p>
      <w:pPr>
        <w:spacing w:after="0" w:line="27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w:t>
      </w:r>
    </w:p>
    <w:p>
      <w:pPr>
        <w:spacing w:after="0" w:line="220" w:lineRule="exact"/>
        <w:rPr>
          <w:sz w:val="20"/>
          <w:szCs w:val="20"/>
          <w:color w:val="auto"/>
        </w:rPr>
      </w:pPr>
    </w:p>
    <w:p>
      <w:pPr>
        <w:jc w:val="both"/>
        <w:ind w:left="-540" w:firstLine="1293"/>
        <w:spacing w:after="0" w:line="263" w:lineRule="auto"/>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or any reimbursement obligation in respect of any LC Disbursement or any cash collateral amount due pursuant to Section 2.06(j) when and as the same shall become due and payable, whether at the due date thereof or at a date fixed for prepayment thereof or otherwise;</w:t>
      </w:r>
    </w:p>
    <w:p>
      <w:pPr>
        <w:spacing w:after="0" w:line="167" w:lineRule="exact"/>
        <w:rPr>
          <w:rFonts w:ascii="Times New Roman" w:cs="Times New Roman" w:eastAsia="Times New Roman" w:hAnsi="Times New Roman"/>
          <w:sz w:val="22"/>
          <w:szCs w:val="22"/>
          <w:color w:val="auto"/>
        </w:rPr>
      </w:pPr>
    </w:p>
    <w:p>
      <w:pPr>
        <w:jc w:val="both"/>
        <w:ind w:left="-540" w:firstLine="1293"/>
        <w:spacing w:after="0" w:line="263" w:lineRule="auto"/>
        <w:tabs>
          <w:tab w:leader="none" w:pos="119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days;</w:t>
      </w:r>
    </w:p>
    <w:p>
      <w:pPr>
        <w:spacing w:after="0" w:line="167" w:lineRule="exact"/>
        <w:rPr>
          <w:rFonts w:ascii="Times New Roman" w:cs="Times New Roman" w:eastAsia="Times New Roman" w:hAnsi="Times New Roman"/>
          <w:sz w:val="22"/>
          <w:szCs w:val="22"/>
          <w:color w:val="auto"/>
        </w:rPr>
      </w:pPr>
    </w:p>
    <w:p>
      <w:pPr>
        <w:jc w:val="both"/>
        <w:ind w:left="-540" w:firstLine="1293"/>
        <w:spacing w:after="0" w:line="268" w:lineRule="auto"/>
        <w:tabs>
          <w:tab w:leader="none" w:pos="118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or deemed made by or on behalf of the Borrower or any Subsidiary in or in connection with this Agreement or any other Credit Document or any amendment or modification hereof or waiver hereunder or thereunder, or in any report, certificate, financial statement or other document furnished pursuant to or in connection with this Agreement or any other Credit Document or any amendment or modification hereof or waiver hereunder or thereunder, shall prove to have been incorrect in any material respect when made or deemed made;</w:t>
      </w:r>
    </w:p>
    <w:p>
      <w:pPr>
        <w:spacing w:after="0" w:line="164" w:lineRule="exact"/>
        <w:rPr>
          <w:rFonts w:ascii="Times New Roman" w:cs="Times New Roman" w:eastAsia="Times New Roman" w:hAnsi="Times New Roman"/>
          <w:sz w:val="21"/>
          <w:szCs w:val="21"/>
          <w:color w:val="auto"/>
        </w:rPr>
      </w:pPr>
    </w:p>
    <w:p>
      <w:pPr>
        <w:ind w:left="-540" w:firstLine="1293"/>
        <w:spacing w:after="0" w:line="284" w:lineRule="auto"/>
        <w:tabs>
          <w:tab w:leader="none" w:pos="115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observe or perform any covenant, condition or agreement contained in Section 5.02, 5.03 (with respect to the Borrower’s existence), 5.08 or 9.17 or in Article VI;</w:t>
      </w:r>
    </w:p>
    <w:p>
      <w:pPr>
        <w:spacing w:after="0" w:line="144" w:lineRule="exact"/>
        <w:rPr>
          <w:rFonts w:ascii="Times New Roman" w:cs="Times New Roman" w:eastAsia="Times New Roman" w:hAnsi="Times New Roman"/>
          <w:sz w:val="22"/>
          <w:szCs w:val="22"/>
          <w:color w:val="auto"/>
        </w:rPr>
      </w:pPr>
    </w:p>
    <w:p>
      <w:pPr>
        <w:jc w:val="both"/>
        <w:ind w:left="-540" w:firstLine="1293"/>
        <w:spacing w:after="0" w:line="257" w:lineRule="auto"/>
        <w:tabs>
          <w:tab w:leader="none" w:pos="130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Borrower (which notice will be given at the request of any Lender);</w:t>
      </w:r>
    </w:p>
    <w:p>
      <w:pPr>
        <w:spacing w:after="0" w:line="172" w:lineRule="exact"/>
        <w:rPr>
          <w:rFonts w:ascii="Times New Roman" w:cs="Times New Roman" w:eastAsia="Times New Roman" w:hAnsi="Times New Roman"/>
          <w:sz w:val="22"/>
          <w:szCs w:val="22"/>
          <w:color w:val="auto"/>
        </w:rPr>
      </w:pPr>
    </w:p>
    <w:p>
      <w:pPr>
        <w:ind w:left="-540" w:right="20" w:firstLine="1293"/>
        <w:spacing w:after="0" w:line="284" w:lineRule="auto"/>
        <w:tabs>
          <w:tab w:leader="none" w:pos="127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Subsidiary shall fail to make any payment (whether of principal or interest and regardless of amount) in respect of any Material Indebtedness, when and as the same shall become due and payable;</w:t>
      </w:r>
    </w:p>
    <w:p>
      <w:pPr>
        <w:spacing w:after="0" w:line="144" w:lineRule="exact"/>
        <w:rPr>
          <w:rFonts w:ascii="Times New Roman" w:cs="Times New Roman" w:eastAsia="Times New Roman" w:hAnsi="Times New Roman"/>
          <w:sz w:val="22"/>
          <w:szCs w:val="22"/>
          <w:color w:val="auto"/>
        </w:rPr>
      </w:pPr>
    </w:p>
    <w:p>
      <w:pPr>
        <w:jc w:val="both"/>
        <w:ind w:left="-540" w:firstLine="1293"/>
        <w:spacing w:after="0" w:line="251" w:lineRule="auto"/>
        <w:tabs>
          <w:tab w:leader="none" w:pos="132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220"/>
          </w:cols>
          <w:pgMar w:left="1440" w:top="625" w:right="239" w:bottom="1440" w:gutter="0" w:footer="0" w:header="0"/>
        </w:sectPr>
      </w:pPr>
    </w:p>
    <w:bookmarkStart w:id="98" w:name="page99"/>
    <w:bookmarkEnd w:id="98"/>
    <w:p>
      <w:pPr>
        <w:jc w:val="both"/>
        <w:ind w:left="-540" w:firstLine="1293"/>
        <w:spacing w:after="0" w:line="251" w:lineRule="auto"/>
        <w:tabs>
          <w:tab w:leader="none" w:pos="131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any Credit Party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Credit Party or any Subsidiary or for a substantial part of its assets, and, in any such case, such proceeding or petition shall continue undismissed for 60 days or an order or decree approving or ordering any of the foregoing shall be entered;</w:t>
      </w:r>
    </w:p>
    <w:p>
      <w:pPr>
        <w:spacing w:after="0" w:line="181" w:lineRule="exact"/>
        <w:rPr>
          <w:rFonts w:ascii="Times New Roman" w:cs="Times New Roman" w:eastAsia="Times New Roman" w:hAnsi="Times New Roman"/>
          <w:sz w:val="22"/>
          <w:szCs w:val="22"/>
          <w:color w:val="auto"/>
        </w:rPr>
      </w:pPr>
    </w:p>
    <w:p>
      <w:pPr>
        <w:jc w:val="both"/>
        <w:ind w:left="-540" w:firstLine="1293"/>
        <w:spacing w:after="0" w:line="249" w:lineRule="auto"/>
        <w:tabs>
          <w:tab w:leader="none" w:pos="124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Credit Party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2" w:lineRule="exact"/>
        <w:rPr>
          <w:rFonts w:ascii="Times New Roman" w:cs="Times New Roman" w:eastAsia="Times New Roman" w:hAnsi="Times New Roman"/>
          <w:sz w:val="22"/>
          <w:szCs w:val="22"/>
          <w:color w:val="auto"/>
        </w:rPr>
      </w:pPr>
    </w:p>
    <w:p>
      <w:pPr>
        <w:ind w:left="-540" w:firstLine="1293"/>
        <w:spacing w:after="0" w:line="284" w:lineRule="auto"/>
        <w:tabs>
          <w:tab w:leader="none" w:pos="11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 Party or any Subsidiary shall become unable, admit in writing its inability or fail generally to pay its debts as they become due;</w:t>
      </w:r>
    </w:p>
    <w:p>
      <w:pPr>
        <w:spacing w:after="0" w:line="144" w:lineRule="exact"/>
        <w:rPr>
          <w:rFonts w:ascii="Times New Roman" w:cs="Times New Roman" w:eastAsia="Times New Roman" w:hAnsi="Times New Roman"/>
          <w:sz w:val="22"/>
          <w:szCs w:val="22"/>
          <w:color w:val="auto"/>
        </w:rPr>
      </w:pPr>
    </w:p>
    <w:p>
      <w:pPr>
        <w:jc w:val="both"/>
        <w:ind w:left="-540" w:firstLine="1293"/>
        <w:spacing w:after="0" w:line="253" w:lineRule="auto"/>
        <w:tabs>
          <w:tab w:leader="none" w:pos="116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$10,000,000 shall be rendered against any Credit Party, any Subsidiary or any combination thereof and the same shall remain undischarged for a period of 30 consecutive days during which execution shall not be effectively stayed, or any action shall be legally taken by a judgment creditor to attach or levy upon any assets of any Credit Party or any Subsidiary to enforce any such judgment;</w:t>
      </w:r>
    </w:p>
    <w:p>
      <w:pPr>
        <w:spacing w:after="0" w:line="179" w:lineRule="exact"/>
        <w:rPr>
          <w:rFonts w:ascii="Times New Roman" w:cs="Times New Roman" w:eastAsia="Times New Roman" w:hAnsi="Times New Roman"/>
          <w:sz w:val="22"/>
          <w:szCs w:val="22"/>
          <w:color w:val="auto"/>
        </w:rPr>
      </w:pPr>
    </w:p>
    <w:p>
      <w:pPr>
        <w:jc w:val="both"/>
        <w:ind w:left="-540" w:firstLine="1293"/>
        <w:spacing w:after="0" w:line="263"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ERISA Events that have occurred, could reasonably be expected to result in liability of the Borrower and its Subsidiaries in an aggregate amount exceeding (i) $10,000,000 in any year or (ii) $10,000,000 for all periods;</w:t>
      </w:r>
    </w:p>
    <w:p>
      <w:pPr>
        <w:spacing w:after="0" w:line="167" w:lineRule="exact"/>
        <w:rPr>
          <w:rFonts w:ascii="Times New Roman" w:cs="Times New Roman" w:eastAsia="Times New Roman" w:hAnsi="Times New Roman"/>
          <w:sz w:val="22"/>
          <w:szCs w:val="22"/>
          <w:color w:val="auto"/>
        </w:rPr>
      </w:pPr>
    </w:p>
    <w:p>
      <w:pPr>
        <w:ind w:left="1180" w:hanging="427"/>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33" w:lineRule="exact"/>
        <w:rPr>
          <w:rFonts w:ascii="Times New Roman" w:cs="Times New Roman" w:eastAsia="Times New Roman" w:hAnsi="Times New Roman"/>
          <w:sz w:val="22"/>
          <w:szCs w:val="22"/>
          <w:color w:val="auto"/>
        </w:rPr>
      </w:pPr>
    </w:p>
    <w:p>
      <w:pPr>
        <w:jc w:val="both"/>
        <w:ind w:left="-540" w:firstLine="1293"/>
        <w:spacing w:after="0" w:line="253" w:lineRule="auto"/>
        <w:tabs>
          <w:tab w:leader="none" w:pos="121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Sections 6.03(a) and 6.03(b), the Facility Guarantees or any provisions thereof shall cease to be in full force or effect as to Holdings, the Borrower or any Subsidiary Guarantor, or Holdings, the Borrower, any Subsidiary Guarantor or any Person acting for or on behalf of Holdings, the Borrower or any Subsidiary Guarantor shall deny or disaffirm Holdings’, the Borrower’s or such Subsidiary Guarantor’s obligations under the Facility Guarantees or any default shall occur thereunder;</w:t>
      </w: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0220"/>
          </w:cols>
          <w:pgMar w:left="1440" w:top="625" w:right="239" w:bottom="1440" w:gutter="0" w:footer="0" w:header="0"/>
        </w:sectPr>
      </w:pPr>
    </w:p>
    <w:bookmarkStart w:id="99" w:name="page100"/>
    <w:bookmarkEnd w:id="99"/>
    <w:p>
      <w:pPr>
        <w:jc w:val="both"/>
        <w:ind w:left="660" w:firstLine="1293"/>
        <w:spacing w:after="0" w:line="251" w:lineRule="auto"/>
        <w:tabs>
          <w:tab w:leader="none" w:pos="266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Document shall cease to be in full force and effect, or shall cease to give the Administrative Agent or the Collateral Agent, as applicable, for the benefit of the Secured Creditors the Liens, rights, powers and privileges purported to be created thereby, or any Credit Party shall default in the due performance or observance of any term, covenant or agreement on its part to be performed or observed pursuant to any such Security Document and such default shall continue beyond the period of grace, if any, specifically applicable thereto pursuant to the terms of such Security Document;</w:t>
      </w:r>
    </w:p>
    <w:p>
      <w:pPr>
        <w:spacing w:after="0" w:line="181"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38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shall engage in any activities other than those associated with acting as a holding company for the Borrower (it being understood that such permitted activities shall in no event include the incurrence of Indebtedness or the making or holding of any Equity Interests or other investments in any other Person); or</w:t>
      </w:r>
    </w:p>
    <w:p>
      <w:pPr>
        <w:spacing w:after="0" w:line="167" w:lineRule="exact"/>
        <w:rPr>
          <w:rFonts w:ascii="Times New Roman" w:cs="Times New Roman" w:eastAsia="Times New Roman" w:hAnsi="Times New Roman"/>
          <w:sz w:val="22"/>
          <w:szCs w:val="22"/>
          <w:color w:val="auto"/>
        </w:rPr>
      </w:pPr>
    </w:p>
    <w:p>
      <w:pPr>
        <w:jc w:val="both"/>
        <w:ind w:left="660" w:firstLine="1293"/>
        <w:spacing w:after="0" w:line="257" w:lineRule="auto"/>
        <w:tabs>
          <w:tab w:leader="none" w:pos="240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Holdings shall take or fail to take any action which would constitute a breach of Article V or VI hereof if such provisions were applicable to Holdings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xml:space="preserve"> (and, in the case of breaches of the kind described in Section VII(e), such circumstance shall continue unremedied for a period of 30 days after notice thereof from the Administrative Agent to the Borrower (which notice will be given at the request of any Lender));</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clause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VIII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20"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Each of the Lenders and the Issuing Bank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625" w:right="239" w:bottom="1440" w:gutter="0" w:footer="0" w:header="0"/>
        </w:sectPr>
      </w:pPr>
    </w:p>
    <w:bookmarkStart w:id="100" w:name="page101"/>
    <w:bookmarkEnd w:id="100"/>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9.02), and (c)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spacing w:after="0" w:line="205"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1"/>
          <w:szCs w:val="21"/>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jc w:val="both"/>
        <w:ind w:right="20" w:firstLine="1297"/>
        <w:spacing w:after="0" w:line="275" w:lineRule="auto"/>
        <w:rPr>
          <w:sz w:val="20"/>
          <w:szCs w:val="20"/>
          <w:color w:val="auto"/>
        </w:rPr>
      </w:pPr>
      <w:r>
        <w:rPr>
          <w:rFonts w:ascii="Times New Roman" w:cs="Times New Roman" w:eastAsia="Times New Roman" w:hAnsi="Times New Roman"/>
          <w:sz w:val="21"/>
          <w:szCs w:val="21"/>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625" w:right="239" w:bottom="1440" w:gutter="0" w:footer="0" w:header="0"/>
        </w:sectPr>
      </w:pPr>
    </w:p>
    <w:bookmarkStart w:id="101" w:name="page102"/>
    <w:bookmarkEnd w:id="101"/>
    <w:p>
      <w:pPr>
        <w:jc w:val="both"/>
        <w:spacing w:after="0" w:line="257" w:lineRule="auto"/>
        <w:rPr>
          <w:sz w:val="20"/>
          <w:szCs w:val="20"/>
          <w:color w:val="auto"/>
        </w:rPr>
      </w:pPr>
      <w:r>
        <w:rPr>
          <w:rFonts w:ascii="Times New Roman" w:cs="Times New Roman" w:eastAsia="Times New Roman" w:hAnsi="Times New Roman"/>
          <w:sz w:val="22"/>
          <w:szCs w:val="22"/>
          <w:color w:val="auto"/>
        </w:rPr>
        <w:t>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3"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2"/>
          <w:szCs w:val="22"/>
          <w:color w:val="auto"/>
        </w:rPr>
        <w:t>Subject to the appointment and acceptance of a successor Administrative Agent as provided in this paragraph, the Administrative Agent may resign at any time by notifying the Lenders, the Issuing Bank and the Borrower. Upon any such resignation, the Required Lenders shall have the right,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the benefit of such retiring Administrative Agent, its sub agents and their respective Related Parties in respect of any actions taken or omitted to be taken by any of them while it was acting as Administrative Agent.</w:t>
      </w:r>
    </w:p>
    <w:p>
      <w:pPr>
        <w:spacing w:after="0" w:line="195"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81"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Each of the Lenders and the Issuing Bank hereby irrevocably appoints the Collateral Agent as its agent and authorizes the Collateral Agent to take such actions on its behalf and to exercise such powers as are delegated to the Collateral Agent by the terms hereof or of the other Credit Documents, together with such actions and powers as are reasonably incidental thereto. All provisions of this Article VIII relating to the Administrative Agent (and all indemnities of the Administrative Agent by the Borrower pursuant hereto) shall be equally applicable to the Collateral Agent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Without limiting the foregoing, if any Collateral is, or all of the Equity Interests of any Subsidiary are, sold in a transaction permitted hereunder (other than to the Borrower or to a Subsidiary thereof), (a) such Collateral shall be sold free and clear of the Liens created by the Security Documents and (b) in the case of the sale of all of the Equity Interests of a Subsidiary Guarantor, such Subsidiary Guarantor and its subsidiaries shall be released from the Subsidiary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625" w:right="239" w:bottom="1440" w:gutter="0" w:footer="0" w:header="0"/>
        </w:sectPr>
      </w:pPr>
    </w:p>
    <w:bookmarkStart w:id="102" w:name="page103"/>
    <w:bookmarkEnd w:id="102"/>
    <w:p>
      <w:pPr>
        <w:jc w:val="both"/>
        <w:spacing w:after="0" w:line="257" w:lineRule="auto"/>
        <w:rPr>
          <w:sz w:val="20"/>
          <w:szCs w:val="20"/>
          <w:color w:val="auto"/>
        </w:rPr>
      </w:pPr>
      <w:r>
        <w:rPr>
          <w:rFonts w:ascii="Times New Roman" w:cs="Times New Roman" w:eastAsia="Times New Roman" w:hAnsi="Times New Roman"/>
          <w:sz w:val="22"/>
          <w:szCs w:val="22"/>
          <w:color w:val="auto"/>
        </w:rPr>
        <w:t>Guaranty and the Security Documents to which it is a party and, in each case, the Administrative Agent and the Collateral Agent shall be authorized and required (at the Borrower’s expense) to take any actions deemed appropriate (or as reasonably requested by the Borrower) in order to effect the foregoing.</w:t>
      </w:r>
    </w:p>
    <w:p>
      <w:pPr>
        <w:spacing w:after="0" w:line="173"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No Lender identified in this Agreement as a “Syndication Agent” or a “Documentation Agent”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such Lenders as it makes with respect to the Administrative Agent in the preceding paragraph.</w:t>
      </w:r>
    </w:p>
    <w:p>
      <w:pPr>
        <w:spacing w:after="0" w:line="18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ARTICLE IX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1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b w:val="1"/>
          <w:bCs w:val="1"/>
          <w:i w:val="1"/>
          <w:iCs w:val="1"/>
          <w:color w:val="auto"/>
        </w:rPr>
        <w:t>Notices</w:t>
      </w:r>
      <w:r>
        <w:rPr>
          <w:rFonts w:ascii="Times New Roman" w:cs="Times New Roman" w:eastAsia="Times New Roman" w:hAnsi="Times New Roman"/>
          <w:sz w:val="22"/>
          <w:szCs w:val="22"/>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74" w:lineRule="exact"/>
        <w:rPr>
          <w:sz w:val="20"/>
          <w:szCs w:val="20"/>
          <w:color w:val="auto"/>
        </w:rPr>
      </w:pPr>
    </w:p>
    <w:p>
      <w:pPr>
        <w:jc w:val="both"/>
        <w:ind w:left="660" w:firstLine="645"/>
        <w:spacing w:after="0" w:line="257" w:lineRule="auto"/>
        <w:tabs>
          <w:tab w:leader="none" w:pos="173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 12420 Stonebridge Road, Roanoke, Indiana 46783 Attention of Kevin Sierks, Chief Financial Officer (Telephone No. (260) 207-5321; Telecopy No. (260) 484-2278) with a copy to 12420 Stonebridge Road, Roanoke, Indiana 46783 Attention of Stacy Knapper, SVP, General Counsel &amp; Corporate Secretary (Telephone No. (260) 207-5362; Telecopy No. (260) 969-0660);</w:t>
      </w:r>
    </w:p>
    <w:p>
      <w:pPr>
        <w:spacing w:after="0" w:line="172"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77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or Swingline Lender, to JPMorgan Chase Bank, N.A., Middle Market Loan and Agency Services Group, 10 S. Dearborn Street, Floor 07, Chicago, Illinois 60603, Attention of Debra Williams (Telephone No. (312) 732-2590; Telecopy No. (312) 385-7098);</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86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Issuing Bank, to JPMorgan Chase Bank, N.A., LC Agency Group, 10 S. Dearborn Street, Floor 07, Chicago, Illinois 60603, Attention of Cassandra Groves (Telephone No. (312) 732-2006; Telecopy No. (312) 732-2729); and</w:t>
      </w:r>
    </w:p>
    <w:p>
      <w:pPr>
        <w:spacing w:after="0" w:line="167"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telecopy number) set forth in its Administrative Questionnaire.</w:t>
      </w:r>
    </w:p>
    <w:p>
      <w:pPr>
        <w:spacing w:after="0" w:line="233" w:lineRule="exact"/>
        <w:rPr>
          <w:sz w:val="20"/>
          <w:szCs w:val="20"/>
          <w:color w:val="auto"/>
        </w:rPr>
      </w:pPr>
    </w:p>
    <w:p>
      <w:pPr>
        <w:jc w:val="both"/>
        <w:ind w:firstLine="1305"/>
        <w:spacing w:after="0" w:line="257" w:lineRule="auto"/>
        <w:tabs>
          <w:tab w:leader="none" w:pos="18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and other communications to the Lenders hereunder may be delivered or furnished by electronic communications pursuant to procedures approved by the Administrative Agent; provided that the foregoing shall not apply to notices pursuant to Article II unless otherwise agreed by the Administrative Agent and the applicable Lender. The Administrative Agent or the Borrower may, in its discretion, agree to accept notices and other communications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625" w:right="239" w:bottom="1440" w:gutter="0" w:footer="0" w:header="0"/>
        </w:sectPr>
      </w:pPr>
    </w:p>
    <w:bookmarkStart w:id="103" w:name="page104"/>
    <w:bookmarkEnd w:id="103"/>
    <w:p>
      <w:pPr>
        <w:spacing w:after="0" w:line="271" w:lineRule="auto"/>
        <w:rPr>
          <w:sz w:val="20"/>
          <w:szCs w:val="20"/>
          <w:color w:val="auto"/>
        </w:rPr>
      </w:pPr>
      <w:r>
        <w:rPr>
          <w:rFonts w:ascii="Times New Roman" w:cs="Times New Roman" w:eastAsia="Times New Roman" w:hAnsi="Times New Roman"/>
          <w:sz w:val="22"/>
          <w:szCs w:val="22"/>
          <w:color w:val="auto"/>
        </w:rPr>
        <w:t>it hereunder by electronic communications pursuant to procedures approved by it; provided that approval of such procedures may be limited to particular notices or communications.</w:t>
      </w:r>
    </w:p>
    <w:p>
      <w:pPr>
        <w:spacing w:after="0" w:line="158" w:lineRule="exact"/>
        <w:rPr>
          <w:sz w:val="20"/>
          <w:szCs w:val="20"/>
          <w:color w:val="auto"/>
        </w:rPr>
      </w:pPr>
    </w:p>
    <w:p>
      <w:pPr>
        <w:jc w:val="both"/>
        <w:ind w:firstLine="1305"/>
        <w:spacing w:after="0" w:line="263" w:lineRule="auto"/>
        <w:tabs>
          <w:tab w:leader="none" w:pos="176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62"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b w:val="1"/>
          <w:bCs w:val="1"/>
          <w:i w:val="1"/>
          <w:iCs w:val="1"/>
          <w:color w:val="auto"/>
        </w:rPr>
        <w:t>Waivers; Amendments</w:t>
      </w:r>
      <w:r>
        <w:rPr>
          <w:rFonts w:ascii="Times New Roman" w:cs="Times New Roman" w:eastAsia="Times New Roman" w:hAnsi="Times New Roman"/>
          <w:sz w:val="22"/>
          <w:szCs w:val="22"/>
          <w:color w:val="auto"/>
        </w:rPr>
        <w:t>. (a) No failure or delay by the Administrative Agent, the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87" w:lineRule="exact"/>
        <w:rPr>
          <w:sz w:val="20"/>
          <w:szCs w:val="20"/>
          <w:color w:val="auto"/>
        </w:rPr>
      </w:pPr>
    </w:p>
    <w:p>
      <w:pPr>
        <w:jc w:val="both"/>
        <w:ind w:firstLine="1305"/>
        <w:spacing w:after="0" w:line="245" w:lineRule="auto"/>
        <w:tabs>
          <w:tab w:leader="none" w:pos="176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 (iv) change Section 2.18(b) or (c) in a manner that would alter the pro rata sharing of payments required thereby,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all or substantially all of the Collateral or, except in connection with a transaction permitted by Section 6.03, release any Subsidiary Guarantor from its obligations under the Subsidiary Guaranty, without the written consent of each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625" w:right="239" w:bottom="1440" w:gutter="0" w:footer="0" w:header="0"/>
        </w:sectPr>
      </w:pPr>
    </w:p>
    <w:bookmarkStart w:id="104" w:name="page105"/>
    <w:bookmarkEnd w:id="104"/>
    <w:p>
      <w:pPr>
        <w:jc w:val="both"/>
        <w:ind w:firstLine="1305"/>
        <w:spacing w:after="0" w:line="253" w:lineRule="auto"/>
        <w:tabs>
          <w:tab w:leader="none" w:pos="18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upon the execution and delivery of all documentation required by Section 2.09(d) to be delivered in connection with an increase to the aggregate Commitment, the Administrative Agent, the Borrower and the new or existing Lenders whose Commitments have been affected may and shall enter into an amendment hereof (which shall be binding on all parties hereto and the new Lenders) solely for the purpose of reflecting any new Lenders and their new Commitments and any increase in the Commitment of any existing Lender.</w:t>
      </w:r>
    </w:p>
    <w:p>
      <w:pPr>
        <w:spacing w:after="0" w:line="173"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b w:val="1"/>
          <w:bCs w:val="1"/>
          <w:i w:val="1"/>
          <w:iCs w:val="1"/>
          <w:color w:val="auto"/>
        </w:rPr>
        <w:t>Expenses; Indemnity; Damage Waiver</w:t>
      </w:r>
      <w:r>
        <w:rPr>
          <w:rFonts w:ascii="Times New Roman" w:cs="Times New Roman" w:eastAsia="Times New Roman" w:hAnsi="Times New Roman"/>
          <w:sz w:val="21"/>
          <w:szCs w:val="21"/>
          <w:color w:val="auto"/>
        </w:rPr>
        <w:t>. (a)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this Agreement or any amendments, modifications or waivers of the provisions hereof (whether or not the transactions contemplated hereby or thereby shall be consummated), (ii) all reasonable out-of-pocket expenses incurred by the Issuing Bank in connection with the issuance, amendment, renewal or extension of any Letter of Credit or any demand for payment thereunder and (iii) all reasonable out-of-pocket expenses incurred by the Administrative Agent, the Issuing Bank or any Lender, including the fees, charges and disbursements of any counsel for the Administrative Agent, the Issuing Bank or any Lender, in connection with the enforcement or protection of its rights in connection with this Agreement, including its rights under this Section, or in connection with the Loans made or Letters of Credit issued hereunder, including all such reasonable out-of pocket expenses incurred during any workout, restructuring or negotiations in respect of such Loans or Letters of Credit.</w:t>
      </w:r>
    </w:p>
    <w:p>
      <w:pPr>
        <w:spacing w:after="0" w:line="169" w:lineRule="exact"/>
        <w:rPr>
          <w:sz w:val="20"/>
          <w:szCs w:val="20"/>
          <w:color w:val="auto"/>
        </w:rPr>
      </w:pPr>
    </w:p>
    <w:p>
      <w:pPr>
        <w:jc w:val="both"/>
        <w:ind w:firstLine="1305"/>
        <w:spacing w:after="0" w:line="258" w:lineRule="auto"/>
        <w:tabs>
          <w:tab w:leader="none" w:pos="176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indemnify the Administrative Agent, the Issuing Bank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losses, claims, damages, liabilities and related reasonable out-of-pocket expenses,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an Indemnitee.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625" w:right="239" w:bottom="1440" w:gutter="0" w:footer="0" w:header="0"/>
        </w:sectPr>
      </w:pPr>
    </w:p>
    <w:bookmarkStart w:id="105" w:name="page106"/>
    <w:bookmarkEnd w:id="105"/>
    <w:p>
      <w:pPr>
        <w:jc w:val="both"/>
        <w:ind w:firstLine="1305"/>
        <w:spacing w:after="0" w:line="264" w:lineRule="auto"/>
        <w:tabs>
          <w:tab w:leader="none" w:pos="175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the Borrower fails to pay any amount required to be paid by it to the Administrative Agent, the Issuing Bank or the Swingline Lender under paragraph (a) or (b) of this Section, each Lender severally agrees to pay to the Administrative Agent, the Issuing Bank or the Swingline Lender, as the case may be, such Lender’s Applicable Percentage (determined as of the time that the applicable unreimbursed expense or indemnity payment is sought by reference to the aggregate Commitments (or, if such Commitments have terminated, aggregate Revolving Credit Exposure)) of such unpaid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66" w:lineRule="exact"/>
        <w:rPr>
          <w:rFonts w:ascii="Times New Roman" w:cs="Times New Roman" w:eastAsia="Times New Roman" w:hAnsi="Times New Roman"/>
          <w:sz w:val="21"/>
          <w:szCs w:val="21"/>
          <w:color w:val="auto"/>
        </w:rPr>
      </w:pPr>
    </w:p>
    <w:p>
      <w:pPr>
        <w:jc w:val="both"/>
        <w:ind w:firstLine="1305"/>
        <w:spacing w:after="0" w:line="257" w:lineRule="auto"/>
        <w:tabs>
          <w:tab w:leader="none" w:pos="175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72"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promptly after written demand therefor.</w:t>
      </w:r>
    </w:p>
    <w:p>
      <w:pPr>
        <w:spacing w:after="0" w:line="227"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b w:val="1"/>
          <w:bCs w:val="1"/>
          <w:i w:val="1"/>
          <w:iCs w:val="1"/>
          <w:color w:val="auto"/>
        </w:rPr>
        <w:t>Successors and Assigns</w:t>
      </w:r>
      <w:r>
        <w:rPr>
          <w:rFonts w:ascii="Times New Roman" w:cs="Times New Roman" w:eastAsia="Times New Roman" w:hAnsi="Times New Roman"/>
          <w:sz w:val="22"/>
          <w:szCs w:val="22"/>
          <w:color w:val="auto"/>
        </w:rPr>
        <w:t>. (a)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87" w:lineRule="exact"/>
        <w:rPr>
          <w:sz w:val="20"/>
          <w:szCs w:val="20"/>
          <w:color w:val="auto"/>
        </w:rPr>
      </w:pPr>
    </w:p>
    <w:p>
      <w:pPr>
        <w:jc w:val="both"/>
        <w:ind w:firstLine="1305"/>
        <w:spacing w:after="0" w:line="263" w:lineRule="auto"/>
        <w:tabs>
          <w:tab w:leader="none" w:pos="18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may assign to one or more assignees all or a portion of its rights and obligations under this Agreement (including all or a portion of its Commitments and the Loans at the time owing to it) with the prior written consent (such consent not to be unreasonably withheld) of:</w:t>
      </w:r>
    </w:p>
    <w:p>
      <w:pPr>
        <w:spacing w:after="0" w:line="167" w:lineRule="exact"/>
        <w:rPr>
          <w:rFonts w:ascii="Times New Roman" w:cs="Times New Roman" w:eastAsia="Times New Roman" w:hAnsi="Times New Roman"/>
          <w:sz w:val="22"/>
          <w:szCs w:val="22"/>
          <w:color w:val="auto"/>
        </w:rPr>
      </w:pPr>
    </w:p>
    <w:p>
      <w:pPr>
        <w:ind w:left="660" w:firstLine="1293"/>
        <w:spacing w:after="0" w:line="309" w:lineRule="auto"/>
        <w:tabs>
          <w:tab w:leader="none" w:pos="243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for an assignment to a Lender, an Affiliate of a Lender, an Approved Fund or, if an Event of Default has occurred and is continuing, any other assignee;</w:t>
      </w:r>
    </w:p>
    <w:p>
      <w:pPr>
        <w:spacing w:after="0" w:line="120" w:lineRule="exact"/>
        <w:rPr>
          <w:rFonts w:ascii="Times New Roman" w:cs="Times New Roman" w:eastAsia="Times New Roman" w:hAnsi="Times New Roman"/>
          <w:sz w:val="21"/>
          <w:szCs w:val="21"/>
          <w:color w:val="auto"/>
        </w:rPr>
      </w:pPr>
    </w:p>
    <w:p>
      <w:pPr>
        <w:jc w:val="both"/>
        <w:ind w:left="660" w:firstLine="1293"/>
        <w:spacing w:after="0" w:line="263" w:lineRule="auto"/>
        <w:tabs>
          <w:tab w:leader="none" w:pos="242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of any Commitment to an assignee that is a Lender with a Commitment immediately prior to giving effect to such assignment;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625" w:right="239" w:bottom="1440" w:gutter="0" w:footer="0" w:header="0"/>
        </w:sectPr>
      </w:pPr>
    </w:p>
    <w:bookmarkStart w:id="106" w:name="page107"/>
    <w:bookmarkEnd w:id="106"/>
    <w:p>
      <w:pPr>
        <w:ind w:left="2420" w:hanging="467"/>
        <w:spacing w:after="0"/>
        <w:tabs>
          <w:tab w:leader="none" w:pos="242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33" w:lineRule="exact"/>
        <w:rPr>
          <w:rFonts w:ascii="Times New Roman" w:cs="Times New Roman" w:eastAsia="Times New Roman" w:hAnsi="Times New Roman"/>
          <w:sz w:val="22"/>
          <w:szCs w:val="22"/>
          <w:color w:val="auto"/>
        </w:rPr>
      </w:pPr>
    </w:p>
    <w:p>
      <w:pPr>
        <w:jc w:val="both"/>
        <w:ind w:left="660" w:firstLine="1293"/>
        <w:spacing w:after="0" w:line="251" w:lineRule="auto"/>
        <w:tabs>
          <w:tab w:leader="none" w:pos="2517"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has occurred and is continuing;</w:t>
      </w:r>
    </w:p>
    <w:p>
      <w:pPr>
        <w:spacing w:after="0" w:line="181" w:lineRule="exact"/>
        <w:rPr>
          <w:rFonts w:ascii="Times New Roman" w:cs="Times New Roman" w:eastAsia="Times New Roman" w:hAnsi="Times New Roman"/>
          <w:sz w:val="22"/>
          <w:szCs w:val="22"/>
          <w:color w:val="auto"/>
        </w:rPr>
      </w:pPr>
    </w:p>
    <w:p>
      <w:pPr>
        <w:jc w:val="both"/>
        <w:ind w:left="660" w:firstLine="1293"/>
        <w:spacing w:after="0" w:line="257" w:lineRule="auto"/>
        <w:tabs>
          <w:tab w:leader="none" w:pos="251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shall not be construed to prohibit the assignment of a proportionate part of all the assigning Lender’s rights and obligations in respect of one Class of Commitments or Loans;</w:t>
      </w:r>
    </w:p>
    <w:p>
      <w:pPr>
        <w:spacing w:after="0" w:line="172" w:lineRule="exact"/>
        <w:rPr>
          <w:rFonts w:ascii="Times New Roman" w:cs="Times New Roman" w:eastAsia="Times New Roman" w:hAnsi="Times New Roman"/>
          <w:sz w:val="22"/>
          <w:szCs w:val="22"/>
          <w:color w:val="auto"/>
        </w:rPr>
      </w:pPr>
    </w:p>
    <w:p>
      <w:pPr>
        <w:ind w:left="660" w:firstLine="1293"/>
        <w:spacing w:after="0" w:line="284" w:lineRule="auto"/>
        <w:tabs>
          <w:tab w:leader="none" w:pos="242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together with a processing and recordation fee of $3,500; and</w:t>
      </w:r>
    </w:p>
    <w:p>
      <w:pPr>
        <w:spacing w:after="0" w:line="144" w:lineRule="exact"/>
        <w:rPr>
          <w:rFonts w:ascii="Times New Roman" w:cs="Times New Roman" w:eastAsia="Times New Roman" w:hAnsi="Times New Roman"/>
          <w:sz w:val="22"/>
          <w:szCs w:val="22"/>
          <w:color w:val="auto"/>
        </w:rPr>
      </w:pPr>
    </w:p>
    <w:p>
      <w:pPr>
        <w:jc w:val="both"/>
        <w:ind w:left="660" w:firstLine="1293"/>
        <w:spacing w:after="0" w:line="253" w:lineRule="auto"/>
        <w:tabs>
          <w:tab w:leader="none" w:pos="2517"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the Credit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the purposes of this Section 9.04(b), the term “</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has the following meaning:</w:t>
      </w:r>
    </w:p>
    <w:p>
      <w:pPr>
        <w:spacing w:after="0" w:line="220"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56" w:lineRule="exact"/>
        <w:rPr>
          <w:sz w:val="20"/>
          <w:szCs w:val="20"/>
          <w:color w:val="auto"/>
        </w:rPr>
      </w:pPr>
    </w:p>
    <w:p>
      <w:pPr>
        <w:jc w:val="both"/>
        <w:ind w:left="660" w:firstLine="645"/>
        <w:spacing w:after="0" w:line="251" w:lineRule="auto"/>
        <w:tabs>
          <w:tab w:leader="none" w:pos="186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625" w:right="239" w:bottom="1440" w:gutter="0" w:footer="0" w:header="0"/>
        </w:sectPr>
      </w:pPr>
    </w:p>
    <w:bookmarkStart w:id="107" w:name="page108"/>
    <w:bookmarkEnd w:id="107"/>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80" w:lineRule="exact"/>
        <w:rPr>
          <w:sz w:val="20"/>
          <w:szCs w:val="20"/>
          <w:color w:val="auto"/>
        </w:rPr>
      </w:pPr>
    </w:p>
    <w:p>
      <w:pPr>
        <w:jc w:val="both"/>
        <w:ind w:left="660" w:firstLine="645"/>
        <w:spacing w:after="0" w:line="249" w:lineRule="auto"/>
        <w:tabs>
          <w:tab w:leader="none" w:pos="18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Commitments of, and principal amount of (and stated interest on)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82" w:lineRule="exact"/>
        <w:rPr>
          <w:rFonts w:ascii="Times New Roman" w:cs="Times New Roman" w:eastAsia="Times New Roman" w:hAnsi="Times New Roman"/>
          <w:sz w:val="22"/>
          <w:szCs w:val="22"/>
          <w:color w:val="auto"/>
        </w:rPr>
      </w:pPr>
    </w:p>
    <w:p>
      <w:pPr>
        <w:jc w:val="both"/>
        <w:ind w:left="660" w:firstLine="645"/>
        <w:spacing w:after="0" w:line="247" w:lineRule="auto"/>
        <w:tabs>
          <w:tab w:leader="none" w:pos="182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2" w:lineRule="exact"/>
        <w:rPr>
          <w:sz w:val="20"/>
          <w:szCs w:val="20"/>
          <w:color w:val="auto"/>
        </w:rPr>
      </w:pPr>
    </w:p>
    <w:p>
      <w:pPr>
        <w:jc w:val="both"/>
        <w:ind w:firstLine="1305"/>
        <w:spacing w:after="0" w:line="247" w:lineRule="auto"/>
        <w:tabs>
          <w:tab w:leader="none" w:pos="177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Any Lender may, without the consent of the Borrower, the Administrative Agent, the Issuing Bank or the Swingline Lender, sell participations to one or more banks or other entities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625" w:right="239" w:bottom="1440" w:gutter="0" w:footer="0" w:header="0"/>
        </w:sectPr>
      </w:pPr>
    </w:p>
    <w:bookmarkStart w:id="108" w:name="page109"/>
    <w:bookmarkEnd w:id="108"/>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the Participant, agree to any amendment, modification or waiver described in the first proviso to Section 9.02(b) that affects such Participant. Subject to paragraph (c)(ii) of this Section, the Borrower agrees that each Participant shall be entitled to the benefits of Sections 2.15, 2.16 and 2.17 (subject to the requirements and limitations therein, including the requirements under Section 2.17(e) (it being understood that the documentation required under Section 2.17(e)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the provisions of Sections 2.19 as if it were an assignee under paragraph (b) of this Section. Each Lender that sells a participation agrees, at the Borrower’s request and expense, to use reasonable efforts to cooperate with the Borrower to effectuate the provisions of Section 2.19 with respect to any Participant.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Credit Documents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both"/>
        <w:ind w:left="660" w:firstLine="645"/>
        <w:spacing w:after="0" w:line="250" w:lineRule="auto"/>
        <w:tabs>
          <w:tab w:leader="none" w:pos="1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2.15 or 2.17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 or unless the sale of the participation to such Participant is made with the Borrower’s prior written consent. A Participant shall not be entitled to the benefits of Section 2.17 unless the Borrower is notified of the participation sold to such Participant and such Participant agrees, for the benefit of the Borrower, to comply with Section 2.17(e) as though it were a Lender.</w:t>
      </w:r>
    </w:p>
    <w:p>
      <w:pPr>
        <w:spacing w:after="0" w:line="181" w:lineRule="exact"/>
        <w:rPr>
          <w:sz w:val="20"/>
          <w:szCs w:val="20"/>
          <w:color w:val="auto"/>
        </w:rPr>
      </w:pPr>
    </w:p>
    <w:p>
      <w:pPr>
        <w:jc w:val="both"/>
        <w:ind w:firstLine="1305"/>
        <w:spacing w:after="0" w:line="253" w:lineRule="auto"/>
        <w:tabs>
          <w:tab w:leader="none" w:pos="17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420"/>
          </w:cols>
          <w:pgMar w:left="240" w:top="625" w:right="239" w:bottom="1440" w:gutter="0" w:footer="0" w:header="0"/>
        </w:sectPr>
      </w:pPr>
    </w:p>
    <w:bookmarkStart w:id="109" w:name="page110"/>
    <w:bookmarkEnd w:id="109"/>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b w:val="1"/>
          <w:bCs w:val="1"/>
          <w:i w:val="1"/>
          <w:iCs w:val="1"/>
          <w:color w:val="auto"/>
        </w:rPr>
        <w:t>Survival</w:t>
      </w:r>
      <w:r>
        <w:rPr>
          <w:rFonts w:ascii="Times New Roman" w:cs="Times New Roman" w:eastAsia="Times New Roman" w:hAnsi="Times New Roman"/>
          <w:sz w:val="22"/>
          <w:szCs w:val="22"/>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77"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b w:val="1"/>
          <w:bCs w:val="1"/>
          <w:i w:val="1"/>
          <w:iCs w:val="1"/>
          <w:color w:val="auto"/>
        </w:rPr>
        <w:t>Counterparts; Integration; Effectiveness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transmission shall be effective as delivery of a manually executed counterpart of this Agreement.</w:t>
      </w:r>
    </w:p>
    <w:p>
      <w:pPr>
        <w:spacing w:after="0" w:line="181"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b w:val="1"/>
          <w:bCs w:val="1"/>
          <w:i w:val="1"/>
          <w:iCs w:val="1"/>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8"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b w:val="1"/>
          <w:bCs w:val="1"/>
          <w:i w:val="1"/>
          <w:iCs w:val="1"/>
          <w:color w:val="auto"/>
        </w:rPr>
        <w:t>Right of Setoff</w:t>
      </w:r>
      <w:r>
        <w:rPr>
          <w:rFonts w:ascii="Times New Roman" w:cs="Times New Roman" w:eastAsia="Times New Roman" w:hAnsi="Times New Roman"/>
          <w:sz w:val="22"/>
          <w:szCs w:val="22"/>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420"/>
          </w:cols>
          <w:pgMar w:left="240" w:top="619"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Section are in addition to other rights and remedies (including other rights of setoff) which such Lender may have.</w:t>
      </w:r>
    </w:p>
    <w:p>
      <w:pPr>
        <w:spacing w:after="0" w:line="214" w:lineRule="exact"/>
        <w:rPr>
          <w:sz w:val="20"/>
          <w:szCs w:val="20"/>
          <w:color w:val="auto"/>
        </w:rPr>
      </w:pPr>
    </w:p>
    <w:p>
      <w:pPr>
        <w:ind w:firstLine="1297"/>
        <w:spacing w:after="0" w:line="289"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b w:val="1"/>
          <w:bCs w:val="1"/>
          <w:i w:val="1"/>
          <w:iCs w:val="1"/>
          <w:color w:val="auto"/>
        </w:rPr>
        <w:t>Governing Law; Jurisdiction; Consent to Service of Process</w:t>
      </w:r>
      <w:r>
        <w:rPr>
          <w:rFonts w:ascii="Times New Roman" w:cs="Times New Roman" w:eastAsia="Times New Roman" w:hAnsi="Times New Roman"/>
          <w:sz w:val="22"/>
          <w:szCs w:val="22"/>
          <w:color w:val="auto"/>
        </w:rPr>
        <w:t>. (a) This Agreement shall be construed in accordance with and governed by the law of the State of New York.</w:t>
      </w:r>
    </w:p>
    <w:p>
      <w:pPr>
        <w:spacing w:after="0" w:line="140" w:lineRule="exact"/>
        <w:rPr>
          <w:sz w:val="20"/>
          <w:szCs w:val="20"/>
          <w:color w:val="auto"/>
        </w:rPr>
      </w:pPr>
    </w:p>
    <w:p>
      <w:pPr>
        <w:jc w:val="both"/>
        <w:ind w:firstLine="1305"/>
        <w:spacing w:after="0" w:line="247" w:lineRule="auto"/>
        <w:tabs>
          <w:tab w:leader="none" w:pos="178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9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1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6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62"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b w:val="1"/>
          <w:bCs w:val="1"/>
          <w:i w:val="1"/>
          <w:iCs w:val="1"/>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420"/>
          </w:cols>
          <w:pgMar w:left="240" w:top="625" w:right="239" w:bottom="1440" w:gutter="0" w:footer="0" w:header="0"/>
        </w:sectPr>
      </w:pPr>
    </w:p>
    <w:bookmarkStart w:id="111" w:name="page112"/>
    <w:bookmarkEnd w:id="111"/>
    <w:p>
      <w:pPr>
        <w:jc w:val="both"/>
        <w:ind w:firstLine="1297"/>
        <w:spacing w:after="0" w:line="266"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b w:val="1"/>
          <w:bCs w:val="1"/>
          <w:i w:val="1"/>
          <w:iCs w:val="1"/>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8"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1"/>
          <w:szCs w:val="21"/>
          <w:color w:val="auto"/>
        </w:rPr>
        <w:t xml:space="preserve">SECTION 9.12. </w:t>
      </w:r>
      <w:r>
        <w:rPr>
          <w:rFonts w:ascii="Times New Roman" w:cs="Times New Roman" w:eastAsia="Times New Roman" w:hAnsi="Times New Roman"/>
          <w:sz w:val="21"/>
          <w:szCs w:val="21"/>
          <w:b w:val="1"/>
          <w:bCs w:val="1"/>
          <w:i w:val="1"/>
          <w:iCs w:val="1"/>
          <w:color w:val="auto"/>
        </w:rPr>
        <w:t>Confidentiality</w:t>
      </w:r>
      <w:r>
        <w:rPr>
          <w:rFonts w:ascii="Times New Roman" w:cs="Times New Roman" w:eastAsia="Times New Roman" w:hAnsi="Times New Roman"/>
          <w:sz w:val="21"/>
          <w:szCs w:val="21"/>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provided, however, that in the case of disclosure pursuant to this clause (c) the disclosing party shall, to the extent practicable and permitted by applicable law, regulation or judicial process, give the Borrower written notice of the information required to be disclosed so that the Borrower may seek a protective order or other appropriate remedy, with the reasonably requested assistance of the disclosing party (but at the expense of the Borrower);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w:t>
      </w:r>
    </w:p>
    <w:p>
      <w:pPr>
        <w:spacing w:after="0" w:line="2" w:lineRule="exact"/>
        <w:rPr>
          <w:sz w:val="20"/>
          <w:szCs w:val="20"/>
          <w:color w:val="auto"/>
        </w:rPr>
      </w:pPr>
    </w:p>
    <w:p>
      <w:pPr>
        <w:jc w:val="both"/>
        <w:ind w:firstLine="8"/>
        <w:spacing w:after="0" w:line="243" w:lineRule="auto"/>
        <w:tabs>
          <w:tab w:leader="none" w:pos="28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publicly available other than as a result of a breach of this Section or (ii)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(other than financial statements and related certificates delivered pursuant to Sections 5.01 and 5.02)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7"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EACH LENDER ACKNOWLEDGES THAT INFORMATION AS DEFINED IN THIS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420"/>
          </w:cols>
          <w:pgMar w:left="240" w:top="619" w:right="239" w:bottom="1440" w:gutter="0" w:footer="0" w:header="0"/>
        </w:sectPr>
      </w:pPr>
    </w:p>
    <w:bookmarkStart w:id="112" w:name="page113"/>
    <w:bookmarkEnd w:id="112"/>
    <w:p>
      <w:pPr>
        <w:jc w:val="both"/>
        <w:spacing w:after="0" w:line="271" w:lineRule="auto"/>
        <w:rPr>
          <w:sz w:val="20"/>
          <w:szCs w:val="20"/>
          <w:color w:val="auto"/>
        </w:rPr>
      </w:pPr>
      <w:r>
        <w:rPr>
          <w:rFonts w:ascii="Times New Roman" w:cs="Times New Roman" w:eastAsia="Times New Roman" w:hAnsi="Times New Roman"/>
          <w:sz w:val="22"/>
          <w:szCs w:val="22"/>
          <w:color w:val="auto"/>
        </w:rPr>
        <w:t>INFORMATION IN ACCORDANCE WITH THOSE PROCEDURES AND APPLICABLE LAW, INCLUDING FEDERAL AND STATE SECURITIES LAWS.</w:t>
      </w:r>
    </w:p>
    <w:p>
      <w:pPr>
        <w:spacing w:after="0" w:line="158"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ITS AFFILIATES, THE CREDIT PARTIES,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0"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b w:val="1"/>
          <w:bCs w:val="1"/>
          <w:i w:val="1"/>
          <w:iCs w:val="1"/>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1" w:lineRule="exact"/>
        <w:rPr>
          <w:sz w:val="20"/>
          <w:szCs w:val="20"/>
          <w:color w:val="auto"/>
        </w:rPr>
      </w:pPr>
    </w:p>
    <w:p>
      <w:pPr>
        <w:jc w:val="right"/>
        <w:spacing w:after="0"/>
        <w:tabs>
          <w:tab w:leader="none" w:pos="8500" w:val="left"/>
        </w:tabs>
        <w:rPr>
          <w:sz w:val="20"/>
          <w:szCs w:val="20"/>
          <w:color w:val="auto"/>
        </w:rPr>
      </w:pPr>
      <w:r>
        <w:rPr>
          <w:rFonts w:ascii="Times New Roman" w:cs="Times New Roman" w:eastAsia="Times New Roman" w:hAnsi="Times New Roman"/>
          <w:sz w:val="22"/>
          <w:szCs w:val="22"/>
          <w:color w:val="auto"/>
        </w:rPr>
        <w:t>SECTION 9.14.</w:t>
      </w:r>
      <w:r>
        <w:rPr>
          <w:sz w:val="20"/>
          <w:szCs w:val="20"/>
          <w:color w:val="auto"/>
        </w:rPr>
        <w:tab/>
      </w:r>
      <w:r>
        <w:rPr>
          <w:rFonts w:ascii="Times New Roman" w:cs="Times New Roman" w:eastAsia="Times New Roman" w:hAnsi="Times New Roman"/>
          <w:sz w:val="21"/>
          <w:szCs w:val="21"/>
          <w:b w:val="1"/>
          <w:bCs w:val="1"/>
          <w:i w:val="1"/>
          <w:iCs w:val="1"/>
          <w:color w:val="auto"/>
        </w:rPr>
        <w:t>USA PATRIOT Act</w:t>
      </w:r>
      <w:r>
        <w:rPr>
          <w:rFonts w:ascii="Times New Roman" w:cs="Times New Roman" w:eastAsia="Times New Roman" w:hAnsi="Times New Roman"/>
          <w:sz w:val="21"/>
          <w:szCs w:val="21"/>
          <w:color w:val="auto"/>
        </w:rPr>
        <w:t>. Each Lender that is subject to the requirements of the USA Patriot Act (Title</w:t>
      </w:r>
    </w:p>
    <w:p>
      <w:pPr>
        <w:spacing w:after="0" w:line="36" w:lineRule="exact"/>
        <w:rPr>
          <w:sz w:val="20"/>
          <w:szCs w:val="20"/>
          <w:color w:val="auto"/>
        </w:rPr>
      </w:pPr>
    </w:p>
    <w:p>
      <w:pPr>
        <w:jc w:val="both"/>
        <w:ind w:firstLine="8"/>
        <w:spacing w:after="0" w:line="248" w:lineRule="auto"/>
        <w:tabs>
          <w:tab w:leader="none" w:pos="3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Pub. L. 107-56 (signed into law October 26, 2001))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hereby notifies the Borrower that pursuant to the requirements of the Act,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17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b w:val="1"/>
          <w:bCs w:val="1"/>
          <w:i w:val="1"/>
          <w:iCs w:val="1"/>
          <w:color w:val="auto"/>
        </w:rPr>
        <w:t>Application of Proceeds</w:t>
      </w:r>
      <w:r>
        <w:rPr>
          <w:rFonts w:ascii="Times New Roman" w:cs="Times New Roman" w:eastAsia="Times New Roman" w:hAnsi="Times New Roman"/>
          <w:sz w:val="22"/>
          <w:szCs w:val="22"/>
          <w:color w:val="auto"/>
        </w:rPr>
        <w:t xml:space="preserve">. After the exercise of remedies provided for in Article VII (or after the Loans have automatically become immediately due and payable), any proceeds of Collateral or from payment pursuant to the Subsidiary Guaranty received by the Administrative Agent in respect of the Secured Obligations pursuant to the Credit Documents shall be applied, in each case ratably within the applicable priority level,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 any fees, indemnities, or expense reimbursements then due to the Administrative Agent or the Issuing Bank from the Borrower or any Subsidiary Guarantor,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 any fees, indemnities or expense reimbursements (other than in respect of Swap Agreements or Banking Service Obligations (as defined in the Security Agreement)) then due to the Lenders from the Borrower or any Subsidiary Guarantor,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 interest then due and payable on the Loans,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pay principal on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420"/>
          </w:cols>
          <w:pgMar w:left="240" w:top="625" w:right="2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Loans and unreimbursed LC Disbursements and any due and owing obligations with respect to Swap Agreements or Banking Services Obligations (as defined in the Security Agreement),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the payment of any other Secured Obligation, and </w:t>
      </w: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the balance, if any, after all of the obligations under all Credit Documents have been indefeasibly paid in full, to the Borrower or as otherwise required by law.</w:t>
      </w:r>
    </w:p>
    <w:p>
      <w:pPr>
        <w:spacing w:after="0" w:line="174" w:lineRule="exact"/>
        <w:rPr>
          <w:sz w:val="20"/>
          <w:szCs w:val="20"/>
          <w:color w:val="auto"/>
        </w:rPr>
      </w:pPr>
    </w:p>
    <w:p>
      <w:pPr>
        <w:ind w:left="1300"/>
        <w:spacing w:after="0"/>
        <w:tabs>
          <w:tab w:leader="none" w:pos="2860" w:val="left"/>
        </w:tabs>
        <w:rPr>
          <w:sz w:val="20"/>
          <w:szCs w:val="20"/>
          <w:color w:val="auto"/>
        </w:rPr>
      </w:pPr>
      <w:r>
        <w:rPr>
          <w:rFonts w:ascii="Times New Roman" w:cs="Times New Roman" w:eastAsia="Times New Roman" w:hAnsi="Times New Roman"/>
          <w:sz w:val="22"/>
          <w:szCs w:val="22"/>
          <w:color w:val="auto"/>
        </w:rPr>
        <w:t>SECTION 9.16.</w:t>
      </w:r>
      <w:r>
        <w:rPr>
          <w:sz w:val="20"/>
          <w:szCs w:val="20"/>
          <w:color w:val="auto"/>
        </w:rPr>
        <w:tab/>
      </w:r>
      <w:r>
        <w:rPr>
          <w:rFonts w:ascii="Times New Roman" w:cs="Times New Roman" w:eastAsia="Times New Roman" w:hAnsi="Times New Roman"/>
          <w:sz w:val="21"/>
          <w:szCs w:val="21"/>
          <w:b w:val="1"/>
          <w:bCs w:val="1"/>
          <w:i w:val="1"/>
          <w:iCs w:val="1"/>
          <w:color w:val="auto"/>
        </w:rPr>
        <w:t>Amendment and Restatement</w:t>
      </w:r>
      <w:r>
        <w:rPr>
          <w:rFonts w:ascii="Times New Roman" w:cs="Times New Roman" w:eastAsia="Times New Roman" w:hAnsi="Times New Roman"/>
          <w:sz w:val="21"/>
          <w:szCs w:val="21"/>
          <w:color w:val="auto"/>
        </w:rPr>
        <w:t>.</w:t>
      </w:r>
    </w:p>
    <w:p>
      <w:pPr>
        <w:spacing w:after="0" w:line="239" w:lineRule="exact"/>
        <w:rPr>
          <w:sz w:val="20"/>
          <w:szCs w:val="20"/>
          <w:color w:val="auto"/>
        </w:rPr>
      </w:pPr>
    </w:p>
    <w:p>
      <w:pPr>
        <w:jc w:val="both"/>
        <w:ind w:firstLine="1305"/>
        <w:spacing w:after="0" w:line="251" w:lineRule="auto"/>
        <w:tabs>
          <w:tab w:leader="none" w:pos="17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the Existing Credit Agreement shall be amended, restated and superseded in its entirety by this Agreement. The parties hereto acknowledge and agree that (i) this Agreement, any Notes delivered pursuant to Section 2.10(e) and the other Credit Documents executed and delivered in connection herewith do not constitute a novation, payment and reborrowing, or termination of the “Secured Obligations” (as defined in the Existing Credit Agreement) under the Existing Credit Agreement as in immediately effect prior to the Effective Date and (ii) such “Secured Obligations” are in all respects continuing with only the terms thereof being modified as provided in this Agreement and the Security Documents.</w:t>
      </w:r>
    </w:p>
    <w:p>
      <w:pPr>
        <w:spacing w:after="0" w:line="181"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4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modifications effected by this Agreement of the representations, warranties and covenants of the Borrower contained in the Existing Credit Agreement, the Borrower acknowledges and agrees that any causes of action or other rights created in favor of the Administrative Agent, the Collateral Agent, any Lender or their respective successors arising out of the representations and warranties of the Borrower made (including representations and warranties or deemed made in connection with the making of Loans or other extensions of credit thereunder) in connection with the Existing Credit Agreement shall survive the execution and delivery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it is understood and agreed that the Borrower’s monetary obligations under the Existing Credit Agreement in respect of the loans and letters of credit thereunder are evidenced by this Agreement as provided in Article II hereof.</w:t>
      </w:r>
    </w:p>
    <w:p>
      <w:pPr>
        <w:spacing w:after="0" w:line="18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3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indemnification obligations of the Borrower pursuant to the Existing Credit Agreement (including any arising from a breach of the representations thereunder) shall survive the amendment and restatement of the Existing Credit Agreement pursuant to this Agreement.</w:t>
      </w:r>
    </w:p>
    <w:p>
      <w:pPr>
        <w:spacing w:after="0" w:line="167"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2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Continuing Lenders, constituting the “Required Lenders” under the Existing Credit Agreement, hereby waive (i) the requirement pursuant to Section 2.09(c) of the Existing Credit Agreement that the Borrower deliver prior notice of its election to terminate the “Commitments” under the Existing Credit Agreement and (ii) the requirement pursuant to Section 2.11(b) of the Existing Credit Agreement that the Borrower deliver prior notice of its election to prepay all outstanding “Loans” under the Existing Credit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420"/>
          </w:cols>
          <w:pgMar w:left="240" w:top="625" w:right="239" w:bottom="1440" w:gutter="0" w:footer="0" w:header="0"/>
        </w:sectPr>
      </w:pPr>
    </w:p>
    <w:bookmarkStart w:id="114" w:name="page115"/>
    <w:bookmarkEnd w:id="114"/>
    <w:p>
      <w:pPr>
        <w:ind w:firstLine="129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5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VERA BRADLEY DESIGNS, INC.</w:t>
      </w:r>
    </w:p>
    <w:p>
      <w:pPr>
        <w:spacing w:after="0" w:line="200" w:lineRule="exact"/>
        <w:rPr>
          <w:sz w:val="20"/>
          <w:szCs w:val="20"/>
          <w:color w:val="auto"/>
        </w:rPr>
      </w:pPr>
    </w:p>
    <w:p>
      <w:pPr>
        <w:spacing w:after="0" w:line="388" w:lineRule="exact"/>
        <w:rPr>
          <w:sz w:val="20"/>
          <w:szCs w:val="20"/>
          <w:color w:val="auto"/>
        </w:rPr>
      </w:pPr>
    </w:p>
    <w:tbl>
      <w:tblPr>
        <w:tblLayout w:type="fixed"/>
        <w:tblInd w:w="4500" w:type="dxa"/>
        <w:tblCellMar>
          <w:top w:w="0" w:type="dxa"/>
          <w:left w:w="0" w:type="dxa"/>
          <w:bottom w:w="0" w:type="dxa"/>
          <w:right w:w="0" w:type="dxa"/>
        </w:tblCellMar>
      </w:tblPr>
      <w:tr>
        <w:trPr>
          <w:trHeight w:val="29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Sheryl Miller</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Sheryl Miller</w:t>
            </w:r>
          </w:p>
        </w:tc>
        <w:tc>
          <w:tcPr>
            <w:tcW w:w="20" w:type="dxa"/>
            <w:vAlign w:val="bottom"/>
          </w:tcPr>
          <w:p>
            <w:pPr>
              <w:spacing w:after="0"/>
              <w:rPr>
                <w:sz w:val="24"/>
                <w:szCs w:val="24"/>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Vice President, Corporate Controller</w:t>
            </w:r>
          </w:p>
        </w:tc>
      </w:tr>
      <w:tr>
        <w:trPr>
          <w:trHeight w:val="783"/>
        </w:trPr>
        <w:tc>
          <w:tcPr>
            <w:tcW w:w="1220" w:type="dxa"/>
            <w:vAlign w:val="bottom"/>
          </w:tcPr>
          <w:p>
            <w:pPr>
              <w:spacing w:after="0"/>
              <w:rPr>
                <w:sz w:val="24"/>
                <w:szCs w:val="24"/>
                <w:color w:val="auto"/>
              </w:rPr>
            </w:pPr>
          </w:p>
        </w:tc>
        <w:tc>
          <w:tcPr>
            <w:tcW w:w="5720" w:type="dxa"/>
            <w:vAlign w:val="bottom"/>
            <w:gridSpan w:val="2"/>
          </w:tcPr>
          <w:p>
            <w:pPr>
              <w:ind w:left="2560"/>
              <w:spacing w:after="0"/>
              <w:rPr>
                <w:sz w:val="20"/>
                <w:szCs w:val="20"/>
                <w:color w:val="auto"/>
              </w:rPr>
            </w:pPr>
            <w:r>
              <w:rPr>
                <w:rFonts w:ascii="Times New Roman" w:cs="Times New Roman" w:eastAsia="Times New Roman" w:hAnsi="Times New Roman"/>
                <w:sz w:val="22"/>
                <w:szCs w:val="22"/>
                <w:i w:val="1"/>
                <w:iCs w:val="1"/>
                <w:color w:val="auto"/>
                <w:w w:val="97"/>
              </w:rPr>
              <w:t>Signature Page to Credit Agreement</w:t>
            </w:r>
          </w:p>
        </w:tc>
      </w:tr>
    </w:tbl>
    <w:p>
      <w:pPr>
        <w:sectPr>
          <w:pgSz w:w="11900" w:h="16838" w:orient="portrait"/>
          <w:cols w:equalWidth="0" w:num="1">
            <w:col w:w="11420"/>
          </w:cols>
          <w:pgMar w:left="240" w:top="625" w:right="239" w:bottom="1440" w:gutter="0" w:footer="0" w:header="0"/>
        </w:sectPr>
      </w:pPr>
    </w:p>
    <w:bookmarkStart w:id="115" w:name="page116"/>
    <w:bookmarkEnd w:id="115"/>
    <w:p>
      <w:pPr>
        <w:ind w:left="2700" w:right="240"/>
        <w:spacing w:after="0" w:line="275" w:lineRule="auto"/>
        <w:rPr>
          <w:sz w:val="20"/>
          <w:szCs w:val="20"/>
          <w:color w:val="auto"/>
        </w:rPr>
      </w:pPr>
      <w:r>
        <w:rPr>
          <w:rFonts w:ascii="Times New Roman" w:cs="Times New Roman" w:eastAsia="Times New Roman" w:hAnsi="Times New Roman"/>
          <w:sz w:val="22"/>
          <w:szCs w:val="22"/>
          <w:b w:val="1"/>
          <w:bCs w:val="1"/>
          <w:color w:val="auto"/>
        </w:rPr>
        <w:t>JPMORGAN CHASE BANK, NATIONAL ASSOCIATION</w:t>
      </w:r>
      <w:r>
        <w:rPr>
          <w:rFonts w:ascii="Times New Roman" w:cs="Times New Roman" w:eastAsia="Times New Roman" w:hAnsi="Times New Roman"/>
          <w:sz w:val="22"/>
          <w:szCs w:val="22"/>
          <w:color w:val="auto"/>
        </w:rPr>
        <w:t>, individually and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Issuing Bank and Swingline Lender</w:t>
      </w:r>
    </w:p>
    <w:p>
      <w:pPr>
        <w:spacing w:after="0" w:line="200" w:lineRule="exact"/>
        <w:rPr>
          <w:sz w:val="20"/>
          <w:szCs w:val="20"/>
          <w:color w:val="auto"/>
        </w:rPr>
      </w:pPr>
    </w:p>
    <w:p>
      <w:pPr>
        <w:spacing w:after="0" w:line="318" w:lineRule="exact"/>
        <w:rPr>
          <w:sz w:val="20"/>
          <w:szCs w:val="20"/>
          <w:color w:val="auto"/>
        </w:rPr>
      </w:pPr>
    </w:p>
    <w:tbl>
      <w:tblPr>
        <w:tblLayout w:type="fixed"/>
        <w:tblInd w:w="3300" w:type="dxa"/>
        <w:tblCellMar>
          <w:top w:w="0" w:type="dxa"/>
          <w:left w:w="0" w:type="dxa"/>
          <w:bottom w:w="0" w:type="dxa"/>
          <w:right w:w="0" w:type="dxa"/>
        </w:tblCellMar>
      </w:tblPr>
      <w:tr>
        <w:trPr>
          <w:trHeight w:val="29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Morgan K. Boudler</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Morgan K. Boudler</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Officer</w:t>
            </w:r>
          </w:p>
        </w:tc>
      </w:tr>
    </w:tbl>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220"/>
          </w:cols>
          <w:pgMar w:left="1440" w:top="621" w:right="239" w:bottom="1440" w:gutter="0" w:footer="0" w:header="0"/>
        </w:sectPr>
      </w:pPr>
    </w:p>
    <w:bookmarkStart w:id="116" w:name="page117"/>
    <w:bookmarkEnd w:id="116"/>
    <w:p>
      <w:pPr>
        <w:ind w:left="2700"/>
        <w:spacing w:after="0"/>
        <w:rPr>
          <w:sz w:val="20"/>
          <w:szCs w:val="20"/>
          <w:color w:val="auto"/>
        </w:rPr>
      </w:pPr>
      <w:r>
        <w:rPr>
          <w:rFonts w:ascii="Times New Roman" w:cs="Times New Roman" w:eastAsia="Times New Roman" w:hAnsi="Times New Roman"/>
          <w:sz w:val="22"/>
          <w:szCs w:val="22"/>
          <w:b w:val="1"/>
          <w:bCs w:val="1"/>
          <w:color w:val="auto"/>
        </w:rPr>
        <w:t>KeyBank National Association, as a Lender</w:t>
      </w:r>
    </w:p>
    <w:p>
      <w:pPr>
        <w:spacing w:after="0" w:line="200" w:lineRule="exact"/>
        <w:rPr>
          <w:sz w:val="20"/>
          <w:szCs w:val="20"/>
          <w:color w:val="auto"/>
        </w:rPr>
      </w:pPr>
    </w:p>
    <w:p>
      <w:pPr>
        <w:spacing w:after="0" w:line="388" w:lineRule="exact"/>
        <w:rPr>
          <w:sz w:val="20"/>
          <w:szCs w:val="20"/>
          <w:color w:val="auto"/>
        </w:rPr>
      </w:pPr>
    </w:p>
    <w:tbl>
      <w:tblPr>
        <w:tblLayout w:type="fixed"/>
        <w:tblInd w:w="3300" w:type="dxa"/>
        <w:tblCellMar>
          <w:top w:w="0" w:type="dxa"/>
          <w:left w:w="0" w:type="dxa"/>
          <w:bottom w:w="0" w:type="dxa"/>
          <w:right w:w="0" w:type="dxa"/>
        </w:tblCellMar>
      </w:tblPr>
      <w:tr>
        <w:trPr>
          <w:trHeight w:val="29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Marianne T. Meil</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Marianne T. Meil</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220"/>
          </w:cols>
          <w:pgMar w:left="1440" w:top="621" w:right="239" w:bottom="1440" w:gutter="0" w:footer="0" w:header="0"/>
        </w:sectPr>
      </w:pPr>
    </w:p>
    <w:bookmarkStart w:id="117" w:name="page118"/>
    <w:bookmarkEnd w:id="117"/>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PNC BANK NATIONAL ASSOCIATION, as a Lender</w:t>
      </w:r>
    </w:p>
    <w:p>
      <w:pPr>
        <w:spacing w:after="0" w:line="200" w:lineRule="exact"/>
        <w:rPr>
          <w:sz w:val="20"/>
          <w:szCs w:val="20"/>
          <w:color w:val="auto"/>
        </w:rPr>
      </w:pPr>
    </w:p>
    <w:p>
      <w:pPr>
        <w:spacing w:after="0" w:line="400" w:lineRule="exact"/>
        <w:rPr>
          <w:sz w:val="20"/>
          <w:szCs w:val="20"/>
          <w:color w:val="auto"/>
        </w:rPr>
      </w:pPr>
    </w:p>
    <w:tbl>
      <w:tblPr>
        <w:tblLayout w:type="fixed"/>
        <w:tblInd w:w="3300" w:type="dxa"/>
        <w:tblCellMar>
          <w:top w:w="0" w:type="dxa"/>
          <w:left w:w="0" w:type="dxa"/>
          <w:bottom w:w="0" w:type="dxa"/>
          <w:right w:w="0" w:type="dxa"/>
        </w:tblCellMar>
      </w:tblPr>
      <w:tr>
        <w:trPr>
          <w:trHeight w:val="29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Corinna Ladd</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Corinna Ladd</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220"/>
          </w:cols>
          <w:pgMar w:left="1440" w:top="621" w:right="239" w:bottom="1440" w:gutter="0" w:footer="0" w:header="0"/>
        </w:sectPr>
      </w:pPr>
    </w:p>
    <w:bookmarkStart w:id="118" w:name="page119"/>
    <w:bookmarkEnd w:id="118"/>
    <w:p>
      <w:pPr>
        <w:ind w:left="270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 as a Lender</w:t>
      </w:r>
    </w:p>
    <w:p>
      <w:pPr>
        <w:spacing w:after="0" w:line="200" w:lineRule="exact"/>
        <w:rPr>
          <w:sz w:val="20"/>
          <w:szCs w:val="20"/>
          <w:color w:val="auto"/>
        </w:rPr>
      </w:pPr>
    </w:p>
    <w:p>
      <w:pPr>
        <w:spacing w:after="0" w:line="388" w:lineRule="exact"/>
        <w:rPr>
          <w:sz w:val="20"/>
          <w:szCs w:val="20"/>
          <w:color w:val="auto"/>
        </w:rPr>
      </w:pPr>
    </w:p>
    <w:tbl>
      <w:tblPr>
        <w:tblLayout w:type="fixed"/>
        <w:tblInd w:w="3300" w:type="dxa"/>
        <w:tblCellMar>
          <w:top w:w="0" w:type="dxa"/>
          <w:left w:w="0" w:type="dxa"/>
          <w:bottom w:w="0" w:type="dxa"/>
          <w:right w:w="0" w:type="dxa"/>
        </w:tblCellMar>
      </w:tblPr>
      <w:tr>
        <w:trPr>
          <w:trHeight w:val="29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Ashley Hughes</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Ashley Hughes</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p>
      <w:pPr>
        <w:sectPr>
          <w:pgSz w:w="11900" w:h="16838" w:orient="portrait"/>
          <w:cols w:equalWidth="0" w:num="1">
            <w:col w:w="10220"/>
          </w:cols>
          <w:pgMar w:left="1440" w:top="621"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9, 2015</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J. Sierks, certify that:</w:t>
      </w:r>
    </w:p>
    <w:p>
      <w:pPr>
        <w:spacing w:after="0" w:line="90"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9, 2015</w:t>
      </w:r>
      <w:r>
        <w:rPr>
          <w:sz w:val="20"/>
          <w:szCs w:val="20"/>
          <w:color w:val="auto"/>
        </w:rPr>
        <w:tab/>
      </w:r>
      <w:r>
        <w:rPr>
          <w:rFonts w:ascii="Times New Roman" w:cs="Times New Roman" w:eastAsia="Times New Roman" w:hAnsi="Times New Roman"/>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Kevin J. Sierks</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Executive Vice President - Chief Financial Officer</w:t>
      </w:r>
    </w:p>
    <w:p>
      <w:pPr>
        <w:sectPr>
          <w:pgSz w:w="11900" w:h="16838" w:orient="portrait"/>
          <w:cols w:equalWidth="0" w:num="1">
            <w:col w:w="11420"/>
          </w:cols>
          <w:pgMar w:left="240" w:top="576"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August 1,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 Kevin J. Sierks, the Executive Vice President – Chief Financial Officer of Vera Bradley, Inc., certify that (i) the quarterly report on Form 10-Q for the fiscal quarter ended August 1, 2015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Kevin J. Sierks</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Executive Vice President - Chief Financial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x"/>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lvl w:ilvl="1">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1"/>
      <w:numFmt w:val="decimal"/>
      <w:start w:val="1"/>
    </w:lvl>
    <w:lvl w:ilvl="1">
      <w:lvlJc w:val="left"/>
      <w:lvlText w:val="(%2)"/>
      <w:numFmt w:val="decimal"/>
      <w:start w:val="1"/>
    </w:lvl>
  </w:abstractNum>
  <w:abstractNum w:abstractNumId="5">
    <w:nsid w:val="374A3FE6"/>
    <w:multiLevelType w:val="hybridMultilevel"/>
    <w:lvl w:ilvl="0">
      <w:lvlJc w:val="left"/>
      <w:lvlText w:val="%1."/>
      <w:numFmt w:val="decimal"/>
      <w:start w:val="5"/>
    </w:lvl>
    <w:lvl w:ilvl="1">
      <w:lvlJc w:val="left"/>
      <w:lvlText w:val="%2"/>
      <w:numFmt w:val="decimal"/>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decimal"/>
      <w:start w:val="10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1"/>
      <w:numFmt w:val="decimal"/>
      <w:start w:val="10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upperLetter"/>
      <w:start w:val="1"/>
    </w:lvl>
  </w:abstractNum>
  <w:abstractNum w:abstractNumId="17">
    <w:nsid w:val="741226BB"/>
    <w:multiLevelType w:val="hybridMultilevel"/>
    <w:lvl w:ilvl="0">
      <w:lvlJc w:val="left"/>
      <w:lvlText w:val="(%1)"/>
      <w:numFmt w:val="lowerLetter"/>
      <w:start w:val="2"/>
    </w:lvl>
  </w:abstractNum>
  <w:abstractNum w:abstractNumId="18">
    <w:nsid w:val="D34B6A8"/>
    <w:multiLevelType w:val="hybridMultilevel"/>
    <w:lvl w:ilvl="0">
      <w:lvlJc w:val="left"/>
      <w:lvlText w:val="(%1)"/>
      <w:numFmt w:val="lowerLetter"/>
      <w:start w:val="1"/>
    </w:lvl>
  </w:abstractNum>
  <w:abstractNum w:abstractNumId="19">
    <w:nsid w:val="10233C99"/>
    <w:multiLevelType w:val="hybridMultilevel"/>
    <w:lvl w:ilvl="0">
      <w:lvlJc w:val="left"/>
      <w:lvlText w:val="(%1)"/>
      <w:numFmt w:val="lowerLetter"/>
      <w:start w:val="1"/>
    </w:lvl>
  </w:abstractNum>
  <w:abstractNum w:abstractNumId="20">
    <w:nsid w:val="3F6AB60F"/>
    <w:multiLevelType w:val="hybridMultilevel"/>
    <w:lvl w:ilvl="0">
      <w:lvlJc w:val="left"/>
      <w:lvlText w:val="(%1)"/>
      <w:numFmt w:val="lowerLetter"/>
      <w:start w:val="2"/>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Roman"/>
      <w:start w:val="1"/>
    </w:lvl>
  </w:abstractNum>
  <w:abstractNum w:abstractNumId="23">
    <w:nsid w:val="77AE35EB"/>
    <w:multiLevelType w:val="hybridMultilevel"/>
    <w:lvl w:ilvl="0">
      <w:lvlJc w:val="left"/>
      <w:lvlText w:val="%1"/>
      <w:numFmt w:val="lowerLetter"/>
      <w:start w:val="1"/>
    </w:lvl>
    <w:lvl w:ilvl="1">
      <w:lvlJc w:val="left"/>
      <w:lvlText w:val="(%2)"/>
      <w:numFmt w:val="lowerLetter"/>
      <w:start w:val="1"/>
    </w:lvl>
  </w:abstractNum>
  <w:abstractNum w:abstractNumId="24">
    <w:nsid w:val="579BE4F1"/>
    <w:multiLevelType w:val="hybridMultilevel"/>
    <w:lvl w:ilvl="0">
      <w:lvlJc w:val="left"/>
      <w:lvlText w:val="(%1)"/>
      <w:numFmt w:val="lowerLetter"/>
      <w:start w:val="35"/>
    </w:lvl>
    <w:lvl w:ilvl="1">
      <w:lvlJc w:val="left"/>
      <w:lvlText w:val="(%2)"/>
      <w:numFmt w:val="lowerLetter"/>
      <w:start w:val="1"/>
    </w:lvl>
  </w:abstractNum>
  <w:abstractNum w:abstractNumId="25">
    <w:nsid w:val="310C50B3"/>
    <w:multiLevelType w:val="hybridMultilevel"/>
    <w:lvl w:ilvl="0">
      <w:lvlJc w:val="left"/>
      <w:lvlText w:val="(%1)"/>
      <w:numFmt w:val="lowerLetter"/>
      <w:start w:val="2"/>
    </w:lvl>
  </w:abstractNum>
  <w:abstractNum w:abstractNumId="26">
    <w:nsid w:val="5FF87E05"/>
    <w:multiLevelType w:val="hybridMultilevel"/>
    <w:lvl w:ilvl="0">
      <w:lvlJc w:val="left"/>
      <w:lvlText w:val="(%1)"/>
      <w:numFmt w:val="lowerLetter"/>
      <w:start w:val="2"/>
    </w:lvl>
  </w:abstractNum>
  <w:abstractNum w:abstractNumId="27">
    <w:nsid w:val="2F305DEF"/>
    <w:multiLevelType w:val="hybridMultilevel"/>
    <w:lvl w:ilvl="0">
      <w:lvlJc w:val="left"/>
      <w:lvlText w:val="(%1)"/>
      <w:numFmt w:val="lowerLetter"/>
      <w:start w:val="5"/>
    </w:lvl>
  </w:abstractNum>
  <w:abstractNum w:abstractNumId="28">
    <w:nsid w:val="25A70BF7"/>
    <w:multiLevelType w:val="hybridMultilevel"/>
    <w:lvl w:ilvl="0">
      <w:lvlJc w:val="left"/>
      <w:lvlText w:val="(%1)"/>
      <w:numFmt w:val="lowerLetter"/>
      <w:start w:val="7"/>
    </w:lvl>
  </w:abstractNum>
  <w:abstractNum w:abstractNumId="29">
    <w:nsid w:val="1DBABF00"/>
    <w:multiLevelType w:val="hybridMultilevel"/>
    <w:lvl w:ilvl="0">
      <w:lvlJc w:val="left"/>
      <w:lvlText w:val="(%1)"/>
      <w:numFmt w:val="lowerLetter"/>
      <w:start w:val="10"/>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Letter"/>
      <w:start w:val="2"/>
    </w:lvl>
  </w:abstractNum>
  <w:abstractNum w:abstractNumId="32">
    <w:nsid w:val="1381823A"/>
    <w:multiLevelType w:val="hybridMultilevel"/>
    <w:lvl w:ilvl="0">
      <w:lvlJc w:val="left"/>
      <w:lvlText w:val="(%1)"/>
      <w:numFmt w:val="lowerRoman"/>
      <w:start w:val="1"/>
    </w:lvl>
  </w:abstractNum>
  <w:abstractNum w:abstractNumId="33">
    <w:nsid w:val="5DB70AE5"/>
    <w:multiLevelType w:val="hybridMultilevel"/>
    <w:lvl w:ilvl="0">
      <w:lvlJc w:val="left"/>
      <w:lvlText w:val="(%1)"/>
      <w:numFmt w:val="lowerLetter"/>
      <w:start w:val="4"/>
    </w:lvl>
  </w:abstractNum>
  <w:abstractNum w:abstractNumId="34">
    <w:nsid w:val="100F8FCA"/>
    <w:multiLevelType w:val="hybridMultilevel"/>
    <w:lvl w:ilvl="0">
      <w:lvlJc w:val="left"/>
      <w:lvlText w:val="(%1)"/>
      <w:numFmt w:val="lowerLetter"/>
      <w:start w:val="2"/>
    </w:lvl>
  </w:abstractNum>
  <w:abstractNum w:abstractNumId="35">
    <w:nsid w:val="6590700B"/>
    <w:multiLevelType w:val="hybridMultilevel"/>
    <w:lvl w:ilvl="0">
      <w:lvlJc w:val="left"/>
      <w:lvlText w:val="(%1)"/>
      <w:numFmt w:val="lowerLetter"/>
      <w:start w:val="4"/>
    </w:lvl>
  </w:abstractNum>
  <w:abstractNum w:abstractNumId="36">
    <w:nsid w:val="15014ACB"/>
    <w:multiLevelType w:val="hybridMultilevel"/>
    <w:lvl w:ilvl="0">
      <w:lvlJc w:val="left"/>
      <w:lvlText w:val="(%1)"/>
      <w:numFmt w:val="lowerLetter"/>
      <w:start w:val="2"/>
    </w:lvl>
  </w:abstractNum>
  <w:abstractNum w:abstractNumId="37">
    <w:nsid w:val="5F5E7FD0"/>
    <w:multiLevelType w:val="hybridMultilevel"/>
    <w:lvl w:ilvl="0">
      <w:lvlJc w:val="left"/>
      <w:lvlText w:val="(%1)"/>
      <w:numFmt w:val="lowerLetter"/>
      <w:start w:val="2"/>
    </w:lvl>
  </w:abstractNum>
  <w:abstractNum w:abstractNumId="38">
    <w:nsid w:val="98A3148"/>
    <w:multiLevelType w:val="hybridMultilevel"/>
    <w:lvl w:ilvl="0">
      <w:lvlJc w:val="left"/>
      <w:lvlText w:val="(%1)"/>
      <w:numFmt w:val="lowerLetter"/>
      <w:start w:val="2"/>
    </w:lvl>
  </w:abstractNum>
  <w:abstractNum w:abstractNumId="39">
    <w:nsid w:val="799D0247"/>
    <w:multiLevelType w:val="hybridMultilevel"/>
    <w:lvl w:ilvl="0">
      <w:lvlJc w:val="left"/>
      <w:lvlText w:val="(%1)"/>
      <w:numFmt w:val="lowerLetter"/>
      <w:start w:val="3"/>
    </w:lvl>
  </w:abstractNum>
  <w:abstractNum w:abstractNumId="40">
    <w:nsid w:val="6B94764"/>
    <w:multiLevelType w:val="hybridMultilevel"/>
    <w:lvl w:ilvl="0">
      <w:lvlJc w:val="left"/>
      <w:lvlText w:val="(%1)"/>
      <w:numFmt w:val="lowerLetter"/>
      <w:start w:val="2"/>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Roman"/>
      <w:start w:val="1"/>
    </w:lvl>
  </w:abstractNum>
  <w:abstractNum w:abstractNumId="43">
    <w:nsid w:val="1EBA5D23"/>
    <w:multiLevelType w:val="hybridMultilevel"/>
    <w:lvl w:ilvl="0">
      <w:lvlJc w:val="left"/>
      <w:lvlText w:val="(%1)"/>
      <w:numFmt w:val="lowerLetter"/>
      <w:start w:val="2"/>
    </w:lvl>
  </w:abstractNum>
  <w:abstractNum w:abstractNumId="44">
    <w:nsid w:val="661E3F1E"/>
    <w:multiLevelType w:val="hybridMultilevel"/>
    <w:lvl w:ilvl="0">
      <w:lvlJc w:val="left"/>
      <w:lvlText w:val="(%1)"/>
      <w:numFmt w:val="lowerLetter"/>
      <w:start w:val="2"/>
    </w:lvl>
  </w:abstractNum>
  <w:abstractNum w:abstractNumId="45">
    <w:nsid w:val="5DC79EA8"/>
    <w:multiLevelType w:val="hybridMultilevel"/>
    <w:lvl w:ilvl="0">
      <w:lvlJc w:val="left"/>
      <w:lvlText w:val="(%1)"/>
      <w:numFmt w:val="lowerLetter"/>
      <w:start w:val="5"/>
    </w:lvl>
    <w:lvl w:ilvl="1">
      <w:lvlJc w:val="left"/>
      <w:lvlText w:val="(%2)"/>
      <w:numFmt w:val="upperLetter"/>
      <w:start w:val="1"/>
    </w:lvl>
  </w:abstractNum>
  <w:abstractNum w:abstractNumId="46">
    <w:nsid w:val="540A471C"/>
    <w:multiLevelType w:val="hybridMultilevel"/>
    <w:lvl w:ilvl="0">
      <w:lvlJc w:val="left"/>
      <w:lvlText w:val="(%1)"/>
      <w:numFmt w:val="lowerRoman"/>
      <w:start w:val="2"/>
    </w:lvl>
  </w:abstractNum>
  <w:abstractNum w:abstractNumId="47">
    <w:nsid w:val="7BD3EE7B"/>
    <w:multiLevelType w:val="hybridMultilevel"/>
    <w:lvl w:ilvl="0">
      <w:lvlJc w:val="left"/>
      <w:lvlText w:val="(%1)"/>
      <w:numFmt w:val="lowerRoman"/>
      <w:start w:val="5"/>
    </w:lvl>
    <w:lvl w:ilvl="1">
      <w:lvlJc w:val="left"/>
      <w:lvlText w:val="(%2)"/>
      <w:numFmt w:val="upperLetter"/>
      <w:start w:val="1"/>
    </w:lvl>
  </w:abstractNum>
  <w:abstractNum w:abstractNumId="48">
    <w:nsid w:val="51D9C564"/>
    <w:multiLevelType w:val="hybridMultilevel"/>
    <w:lvl w:ilvl="0">
      <w:lvlJc w:val="left"/>
      <w:lvlText w:val="(%1)"/>
      <w:numFmt w:val="upperLetter"/>
      <w:start w:val="6"/>
    </w:lvl>
  </w:abstractNum>
  <w:abstractNum w:abstractNumId="49">
    <w:nsid w:val="613EFDC5"/>
    <w:multiLevelType w:val="hybridMultilevel"/>
    <w:lvl w:ilvl="0">
      <w:lvlJc w:val="left"/>
      <w:lvlText w:val="(%1)"/>
      <w:numFmt w:val="upperLetter"/>
      <w:start w:val="9"/>
    </w:lvl>
  </w:abstractNum>
  <w:abstractNum w:abstractNumId="50">
    <w:nsid w:val="BF72B14"/>
    <w:multiLevelType w:val="hybridMultilevel"/>
    <w:lvl w:ilvl="0">
      <w:lvlJc w:val="left"/>
      <w:lvlText w:val="(%1)"/>
      <w:numFmt w:val="lowerLetter"/>
      <w:start w:val="2"/>
    </w:lvl>
  </w:abstractNum>
  <w:abstractNum w:abstractNumId="51">
    <w:nsid w:val="11447B73"/>
    <w:multiLevelType w:val="hybridMultilevel"/>
    <w:lvl w:ilvl="0">
      <w:lvlJc w:val="left"/>
      <w:lvlText w:val="(%1)"/>
      <w:numFmt w:val="lowerLetter"/>
      <w:start w:val="9"/>
    </w:lvl>
    <w:lvl w:ilvl="1">
      <w:lvlJc w:val="left"/>
      <w:lvlText w:val="(%2)"/>
      <w:numFmt w:val="lowerLetter"/>
      <w:start w:val="4"/>
    </w:lvl>
  </w:abstractNum>
  <w:abstractNum w:abstractNumId="52">
    <w:nsid w:val="42963E5A"/>
    <w:multiLevelType w:val="hybridMultilevel"/>
    <w:lvl w:ilvl="0">
      <w:lvlJc w:val="left"/>
      <w:lvlText w:val="(%1)"/>
      <w:numFmt w:val="lowerLetter"/>
      <w:start w:val="2"/>
    </w:lvl>
  </w:abstractNum>
  <w:abstractNum w:abstractNumId="53">
    <w:nsid w:val="A0382C5"/>
    <w:multiLevelType w:val="hybridMultilevel"/>
    <w:lvl w:ilvl="0">
      <w:lvlJc w:val="left"/>
      <w:lvlText w:val="(%1)"/>
      <w:numFmt w:val="lowerLetter"/>
      <w:start w:val="1"/>
    </w:lvl>
  </w:abstractNum>
  <w:abstractNum w:abstractNumId="54">
    <w:nsid w:val="8F2B15E"/>
    <w:multiLevelType w:val="hybridMultilevel"/>
    <w:lvl w:ilvl="0">
      <w:lvlJc w:val="left"/>
      <w:lvlText w:val="(%1)"/>
      <w:numFmt w:val="lowerRoman"/>
      <w:start w:val="1"/>
    </w:lvl>
  </w:abstractNum>
  <w:abstractNum w:abstractNumId="55">
    <w:nsid w:val="1A32234B"/>
    <w:multiLevelType w:val="hybridMultilevel"/>
    <w:lvl w:ilvl="0">
      <w:lvlJc w:val="left"/>
      <w:lvlText w:val="%1"/>
      <w:numFmt w:val="lowerRoman"/>
      <w:start w:val="1"/>
    </w:lvl>
    <w:lvl w:ilvl="1">
      <w:lvlJc w:val="left"/>
      <w:lvlText w:val="(%2)"/>
      <w:numFmt w:val="lowerRoman"/>
      <w:start w:val="2"/>
    </w:lvl>
  </w:abstractNum>
  <w:abstractNum w:abstractNumId="56">
    <w:nsid w:val="3B0FD379"/>
    <w:multiLevelType w:val="hybridMultilevel"/>
    <w:lvl w:ilvl="0">
      <w:lvlJc w:val="left"/>
      <w:lvlText w:val="(%1)"/>
      <w:numFmt w:val="lowerRoman"/>
      <w:start w:val="2"/>
    </w:lvl>
    <w:lvl w:ilvl="1">
      <w:lvlJc w:val="left"/>
      <w:lvlText w:val="(%2)"/>
      <w:numFmt w:val="lowerRoman"/>
      <w:start w:val="4"/>
    </w:lvl>
  </w:abstractNum>
  <w:abstractNum w:abstractNumId="57">
    <w:nsid w:val="68EB2F63"/>
    <w:multiLevelType w:val="hybridMultilevel"/>
    <w:lvl w:ilvl="0">
      <w:lvlJc w:val="left"/>
      <w:lvlText w:val="(%1)"/>
      <w:numFmt w:val="lowerLetter"/>
      <w:start w:val="4"/>
    </w:lvl>
  </w:abstractNum>
  <w:abstractNum w:abstractNumId="58">
    <w:nsid w:val="4962813B"/>
    <w:multiLevelType w:val="hybridMultilevel"/>
    <w:lvl w:ilvl="0">
      <w:lvlJc w:val="left"/>
      <w:lvlText w:val="(%1)"/>
      <w:numFmt w:val="lowerLetter"/>
      <w:start w:val="9"/>
    </w:lvl>
    <w:lvl w:ilvl="1">
      <w:lvlJc w:val="left"/>
      <w:lvlText w:val="(%2)"/>
      <w:numFmt w:val="lowerLetter"/>
      <w:start w:val="1"/>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Letter"/>
      <w:start w:val="6"/>
    </w:lvl>
  </w:abstractNum>
  <w:abstractNum w:abstractNumId="63">
    <w:nsid w:val="1A27709E"/>
    <w:multiLevelType w:val="hybridMultilevel"/>
    <w:lvl w:ilvl="0">
      <w:lvlJc w:val="left"/>
      <w:lvlText w:val="(%1)"/>
      <w:numFmt w:val="lowerLetter"/>
      <w:start w:val="14"/>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3"/>
    </w:lvl>
  </w:abstractNum>
  <w:abstractNum w:abstractNumId="66">
    <w:nsid w:val="7FB7E0AA"/>
    <w:multiLevelType w:val="hybridMultilevel"/>
    <w:lvl w:ilvl="0">
      <w:lvlJc w:val="left"/>
      <w:lvlText w:val="(%1)"/>
      <w:numFmt w:val="lowerLetter"/>
      <w:start w:val="6"/>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lowerLetter"/>
      <w:start w:val="2"/>
    </w:lvl>
  </w:abstractNum>
  <w:abstractNum w:abstractNumId="69">
    <w:nsid w:val="94211F2"/>
    <w:multiLevelType w:val="hybridMultilevel"/>
    <w:lvl w:ilvl="0">
      <w:lvlJc w:val="left"/>
      <w:lvlText w:val="(%1)"/>
      <w:numFmt w:val="lowerLetter"/>
      <w:start w:val="1"/>
    </w:lvl>
  </w:abstractNum>
  <w:abstractNum w:abstractNumId="70">
    <w:nsid w:val="885E1B"/>
    <w:multiLevelType w:val="hybridMultilevel"/>
    <w:lvl w:ilvl="0">
      <w:lvlJc w:val="left"/>
      <w:lvlText w:val="(%1)"/>
      <w:numFmt w:val="lowerLetter"/>
      <w:start w:val="2"/>
    </w:lvl>
  </w:abstractNum>
  <w:abstractNum w:abstractNumId="71">
    <w:nsid w:val="76272110"/>
    <w:multiLevelType w:val="hybridMultilevel"/>
    <w:lvl w:ilvl="0">
      <w:lvlJc w:val="left"/>
      <w:lvlText w:val="(%1)"/>
      <w:numFmt w:val="lowerLetter"/>
      <w:start w:val="5"/>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8"/>
    </w:lvl>
  </w:abstractNum>
  <w:abstractNum w:abstractNumId="74">
    <w:nsid w:val="14E17E33"/>
    <w:multiLevelType w:val="hybridMultilevel"/>
    <w:lvl w:ilvl="0">
      <w:lvlJc w:val="left"/>
      <w:lvlText w:val="(%1)"/>
      <w:numFmt w:val="lowerLetter"/>
      <w:start w:val="3"/>
    </w:lvl>
  </w:abstractNum>
  <w:abstractNum w:abstractNumId="75">
    <w:nsid w:val="3222E7CD"/>
    <w:multiLevelType w:val="hybridMultilevel"/>
    <w:lvl w:ilvl="0">
      <w:lvlJc w:val="left"/>
      <w:lvlText w:val="(%1)"/>
      <w:numFmt w:val="lowerLetter"/>
      <w:start w:val="2"/>
    </w:lvl>
  </w:abstractNum>
  <w:abstractNum w:abstractNumId="76">
    <w:nsid w:val="74DE0EE3"/>
    <w:multiLevelType w:val="hybridMultilevel"/>
    <w:lvl w:ilvl="0">
      <w:lvlJc w:val="left"/>
      <w:lvlText w:val="(%1)"/>
      <w:numFmt w:val="lowerLetter"/>
      <w:start w:val="2"/>
    </w:lvl>
  </w:abstractNum>
  <w:abstractNum w:abstractNumId="77">
    <w:nsid w:val="68EBC550"/>
    <w:multiLevelType w:val="hybridMultilevel"/>
    <w:lvl w:ilvl="0">
      <w:lvlJc w:val="left"/>
      <w:lvlText w:val="(%1)"/>
      <w:numFmt w:val="lowerRoman"/>
      <w:start w:val="2"/>
    </w:lvl>
  </w:abstractNum>
  <w:abstractNum w:abstractNumId="78">
    <w:nsid w:val="2DF6D648"/>
    <w:multiLevelType w:val="hybridMultilevel"/>
    <w:lvl w:ilvl="0">
      <w:lvlJc w:val="left"/>
      <w:lvlText w:val="(%1)"/>
      <w:numFmt w:val="lowerLetter"/>
      <w:start w:val="9"/>
    </w:lvl>
  </w:abstractNum>
  <w:abstractNum w:abstractNumId="79">
    <w:nsid w:val="46B7D447"/>
    <w:multiLevelType w:val="hybridMultilevel"/>
    <w:lvl w:ilvl="0">
      <w:lvlJc w:val="left"/>
      <w:lvlText w:val="(%1)"/>
      <w:numFmt w:val="lowerLetter"/>
      <w:start w:val="16"/>
    </w:lvl>
  </w:abstractNum>
  <w:abstractNum w:abstractNumId="80">
    <w:nsid w:val="4A2AC315"/>
    <w:multiLevelType w:val="hybridMultilevel"/>
    <w:lvl w:ilvl="0">
      <w:lvlJc w:val="left"/>
      <w:lvlText w:val="(%1)"/>
      <w:numFmt w:val="lowerLetter"/>
      <w:start w:val="23"/>
    </w:lvl>
  </w:abstractNum>
  <w:abstractNum w:abstractNumId="81">
    <w:nsid w:val="39EE015C"/>
    <w:multiLevelType w:val="hybridMultilevel"/>
    <w:lvl w:ilvl="0">
      <w:lvlJc w:val="left"/>
      <w:lvlText w:val="(%1)"/>
      <w:numFmt w:val="lowerRoman"/>
      <w:start w:val="1"/>
    </w:lvl>
  </w:abstractNum>
  <w:abstractNum w:abstractNumId="82">
    <w:nsid w:val="57FC4FBB"/>
    <w:multiLevelType w:val="hybridMultilevel"/>
    <w:lvl w:ilvl="0">
      <w:lvlJc w:val="left"/>
      <w:lvlText w:val="(%1)"/>
      <w:numFmt w:val="lowerLetter"/>
      <w:start w:val="10"/>
    </w:lvl>
  </w:abstractNum>
  <w:abstractNum w:abstractNumId="83">
    <w:nsid w:val="CC1016F"/>
    <w:multiLevelType w:val="hybridMultilevel"/>
    <w:lvl w:ilvl="0">
      <w:lvlJc w:val="left"/>
      <w:lvlText w:val="(%1)"/>
      <w:numFmt w:val="lowerLetter"/>
      <w:start w:val="11"/>
    </w:lvl>
  </w:abstractNum>
  <w:abstractNum w:abstractNumId="84">
    <w:nsid w:val="43F18422"/>
    <w:multiLevelType w:val="hybridMultilevel"/>
    <w:lvl w:ilvl="0">
      <w:lvlJc w:val="left"/>
      <w:lvlText w:val="(%1)"/>
      <w:numFmt w:val="lowerLetter"/>
      <w:start w:val="2"/>
    </w:lvl>
  </w:abstractNum>
  <w:abstractNum w:abstractNumId="85">
    <w:nsid w:val="60EF0119"/>
    <w:multiLevelType w:val="hybridMultilevel"/>
    <w:lvl w:ilvl="0">
      <w:lvlJc w:val="left"/>
      <w:lvlText w:val="(%1)"/>
      <w:numFmt w:val="lowerLetter"/>
      <w:start w:val="3"/>
    </w:lvl>
  </w:abstractNum>
  <w:abstractNum w:abstractNumId="86">
    <w:nsid w:val="26F324BA"/>
    <w:multiLevelType w:val="hybridMultilevel"/>
    <w:lvl w:ilvl="0">
      <w:lvlJc w:val="left"/>
      <w:lvlText w:val="(%1)"/>
      <w:numFmt w:val="lowerLetter"/>
      <w:start w:val="2"/>
    </w:lvl>
  </w:abstractNum>
  <w:abstractNum w:abstractNumId="87">
    <w:nsid w:val="7F01579B"/>
    <w:multiLevelType w:val="hybridMultilevel"/>
    <w:lvl w:ilvl="0">
      <w:lvlJc w:val="left"/>
      <w:lvlText w:val="(%1)"/>
      <w:numFmt w:val="lowerLetter"/>
      <w:start w:val="3"/>
    </w:lvl>
  </w:abstractNum>
  <w:abstractNum w:abstractNumId="88">
    <w:nsid w:val="49DA307D"/>
    <w:multiLevelType w:val="hybridMultilevel"/>
    <w:lvl w:ilvl="0">
      <w:lvlJc w:val="left"/>
      <w:lvlText w:val="(%1)"/>
      <w:numFmt w:val="lowerLetter"/>
      <w:start w:val="2"/>
    </w:lvl>
    <w:lvl w:ilvl="1">
      <w:lvlJc w:val="left"/>
      <w:lvlText w:val="(%2)"/>
      <w:numFmt w:val="upperLetter"/>
      <w:start w:val="1"/>
    </w:lvl>
  </w:abstractNum>
  <w:abstractNum w:abstractNumId="89">
    <w:nsid w:val="7055A5F5"/>
    <w:multiLevelType w:val="hybridMultilevel"/>
    <w:lvl w:ilvl="0">
      <w:lvlJc w:val="left"/>
      <w:lvlText w:val="%1"/>
      <w:numFmt w:val="lowerRoman"/>
      <w:start w:val="1"/>
    </w:lvl>
    <w:lvl w:ilvl="1">
      <w:lvlJc w:val="left"/>
      <w:lvlText w:val="(%2)"/>
      <w:numFmt w:val="upperLetter"/>
      <w:start w:val="3"/>
    </w:lvl>
  </w:abstractNum>
  <w:abstractNum w:abstractNumId="90">
    <w:nsid w:val="5FB8370B"/>
    <w:multiLevelType w:val="hybridMultilevel"/>
    <w:lvl w:ilvl="0">
      <w:lvlJc w:val="left"/>
      <w:lvlText w:val="(%1)"/>
      <w:numFmt w:val="lowerRoman"/>
      <w:start w:val="2"/>
    </w:lvl>
    <w:lvl w:ilvl="1">
      <w:lvlJc w:val="left"/>
      <w:lvlText w:val="(%2)"/>
      <w:numFmt w:val="upperLetter"/>
      <w:start w:val="1"/>
    </w:lvl>
  </w:abstractNum>
  <w:abstractNum w:abstractNumId="91">
    <w:nsid w:val="50801EE1"/>
    <w:multiLevelType w:val="hybridMultilevel"/>
    <w:lvl w:ilvl="0">
      <w:lvlJc w:val="left"/>
      <w:lvlText w:val="(%1)"/>
      <w:numFmt w:val="lowerRoman"/>
      <w:start w:val="3"/>
    </w:lvl>
  </w:abstractNum>
  <w:abstractNum w:abstractNumId="92">
    <w:nsid w:val="488AC1A"/>
    <w:multiLevelType w:val="hybridMultilevel"/>
    <w:lvl w:ilvl="0">
      <w:lvlJc w:val="left"/>
      <w:lvlText w:val="(%1)"/>
      <w:numFmt w:val="lowerRoman"/>
      <w:start w:val="4"/>
    </w:lvl>
  </w:abstractNum>
  <w:abstractNum w:abstractNumId="93">
    <w:nsid w:val="5FB8011C"/>
    <w:multiLevelType w:val="hybridMultilevel"/>
    <w:lvl w:ilvl="0">
      <w:lvlJc w:val="left"/>
      <w:lvlText w:val="(%1)"/>
      <w:numFmt w:val="lowerLetter"/>
      <w:start w:val="3"/>
    </w:lvl>
  </w:abstractNum>
  <w:abstractNum w:abstractNumId="94">
    <w:nsid w:val="6AA78F7F"/>
    <w:multiLevelType w:val="hybridMultilevel"/>
    <w:lvl w:ilvl="0">
      <w:lvlJc w:val="left"/>
      <w:lvlText w:val="(%1)"/>
      <w:numFmt w:val="lowerRoman"/>
      <w:start w:val="2"/>
    </w:lvl>
  </w:abstractNum>
  <w:abstractNum w:abstractNumId="95">
    <w:nsid w:val="7672BD23"/>
    <w:multiLevelType w:val="hybridMultilevel"/>
    <w:lvl w:ilvl="0">
      <w:lvlJc w:val="left"/>
      <w:lvlText w:val="(%1)"/>
      <w:numFmt w:val="lowerLetter"/>
      <w:start w:val="5"/>
    </w:lvl>
  </w:abstractNum>
  <w:abstractNum w:abstractNumId="96">
    <w:nsid w:val="6FC75AF8"/>
    <w:multiLevelType w:val="hybridMultilevel"/>
    <w:lvl w:ilvl="0">
      <w:lvlJc w:val="left"/>
      <w:lvlText w:val="(%1)"/>
      <w:numFmt w:val="lowerLetter"/>
      <w:start w:val="2"/>
    </w:lvl>
  </w:abstractNum>
  <w:abstractNum w:abstractNumId="97">
    <w:nsid w:val="6A5F7029"/>
    <w:multiLevelType w:val="hybridMultilevel"/>
    <w:lvl w:ilvl="0">
      <w:lvlJc w:val="left"/>
      <w:lvlText w:val="(%1)"/>
      <w:numFmt w:val="lowerRoman"/>
      <w:start w:val="1"/>
    </w:lvl>
  </w:abstractNum>
  <w:abstractNum w:abstractNumId="98">
    <w:nsid w:val="7D5E18F8"/>
    <w:multiLevelType w:val="hybridMultilevel"/>
    <w:lvl w:ilvl="0">
      <w:lvlJc w:val="left"/>
      <w:lvlText w:val="%1"/>
      <w:numFmt w:val="upperLetter"/>
      <w:start w:val="61"/>
    </w:lvl>
  </w:abstractNum>
  <w:abstractNum w:abstractNumId="99">
    <w:nsid w:val="5F3534A4"/>
    <w:multiLevelType w:val="hybridMultilevel"/>
    <w:lvl w:ilvl="0">
      <w:lvlJc w:val="left"/>
      <w:lvlText w:val="(%1)"/>
      <w:numFmt w:val="lowerLetter"/>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2019-12-29T15:26:10Z</dcterms:created>
  <dcterms:modified xsi:type="dcterms:W3CDTF">2019-12-29T15:26:10Z</dcterms:modified>
</cp:coreProperties>
</file>